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pBdr>
          <w:bottom w:val="single" w:sz="12" w:space="4" w:color="1E5F9E"/>
        </w:pBdr>
      </w:pPr>
      <w:r>
        <w:rPr>
          <w:rFonts w:ascii="Calibri" w:hAnsi="Calibri"/>
          <w:b/>
          <w:color w:val="1A233A"/>
          <w:sz w:val="40"/>
        </w:rPr>
        <w:t>Pestaña Política — Lectura matusiana del Cinturón Político</w:t>
      </w:r>
    </w:p>
    <w:p>
      <w:pPr>
        <w:spacing w:after="40" w:before="40"/>
        <w:ind w:left="680"/>
      </w:pPr>
      <w:r>
        <w:rPr>
          <w:rFonts w:ascii="Calibri" w:hAnsi="Calibri"/>
          <w:b w:val="0"/>
          <w:i/>
          <w:color w:val="606060"/>
          <w:sz w:val="21"/>
        </w:rPr>
        <w:t xml:space="preserve">Análisis del cinturón político del dashboard </w:t>
      </w:r>
      <w:r>
        <w:rPr>
          <w:rFonts w:ascii="Courier New" w:hAnsi="Courier New"/>
          <w:b w:val="0"/>
          <w:color w:val="606060"/>
          <w:sz w:val="19"/>
        </w:rPr>
        <w:t>https://cigob.k1t.eu/index.html</w:t>
      </w:r>
      <w:r>
        <w:rPr>
          <w:rFonts w:ascii="Calibri" w:hAnsi="Calibri"/>
          <w:b w:val="0"/>
          <w:i/>
          <w:color w:val="606060"/>
          <w:sz w:val="21"/>
        </w:rPr>
        <w:t xml:space="preserve"> desde la planificación estratégica situacional. Marco de referencia: </w:t>
      </w:r>
      <w:r>
        <w:rPr>
          <w:rFonts w:ascii="Courier New" w:hAnsi="Courier New"/>
          <w:b w:val="0"/>
          <w:color w:val="606060"/>
          <w:sz w:val="19"/>
        </w:rPr>
        <w:t>_brief_matus.md</w:t>
      </w:r>
      <w:r>
        <w:rPr>
          <w:rFonts w:ascii="Calibri" w:hAnsi="Calibri"/>
          <w:b w:val="0"/>
          <w:i/>
          <w:color w:val="606060"/>
          <w:sz w:val="21"/>
        </w:rPr>
        <w:t xml:space="preserve"> (secciones 2, 4, 5 y 8).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El cinturón político es, en Matus, el continente del </w:t>
      </w:r>
      <w:r>
        <w:rPr>
          <w:rFonts w:ascii="Calibri" w:hAnsi="Calibri"/>
          <w:b/>
          <w:i w:val="0"/>
          <w:sz w:val="22"/>
        </w:rPr>
        <w:t>capital político</w:t>
      </w:r>
      <w:r>
        <w:rPr>
          <w:rFonts w:ascii="Calibri" w:hAnsi="Calibri"/>
          <w:b w:val="0"/>
          <w:i w:val="0"/>
          <w:sz w:val="22"/>
        </w:rPr>
        <w:t xml:space="preserve">: el stock de poder, legitimidad y apoyo que el gobernante gana o pierde con cada jugada (brief, sección 4). Su deterioro es la antesala silenciosa de la caída: cuando se rompe, los otros dos cinturones —económico y vida cotidiana— quedan sin contención. Una pestaña política bien diseñada debe permitir leer ese stock en sus cuatro dimensiones clásicas: </w:t>
      </w:r>
      <w:r>
        <w:rPr>
          <w:rFonts w:ascii="Calibri" w:hAnsi="Calibri"/>
          <w:b/>
          <w:i w:val="0"/>
          <w:sz w:val="22"/>
        </w:rPr>
        <w:t>imagen, voto, conflicto y eficacia legislativa</w:t>
      </w:r>
      <w:r>
        <w:rPr>
          <w:rFonts w:ascii="Calibri" w:hAnsi="Calibri"/>
          <w:b w:val="0"/>
          <w:i w:val="0"/>
          <w:sz w:val="22"/>
        </w:rPr>
        <w:t xml:space="preserve">, más una quinta que Matus repite en su obra tardía: la </w:t>
      </w:r>
      <w:r>
        <w:rPr>
          <w:rFonts w:ascii="Calibri" w:hAnsi="Calibri"/>
          <w:b/>
          <w:i w:val="0"/>
          <w:sz w:val="22"/>
        </w:rPr>
        <w:t>cohesión interna del oficialismo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El dashboard CiGob-Matus presenta cuatro indicadores con score declarado </w:t>
      </w:r>
      <w:r>
        <w:rPr>
          <w:rFonts w:ascii="Calibri" w:hAnsi="Calibri"/>
          <w:b/>
          <w:i w:val="0"/>
          <w:sz w:val="22"/>
        </w:rPr>
        <w:t>+0 (tensión moderada)</w:t>
      </w:r>
      <w:r>
        <w:rPr>
          <w:rFonts w:ascii="Calibri" w:hAnsi="Calibri"/>
          <w:b w:val="0"/>
          <w:i w:val="0"/>
          <w:sz w:val="22"/>
        </w:rPr>
        <w:t>. La lectura preliminar es razonable, pero la composición del set revela un sesgo que conviene explicitar.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A. Indicadores presentes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Valor actual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Fuente probable</w:t>
            </w:r>
          </w:p>
        </w:tc>
        <w:tc>
          <w:tcPr>
            <w:tcW w:type="dxa" w:w="2183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Fidelidad matusiana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Aprobación de gobierno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+8 pp (saldo positivo)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Promedio de consultoras (Poliarquía, Opinaia, Zuban-Córdoba, Synopsis)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Alta. Indicador canónico de capital político inmediato. Mide el componente "imagen" del stock.</w:t>
            </w:r>
          </w:p>
        </w:tc>
      </w:tr>
      <w:tr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Votómetro 2027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+6 pp (LLA 38% vs UxP 32%)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Votómetro propio CIGOB (web/votometro.html) — ponderación quíntuple + Monte Carlo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Alta. Es proyección de voto, segundo indicador clásico de Matus. Activo institucional propio: ventaja competitiva del dashboard frente a cualquier otro tablero de coyuntura argentino.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Conflictividad política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58/100 (medio-alta)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Probable: índice compuesto a partir de Diagnóstico Político / CEPA / monitoreos legislativos</w:t>
            </w:r>
          </w:p>
        </w:tc>
        <w:tc>
          <w:tcPr>
            <w:tcW w:type="dxa" w:w="2183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Media. Captura "oposición articulada" pero el 58/100 es opaco: no se sabe qué pondera (movilización, denuncias, bloqueos de quórum, declaraciones).</w:t>
            </w:r>
          </w:p>
        </w:tc>
      </w:tr>
      <w:tr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Eficacia legislativa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42% (proyectos aprobados / enviados)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HCDN + Senado, sistema de tracking de proyectos del Ejecutivo</w:t>
            </w:r>
          </w:p>
        </w:tc>
        <w:tc>
          <w:tcPr>
            <w:tcW w:type="dxa" w:w="2183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Alta. Indicador duro y verificable. Mide directamente la "capacidad de aprobar leyes" del listado matusiano.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Observación de composición</w:t>
      </w:r>
      <w:r>
        <w:rPr>
          <w:rFonts w:ascii="Calibri" w:hAnsi="Calibri"/>
          <w:b w:val="0"/>
          <w:i w:val="0"/>
          <w:sz w:val="22"/>
        </w:rPr>
        <w:t xml:space="preserve">: dos indicadores miden </w:t>
      </w:r>
      <w:r>
        <w:rPr>
          <w:rFonts w:ascii="Calibri" w:hAnsi="Calibri"/>
          <w:b w:val="0"/>
          <w:i/>
          <w:sz w:val="22"/>
        </w:rPr>
        <w:t>imagen + voto</w:t>
      </w:r>
      <w:r>
        <w:rPr>
          <w:rFonts w:ascii="Calibri" w:hAnsi="Calibri"/>
          <w:b w:val="0"/>
          <w:i w:val="0"/>
          <w:sz w:val="22"/>
        </w:rPr>
        <w:t xml:space="preserve"> (aprobación, Votómetro), uno mide </w:t>
      </w:r>
      <w:r>
        <w:rPr>
          <w:rFonts w:ascii="Calibri" w:hAnsi="Calibri"/>
          <w:b w:val="0"/>
          <w:i/>
          <w:sz w:val="22"/>
        </w:rPr>
        <w:t>conflicto</w:t>
      </w:r>
      <w:r>
        <w:rPr>
          <w:rFonts w:ascii="Calibri" w:hAnsi="Calibri"/>
          <w:b w:val="0"/>
          <w:i w:val="0"/>
          <w:sz w:val="22"/>
        </w:rPr>
        <w:t xml:space="preserve"> y uno mide </w:t>
      </w:r>
      <w:r>
        <w:rPr>
          <w:rFonts w:ascii="Calibri" w:hAnsi="Calibri"/>
          <w:b w:val="0"/>
          <w:i/>
          <w:sz w:val="22"/>
        </w:rPr>
        <w:t>eficacia</w:t>
      </w:r>
      <w:r>
        <w:rPr>
          <w:rFonts w:ascii="Calibri" w:hAnsi="Calibri"/>
          <w:b w:val="0"/>
          <w:i w:val="0"/>
          <w:sz w:val="22"/>
        </w:rPr>
        <w:t xml:space="preserve">. Falta toda la dimensión institucional de capital político: relación con gobernadores, cohesión de bloque, judicialización, confianza institucional comparada. </w:t>
      </w:r>
      <w:r>
        <w:rPr>
          <w:rFonts w:ascii="Calibri" w:hAnsi="Calibri"/>
          <w:b/>
          <w:i w:val="0"/>
          <w:sz w:val="22"/>
        </w:rPr>
        <w:t>2 de 4 son la misma familia de variable</w:t>
      </w:r>
      <w:r>
        <w:rPr>
          <w:rFonts w:ascii="Calibri" w:hAnsi="Calibri"/>
          <w:b w:val="0"/>
          <w:i w:val="0"/>
          <w:sz w:val="22"/>
        </w:rPr>
        <w:t xml:space="preserve"> (popularidad expresada en encuesta).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B. Indicadores faltantes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Priorizados de mayor a menor relevancia matusiana, con foco en lo construible desde fuentes públicas argentinas. </w:t>
      </w:r>
      <w:r>
        <w:rPr>
          <w:rFonts w:ascii="Calibri" w:hAnsi="Calibri"/>
          <w:b/>
          <w:i w:val="0"/>
          <w:sz w:val="22"/>
        </w:rPr>
        <w:t>Marcados [CIGOB]</w:t>
      </w:r>
      <w:r>
        <w:rPr>
          <w:rFonts w:ascii="Calibri" w:hAnsi="Calibri"/>
          <w:b w:val="0"/>
          <w:i w:val="0"/>
          <w:sz w:val="22"/>
        </w:rPr>
        <w:t xml:space="preserve"> los que son extensión natural del Votómetro y por lo tanto de </w:t>
      </w:r>
      <w:r>
        <w:rPr>
          <w:rFonts w:ascii="Calibri" w:hAnsi="Calibri"/>
          <w:b/>
          <w:i w:val="0"/>
          <w:sz w:val="22"/>
        </w:rPr>
        <w:t>costo bajísimo</w:t>
      </w:r>
      <w:r>
        <w:rPr>
          <w:rFonts w:ascii="Calibri" w:hAnsi="Calibri"/>
          <w:b w:val="0"/>
          <w:i w:val="0"/>
          <w:sz w:val="22"/>
        </w:rPr>
        <w:t xml:space="preserve"> porque ya hay activo recolectado.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455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455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Por qué importa para Matus</w:t>
            </w:r>
          </w:p>
        </w:tc>
        <w:tc>
          <w:tcPr>
            <w:tcW w:type="dxa" w:w="1455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Fuente concreta</w:t>
            </w:r>
          </w:p>
        </w:tc>
        <w:tc>
          <w:tcPr>
            <w:tcW w:type="dxa" w:w="1455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455"/>
            <w:vAlign w:val="center"/>
            <w:shd w:val="clear" w:color="auto" w:fill="1E5F9E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1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Cohesión del oficialismo en Congreso (% de disidencias en votaciones nominales del bloque LLA + aliados PRO)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Capital político #5: cohesión interna. Una coalición que pierde votos propios pierde gobernabilidad antes que una imagen pública. Es el indicador que faltó leer en 2001 y en 2008.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HCDN — actas de votación nominales (votaciones.hcdn.gob.ar) + Senado. Procesable con scraping simple.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Quincenal en período de sesiones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  <w:tr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2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Posición frente a gobernadores (índice de alineamiento: votos del bloque del gobernador en Congreso + adhesiones públicas + firmas de pactos como Pacto de Mayo / RIGI)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En el federalismo argentino, el capital político del Ejecutivo se juega en las 24 jurisdicciones. Sin gobernadores no hay leyes ni reformas estructurales. Matus lo hubiera incluido como indicador de gobernabilidad subnacional.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Construcción propia: cruce de votaciones HCDN/Senado por bloque provincial + tracker de declaraciones (Infobae provincias, La Política Online).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Mensual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Medio</w:t>
            </w:r>
          </w:p>
        </w:tc>
      </w:tr>
      <w:tr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3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Judicialización del gobierno (causas activas contra funcionarios del Ejecutivo en CSJ + denuncias en fiscalías federales + medidas cautelares contra DNUs)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Matus (capital político): la oposición articulada moderna actúa por vía judicial tanto como parlamentaria. Cautelares contra DNUs y leyes ómnibus son síntoma temprano de erosión institucional.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CIJ (Centro de Información Judicial) + observatorios (Poder Ciudadano, ACIJ).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Mensual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Medio</w:t>
            </w:r>
          </w:p>
        </w:tc>
      </w:tr>
      <w:tr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4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Imagen comparada de líderes opositores [CIGOB] (Kicillof, CFK, Massa, Macri, Larreta, Schiaretti, Pullaro)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Capital político relativo: la imagen del presidente solo se entiende contra alternativas reales. Si oposición está fragmentada y con imagen baja, +8 pp del oficialismo vale más; si hay líder opositor en alza, vale menos.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Ya existente en consultoras Poliarquía / Opinaia / Zuban-Córdoba — es el mismo dataset que alimenta el Votómetro. Reutilizable sin costo adicional.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Mensual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  <w:tr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5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Movilización en calle / protesta política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Cinturón político ≠ cinturón social: la protesta política (marchas universitarias, sindicales con bandera política, federales) es presión sobre el sistema institucional, no sobre la vida cotidiana. Es indicador de "calle" que la imagen y el voto no capturan.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CEPA (Centro de Economía Política Argentina) — informe mensual de conflictividad. Diagnóstico Político (Aronskind). Nueva Mayoría (Fraga).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Mensual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  <w:tr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6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Confianza en instituciones (Congreso, Justicia, partidos, gobierno)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Capital político de fondo: la imagen de un presidente puede ser alta sobre un piso de desconfianza institucional generalizada — y eso hace cualquier ganancia frágil. Matus lee este indicador como "legitimidad sistémica".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UTDT — Índice de Confianza en el Gobierno (ICG); Latinobarómetro (anual).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Mensual (ICG) / Anual (Latinobarómetro)</w:t>
            </w:r>
          </w:p>
        </w:tc>
        <w:tc>
          <w:tcPr>
            <w:tcW w:type="dxa" w:w="1455"/>
            <w:vAlign w:val="center"/>
            <w:shd w:val="clear" w:color="auto" w:fill="EBF4FD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  <w:tr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7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Series de Votómetro desagregadas [CIGOB] (intención por distrito clave: PBA, CABA, Córdoba, Santa Fe, Mendoza)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El voto nacional agregado oculta la geografía política. PBA decide y tiene dinámica propia; Córdoba es bisagra. Matus pediría leer "el mapa, no el promedio".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Votómetro CIGOB ya tiene los datos provinciales en sus encuestas insumo — solo requiere desagregación visual.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Quincenal</w:t>
            </w:r>
          </w:p>
        </w:tc>
        <w:tc>
          <w:tcPr>
            <w:tcW w:type="dxa" w:w="1455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1A233A"/>
                <w:sz w:val="19"/>
              </w:rPr>
              <w:t>Bajo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Las filas 4 y 7 son </w:t>
      </w:r>
      <w:r>
        <w:rPr>
          <w:rFonts w:ascii="Calibri" w:hAnsi="Calibri"/>
          <w:b/>
          <w:i w:val="0"/>
          <w:sz w:val="22"/>
        </w:rPr>
        <w:t>ganancia inmediata</w:t>
      </w:r>
      <w:r>
        <w:rPr>
          <w:rFonts w:ascii="Calibri" w:hAnsi="Calibri"/>
          <w:b w:val="0"/>
          <w:i w:val="0"/>
          <w:sz w:val="22"/>
        </w:rPr>
        <w:t>: el Votómetro de CIGOB es un activo institucional propio (</w:t>
      </w:r>
      <w:r>
        <w:rPr>
          <w:rFonts w:ascii="Courier New" w:hAnsi="Courier New"/>
          <w:b w:val="0"/>
          <w:sz w:val="20"/>
        </w:rPr>
        <w:t>web/votometro.html</w:t>
      </w:r>
      <w:r>
        <w:rPr>
          <w:rFonts w:ascii="Calibri" w:hAnsi="Calibri"/>
          <w:b w:val="0"/>
          <w:i w:val="0"/>
          <w:sz w:val="22"/>
        </w:rPr>
        <w:t xml:space="preserve">, ver </w:t>
      </w:r>
      <w:r>
        <w:rPr>
          <w:rFonts w:ascii="Courier New" w:hAnsi="Courier New"/>
          <w:b w:val="0"/>
          <w:sz w:val="20"/>
        </w:rPr>
        <w:t>CLAUDE.md</w:t>
      </w:r>
      <w:r>
        <w:rPr>
          <w:rFonts w:ascii="Calibri" w:hAnsi="Calibri"/>
          <w:b w:val="0"/>
          <w:i w:val="0"/>
          <w:sz w:val="22"/>
        </w:rPr>
        <w:t>) que ya recolecta 99 encuestas con metodología quíntuple y Monte Carlo (σ=6,5 calibrado a error histórico argentino). Cualquier dashboard de CIGOB que use el Votómetro al 100% de su capacidad gana sin trabajo adicional.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C. Indicadores redundantes o débiles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Aprobación de gobierno + Votómetro 2027</w:t>
      </w:r>
      <w:r>
        <w:rPr>
          <w:rFonts w:ascii="Calibri" w:hAnsi="Calibri"/>
          <w:b w:val="0"/>
          <w:i w:val="0"/>
          <w:sz w:val="22"/>
        </w:rPr>
        <w:t xml:space="preserve"> son señales correlacionadas. No son redundantes en sentido estricto —imagen presente vs proyección de voto futuro—, pero como </w:t>
      </w:r>
      <w:r>
        <w:rPr>
          <w:rFonts w:ascii="Calibri" w:hAnsi="Calibri"/>
          <w:b/>
          <w:i w:val="0"/>
          <w:sz w:val="22"/>
        </w:rPr>
        <w:t>2 de 4 indicadores miden lo mismo desde lados parecidos</w:t>
      </w:r>
      <w:r>
        <w:rPr>
          <w:rFonts w:ascii="Calibri" w:hAnsi="Calibri"/>
          <w:b w:val="0"/>
          <w:i w:val="0"/>
          <w:sz w:val="22"/>
        </w:rPr>
        <w:t xml:space="preserve">, sobreponderan la dimensión "popularidad" sobre las dimensiones "institucional" y "coalicional". Recomendación: mantener ambos, pero </w:t>
      </w:r>
      <w:r>
        <w:rPr>
          <w:rFonts w:ascii="Calibri" w:hAnsi="Calibri"/>
          <w:b/>
          <w:i w:val="0"/>
          <w:sz w:val="22"/>
        </w:rPr>
        <w:t>reducir su peso conjunto</w:t>
      </w:r>
      <w:r>
        <w:rPr>
          <w:rFonts w:ascii="Calibri" w:hAnsi="Calibri"/>
          <w:b w:val="0"/>
          <w:i w:val="0"/>
          <w:sz w:val="22"/>
        </w:rPr>
        <w:t xml:space="preserve"> dentro del score y agregar al menos uno de los 1-3 de la sección B.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Conflictividad política 58/100</w:t>
      </w:r>
      <w:r>
        <w:rPr>
          <w:rFonts w:ascii="Calibri" w:hAnsi="Calibri"/>
          <w:b w:val="0"/>
          <w:i w:val="0"/>
          <w:sz w:val="22"/>
        </w:rPr>
        <w:t xml:space="preserve"> es un score sintético cuya construcción no se publica. En la metodología matusiana, los índices opacos son trampa: parecen objetivos pero en realidad encapsulan decisiones del autor. Recomendación: </w:t>
      </w:r>
      <w:r>
        <w:rPr>
          <w:rFonts w:ascii="Calibri" w:hAnsi="Calibri"/>
          <w:b/>
          <w:i w:val="0"/>
          <w:sz w:val="22"/>
        </w:rPr>
        <w:t>abrir el indicador</w:t>
      </w:r>
      <w:r>
        <w:rPr>
          <w:rFonts w:ascii="Calibri" w:hAnsi="Calibri"/>
          <w:b w:val="0"/>
          <w:i w:val="0"/>
          <w:sz w:val="22"/>
        </w:rPr>
        <w:t xml:space="preserve"> en sus componentes (movilización, denuncias, obstrucción legislativa) o reemplazarlo por #5 de la sección B (movilización en calle, fuente CEPA + Diagnóstico Político — explícita y trazable).</w:t>
      </w:r>
    </w:p>
    <w:p>
      <w:pPr>
        <w:spacing w:after="60"/>
        <w:ind w:left="454" w:hanging="283"/>
      </w:pPr>
      <w:r>
        <w:rPr>
          <w:rFonts w:ascii="Calibri" w:hAnsi="Calibri"/>
          <w:b w:val="0"/>
          <w:color w:val="1E5F9E"/>
          <w:sz w:val="22"/>
        </w:rPr>
        <w:t xml:space="preserve">•  </w:t>
      </w:r>
      <w:r>
        <w:rPr>
          <w:rFonts w:ascii="Calibri" w:hAnsi="Calibri"/>
          <w:b/>
          <w:i w:val="0"/>
          <w:sz w:val="22"/>
        </w:rPr>
        <w:t>Eficacia legislativa 42%</w:t>
      </w:r>
      <w:r>
        <w:rPr>
          <w:rFonts w:ascii="Calibri" w:hAnsi="Calibri"/>
          <w:b w:val="0"/>
          <w:i w:val="0"/>
          <w:sz w:val="22"/>
        </w:rPr>
        <w:t xml:space="preserve"> es sólido como indicador, pero el numerador "proyectos aprobados / enviados" puede sesgarse: un gobierno que envía pocos proyectos pero los hace pasar todos tendrá 100%, y un gobierno que envía muchos por estrategia de inundación tendrá 30% sin que eso sea fracaso. Sugerencia: complementarlo con </w:t>
      </w:r>
      <w:r>
        <w:rPr>
          <w:rFonts w:ascii="Calibri" w:hAnsi="Calibri"/>
          <w:b/>
          <w:i w:val="0"/>
          <w:sz w:val="22"/>
        </w:rPr>
        <w:t>tasa de DNU</w:t>
      </w:r>
      <w:r>
        <w:rPr>
          <w:rFonts w:ascii="Calibri" w:hAnsi="Calibri"/>
          <w:b w:val="0"/>
          <w:i w:val="0"/>
          <w:sz w:val="22"/>
        </w:rPr>
        <w:t xml:space="preserve"> (cuántos decretos de necesidad y urgencia firma el Ejecutivo) — mide la </w:t>
      </w:r>
      <w:r>
        <w:rPr>
          <w:rFonts w:ascii="Calibri" w:hAnsi="Calibri"/>
          <w:b/>
          <w:i w:val="0"/>
          <w:sz w:val="22"/>
        </w:rPr>
        <w:t>vía alternativa</w:t>
      </w:r>
      <w:r>
        <w:rPr>
          <w:rFonts w:ascii="Calibri" w:hAnsi="Calibri"/>
          <w:b w:val="0"/>
          <w:i w:val="0"/>
          <w:sz w:val="22"/>
        </w:rPr>
        <w:t xml:space="preserve"> que toma el gobierno cuando no logra aprobar por ley.</w:t>
      </w:r>
    </w:p>
    <w:p>
      <w:pPr>
        <w:pBdr>
          <w:bottom w:val="single" w:sz="6" w:space="4" w:color="3A8FC9"/>
        </w:pBdr>
        <w:spacing w:before="120" w:after="120"/>
      </w:pPr>
    </w:p>
    <w:p>
      <w:pPr>
        <w:spacing w:before="200" w:after="120"/>
      </w:pPr>
      <w:r>
        <w:rPr>
          <w:rFonts w:ascii="Calibri" w:hAnsi="Calibri"/>
          <w:b/>
          <w:color w:val="1E5F9E"/>
          <w:sz w:val="30"/>
        </w:rPr>
        <w:t>D. Lectura matusiana del cinturón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Estado actual</w:t>
      </w:r>
      <w:r>
        <w:rPr>
          <w:rFonts w:ascii="Calibri" w:hAnsi="Calibri"/>
          <w:b w:val="0"/>
          <w:i w:val="0"/>
          <w:sz w:val="22"/>
        </w:rPr>
        <w:t xml:space="preserve">: tensión moderada (+0 en el scoring del propio dashboard) es lectura razonable. Hay dos indicadores en verde —aprobación +8, Votómetro +6— y dos en amarillo/rojo —conflictividad 58/100, eficacia 42%—. El cuadro coincide con la fase típica del segundo año de un gobierno de minoría: aún sostiene imagen pero ya empieza a pagar costos legislativos y de calle. Es exactamente la zona donde, según Matus, </w:t>
      </w:r>
      <w:r>
        <w:rPr>
          <w:rFonts w:ascii="Calibri" w:hAnsi="Calibri"/>
          <w:b/>
          <w:i w:val="0"/>
          <w:sz w:val="22"/>
        </w:rPr>
        <w:t>el capital político se gasta más rápido de lo que se acumula</w:t>
      </w:r>
      <w:r>
        <w:rPr>
          <w:rFonts w:ascii="Calibri" w:hAnsi="Calibri"/>
          <w:b w:val="0"/>
          <w:i w:val="0"/>
          <w:sz w:val="22"/>
        </w:rPr>
        <w:t>: cada veto judicial a un DNU, cada gobernador que se corre, cada disidencia en el bloque, descuenta del stock sin que la imagen lo refleje en tiempo real.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Barbarismo al que está expuesto</w:t>
      </w:r>
      <w:r>
        <w:rPr>
          <w:rFonts w:ascii="Calibri" w:hAnsi="Calibri"/>
          <w:b w:val="0"/>
          <w:i w:val="0"/>
          <w:sz w:val="22"/>
        </w:rPr>
        <w:t xml:space="preserve">: el barbarismo </w:t>
      </w:r>
      <w:r>
        <w:rPr>
          <w:rFonts w:ascii="Calibri" w:hAnsi="Calibri"/>
          <w:b/>
          <w:i w:val="0"/>
          <w:sz w:val="22"/>
        </w:rPr>
        <w:t>político</w:t>
      </w:r>
      <w:r>
        <w:rPr>
          <w:rFonts w:ascii="Calibri" w:hAnsi="Calibri"/>
          <w:b w:val="0"/>
          <w:i w:val="0"/>
          <w:sz w:val="22"/>
        </w:rPr>
        <w:t xml:space="preserve"> (brief, sección 3 y 5; en literatura secundaria también llamado "demagógico-político"). El observador que solo mira esta pestaña ve dos indicadores de imagen/voto —aprobación y Votómetro—, uno opaco —conflictividad— y uno legislativo. Concluye, razonablemente, que el gobierno está "en tensión moderada pero arriba". Lo que </w:t>
      </w:r>
      <w:r>
        <w:rPr>
          <w:rFonts w:ascii="Calibri" w:hAnsi="Calibri"/>
          <w:b/>
          <w:i w:val="0"/>
          <w:sz w:val="22"/>
        </w:rPr>
        <w:t>no ve</w:t>
      </w:r>
      <w:r>
        <w:rPr>
          <w:rFonts w:ascii="Calibri" w:hAnsi="Calibri"/>
          <w:b w:val="0"/>
          <w:i w:val="0"/>
          <w:sz w:val="22"/>
        </w:rPr>
        <w:t xml:space="preserve"> es: el bloque oficialista pierde votaciones por adentro, dos gobernadores clave bajaron del Pacto de Mayo, hay 14 cautelares contra DNUs, y la imagen de Kicillof creció 6 puntos. Toda la maquinaria institucional del capital político queda fuera de cuadro. </w:t>
      </w:r>
      <w:r>
        <w:rPr>
          <w:rFonts w:ascii="Calibri" w:hAnsi="Calibri"/>
          <w:b/>
          <w:i w:val="0"/>
          <w:sz w:val="22"/>
        </w:rPr>
        <w:t>Eso es el barbarismo político operando en su forma demagógica: confundir popularidad con poder</w:t>
      </w:r>
      <w:r>
        <w:rPr>
          <w:rFonts w:ascii="Calibri" w:hAnsi="Calibri"/>
          <w:b w:val="0"/>
          <w:i w:val="0"/>
          <w:sz w:val="22"/>
        </w:rPr>
        <w:t>, "departamentalizar la eficacia política e ignorar los problemas económicos y gerenciales para dar beneficios y favores políticos hoy que crearán mañana una crisis por agotamiento de la base económica y organizativa" (Matus, citado en brief §3). Es la misma lectura que hizo Macri en 2018 (alta imagen + parálisis legislativa + pérdida de gobernadores → derrota 2019) o Alberto Fernández en 2022.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Recomendación de rediseño</w:t>
      </w:r>
      <w:r>
        <w:rPr>
          <w:rFonts w:ascii="Calibri" w:hAnsi="Calibri"/>
          <w:b w:val="0"/>
          <w:i w:val="0"/>
          <w:sz w:val="22"/>
        </w:rPr>
        <w:t xml:space="preserve"> (concreta):</w:t>
      </w:r>
    </w:p>
    <w:p>
      <w:pPr>
        <w:spacing w:after="60"/>
        <w:ind w:left="454" w:hanging="283"/>
      </w:pPr>
      <w:r>
        <w:rPr>
          <w:rFonts w:ascii="Calibri" w:hAnsi="Calibri"/>
          <w:b/>
          <w:color w:val="1A233A"/>
          <w:sz w:val="22"/>
        </w:rPr>
        <w:t xml:space="preserve">1.  </w:t>
      </w:r>
      <w:r>
        <w:rPr>
          <w:rFonts w:ascii="Calibri" w:hAnsi="Calibri"/>
          <w:b/>
          <w:i w:val="0"/>
          <w:sz w:val="22"/>
        </w:rPr>
        <w:t>Sustituir uno de los dos indicadores de popularidad</w:t>
      </w:r>
      <w:r>
        <w:rPr>
          <w:rFonts w:ascii="Calibri" w:hAnsi="Calibri"/>
          <w:b w:val="0"/>
          <w:i w:val="0"/>
          <w:sz w:val="22"/>
        </w:rPr>
        <w:t xml:space="preserve"> (aprobación o Votómetro nacional) por el indicador #1: cohesión del bloque oficialista. El Votómetro nacional puede mantenerse como gráfico secundario; lo que el cuadro principal pierde en redundancia, lo gana en lectura institucional.</w:t>
      </w:r>
    </w:p>
    <w:p>
      <w:pPr>
        <w:spacing w:after="60"/>
        <w:ind w:left="454" w:hanging="283"/>
      </w:pPr>
      <w:r>
        <w:rPr>
          <w:rFonts w:ascii="Calibri" w:hAnsi="Calibri"/>
          <w:b/>
          <w:color w:val="1A233A"/>
          <w:sz w:val="22"/>
        </w:rPr>
        <w:t xml:space="preserve">2.  </w:t>
      </w:r>
      <w:r>
        <w:rPr>
          <w:rFonts w:ascii="Calibri" w:hAnsi="Calibri"/>
          <w:b/>
          <w:i w:val="0"/>
          <w:sz w:val="22"/>
        </w:rPr>
        <w:t>Agregar el indicador #2 (gobernadores)</w:t>
      </w:r>
      <w:r>
        <w:rPr>
          <w:rFonts w:ascii="Calibri" w:hAnsi="Calibri"/>
          <w:b w:val="0"/>
          <w:i w:val="0"/>
          <w:sz w:val="22"/>
        </w:rPr>
        <w:t xml:space="preserve"> como cuarto fijo. En Argentina federal, sin gobernadores no hay capital político operativo. Es la diferencia entre "tener buena imagen" y "poder gobernar".</w:t>
      </w:r>
    </w:p>
    <w:p>
      <w:pPr>
        <w:spacing w:after="60"/>
        <w:ind w:left="454" w:hanging="283"/>
      </w:pPr>
      <w:r>
        <w:rPr>
          <w:rFonts w:ascii="Calibri" w:hAnsi="Calibri"/>
          <w:b/>
          <w:color w:val="1A233A"/>
          <w:sz w:val="22"/>
        </w:rPr>
        <w:t xml:space="preserve">3.  </w:t>
      </w:r>
      <w:r>
        <w:rPr>
          <w:rFonts w:ascii="Calibri" w:hAnsi="Calibri"/>
          <w:b/>
          <w:i w:val="0"/>
          <w:sz w:val="22"/>
        </w:rPr>
        <w:t>Explicitar la metodología del 58/100 de conflictividad</w:t>
      </w:r>
      <w:r>
        <w:rPr>
          <w:rFonts w:ascii="Calibri" w:hAnsi="Calibri"/>
          <w:b w:val="0"/>
          <w:i w:val="0"/>
          <w:sz w:val="22"/>
        </w:rPr>
        <w:t xml:space="preserve"> o reemplazarlo por movilización en calle CEPA, que sí es público y auditable.</w:t>
      </w:r>
    </w:p>
    <w:p>
      <w:pPr>
        <w:spacing w:after="60"/>
        <w:ind w:left="454" w:hanging="283"/>
      </w:pPr>
      <w:r>
        <w:rPr>
          <w:rFonts w:ascii="Calibri" w:hAnsi="Calibri"/>
          <w:b/>
          <w:color w:val="1A233A"/>
          <w:sz w:val="22"/>
        </w:rPr>
        <w:t xml:space="preserve">4.  </w:t>
      </w:r>
      <w:r>
        <w:rPr>
          <w:rFonts w:ascii="Calibri" w:hAnsi="Calibri"/>
          <w:b/>
          <w:i w:val="0"/>
          <w:sz w:val="22"/>
        </w:rPr>
        <w:t>Activar plenamente el Votómetro propio</w:t>
      </w:r>
      <w:r>
        <w:rPr>
          <w:rFonts w:ascii="Calibri" w:hAnsi="Calibri"/>
          <w:b w:val="0"/>
          <w:i w:val="0"/>
          <w:sz w:val="22"/>
        </w:rPr>
        <w:t>: desagregar por provincia (#7) e incorporar imagen comparada de líderes opositores (#4). Son insumos que CIGOB ya recolecta — el dashboard está subutilizando un activo institucional propio. Esto es, además, un punto de diferenciación frente a cualquier tablero competidor de coyuntura argentina: nadie más tiene la serie histórica del Votómetro CIGOB con calibración Monte Carlo y prior de fundamentals.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Con esos cuatro cambios la pestaña política gana </w:t>
      </w:r>
      <w:r>
        <w:rPr>
          <w:rFonts w:ascii="Calibri" w:hAnsi="Calibri"/>
          <w:b/>
          <w:i w:val="0"/>
          <w:sz w:val="22"/>
        </w:rPr>
        <w:t>dimensión institucional, federal y coalicional</w:t>
      </w:r>
      <w:r>
        <w:rPr>
          <w:rFonts w:ascii="Calibri" w:hAnsi="Calibri"/>
          <w:b w:val="0"/>
          <w:i w:val="0"/>
          <w:sz w:val="22"/>
        </w:rPr>
        <w:t>, queda blindada contra el barbarismo político/demagógico, y capitaliza el activo que el propio proyecto ya construyó.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3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