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5D8A" w14:textId="77777777" w:rsidR="000A3586" w:rsidRPr="002E707A" w:rsidRDefault="00000000">
      <w:pPr>
        <w:pBdr>
          <w:bottom w:val="single" w:sz="12" w:space="4" w:color="1E5F9E"/>
        </w:pBdr>
        <w:spacing w:before="480"/>
        <w:rPr>
          <w:lang w:val="es-UY"/>
        </w:rPr>
      </w:pPr>
      <w:r w:rsidRPr="002E707A">
        <w:rPr>
          <w:b/>
          <w:sz w:val="40"/>
          <w:lang w:val="es-UY"/>
        </w:rPr>
        <w:t>Monitor de la Vida Cotidiana — Fuentes, Métodos y Estado de Implementación</w:t>
      </w:r>
    </w:p>
    <w:p w14:paraId="154F3780" w14:textId="77777777" w:rsidR="000A3586" w:rsidRPr="002E707A" w:rsidRDefault="00000000">
      <w:pPr>
        <w:rPr>
          <w:lang w:val="es-UY"/>
        </w:rPr>
      </w:pPr>
      <w:r w:rsidRPr="002E707A">
        <w:rPr>
          <w:b/>
          <w:lang w:val="es-UY"/>
        </w:rPr>
        <w:t>Subtítulo:</w:t>
      </w:r>
      <w:r w:rsidRPr="002E707A">
        <w:rPr>
          <w:lang w:val="es-UY"/>
        </w:rPr>
        <w:t xml:space="preserve"> Respuesta técnica a la propuesta de 15 indicadores para el Cinturón de la Vida Cotidiana (marco Matus)</w:t>
      </w:r>
    </w:p>
    <w:p w14:paraId="1B10DE1A" w14:textId="77777777" w:rsidR="000A3586" w:rsidRPr="002E707A" w:rsidRDefault="00000000">
      <w:pPr>
        <w:rPr>
          <w:lang w:val="es-UY"/>
        </w:rPr>
      </w:pPr>
      <w:r w:rsidRPr="002E707A">
        <w:rPr>
          <w:b/>
          <w:lang w:val="es-UY"/>
        </w:rPr>
        <w:t>Fecha:</w:t>
      </w:r>
      <w:r w:rsidRPr="002E707A">
        <w:rPr>
          <w:lang w:val="es-UY"/>
        </w:rPr>
        <w:t xml:space="preserve"> 10 de mayo de 2026</w:t>
      </w:r>
    </w:p>
    <w:p w14:paraId="7125528D" w14:textId="77777777" w:rsidR="000A3586" w:rsidRPr="002E707A" w:rsidRDefault="00000000">
      <w:pPr>
        <w:rPr>
          <w:lang w:val="es-UY"/>
        </w:rPr>
      </w:pPr>
      <w:r w:rsidRPr="002E707A">
        <w:rPr>
          <w:b/>
          <w:lang w:val="es-UY"/>
        </w:rPr>
        <w:t>Emisor:</w:t>
      </w:r>
      <w:r w:rsidRPr="002E707A">
        <w:rPr>
          <w:lang w:val="es-UY"/>
        </w:rPr>
        <w:t xml:space="preserve"> Fundación CIGOB — Equipo de Datos y Análisis</w:t>
      </w:r>
    </w:p>
    <w:p w14:paraId="3FDCD386" w14:textId="77777777" w:rsidR="000A3586" w:rsidRPr="002E707A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15AB8F87" w14:textId="77777777" w:rsidR="000A3586" w:rsidRPr="002E707A" w:rsidRDefault="00000000">
      <w:pPr>
        <w:spacing w:before="200"/>
        <w:rPr>
          <w:lang w:val="es-UY"/>
        </w:rPr>
      </w:pPr>
      <w:r w:rsidRPr="002E707A">
        <w:rPr>
          <w:b/>
          <w:color w:val="1E5F9E"/>
          <w:sz w:val="30"/>
          <w:lang w:val="es-UY"/>
        </w:rPr>
        <w:t>1. Qué es este documento</w:t>
      </w:r>
    </w:p>
    <w:p w14:paraId="71ADEB55" w14:textId="77777777" w:rsidR="000A3586" w:rsidRPr="002E707A" w:rsidRDefault="00000000">
      <w:pPr>
        <w:rPr>
          <w:lang w:val="es-UY"/>
        </w:rPr>
      </w:pPr>
      <w:r w:rsidRPr="002E707A">
        <w:rPr>
          <w:lang w:val="es-UY"/>
        </w:rPr>
        <w:t xml:space="preserve">El equipo nos acercó una propuesta de </w:t>
      </w:r>
      <w:r w:rsidRPr="002E707A">
        <w:rPr>
          <w:b/>
          <w:lang w:val="es-UY"/>
        </w:rPr>
        <w:t>15 indicadores</w:t>
      </w:r>
      <w:r w:rsidRPr="002E707A">
        <w:rPr>
          <w:lang w:val="es-UY"/>
        </w:rPr>
        <w:t xml:space="preserve"> organizados en cuatro grupos (Bolsillo, Laborales, Servicios, Clima) para monitorear lo que Matus llama el </w:t>
      </w:r>
      <w:r w:rsidRPr="002E707A">
        <w:rPr>
          <w:b/>
          <w:lang w:val="es-UY"/>
        </w:rPr>
        <w:t>Cinturón de la Vida Cotidiana</w:t>
      </w:r>
      <w:r w:rsidRPr="002E707A">
        <w:rPr>
          <w:lang w:val="es-UY"/>
        </w:rPr>
        <w:t xml:space="preserve"> del Triángulo de Gobierno: aquello que el ciudadano siente </w:t>
      </w:r>
      <w:r w:rsidRPr="002E707A">
        <w:rPr>
          <w:i/>
          <w:lang w:val="es-UY"/>
        </w:rPr>
        <w:t>antes</w:t>
      </w:r>
      <w:r w:rsidRPr="002E707A">
        <w:rPr>
          <w:lang w:val="es-UY"/>
        </w:rPr>
        <w:t xml:space="preserve"> de leer un titular macroeconómico.</w:t>
      </w:r>
    </w:p>
    <w:p w14:paraId="382A0C0C" w14:textId="77777777" w:rsidR="000A3586" w:rsidRPr="002E707A" w:rsidRDefault="00000000">
      <w:pPr>
        <w:rPr>
          <w:lang w:val="es-UY"/>
        </w:rPr>
      </w:pPr>
      <w:r w:rsidRPr="002E707A">
        <w:rPr>
          <w:lang w:val="es-UY"/>
        </w:rPr>
        <w:t xml:space="preserve">Este documento reporta el resultado de la investigación de fuentes, la escritura del código de recolección, las pruebas de cada conector y las </w:t>
      </w:r>
      <w:r w:rsidRPr="002E707A">
        <w:rPr>
          <w:b/>
          <w:lang w:val="es-UY"/>
        </w:rPr>
        <w:t>sustituciones</w:t>
      </w:r>
      <w:r w:rsidRPr="002E707A">
        <w:rPr>
          <w:lang w:val="es-UY"/>
        </w:rPr>
        <w:t xml:space="preserve"> que tuvimos que adoptar cuando la fuente original no era viable (sin API, </w:t>
      </w:r>
      <w:proofErr w:type="spellStart"/>
      <w:r w:rsidRPr="002E707A">
        <w:rPr>
          <w:lang w:val="es-UY"/>
        </w:rPr>
        <w:t>PDFs</w:t>
      </w:r>
      <w:proofErr w:type="spellEnd"/>
      <w:r w:rsidRPr="002E707A">
        <w:rPr>
          <w:lang w:val="es-UY"/>
        </w:rPr>
        <w:t xml:space="preserve"> con hashes opacos, datos pagos, etc.). El criterio rector fue: </w:t>
      </w:r>
      <w:r w:rsidRPr="002E707A">
        <w:rPr>
          <w:b/>
          <w:lang w:val="es-UY"/>
        </w:rPr>
        <w:t>toda fuente debe ser pública, gratuita, automatizable y reproducible</w:t>
      </w:r>
      <w:r w:rsidRPr="002E707A">
        <w:rPr>
          <w:lang w:val="es-UY"/>
        </w:rPr>
        <w:t xml:space="preserve"> desde un único script (</w:t>
      </w:r>
      <w:r w:rsidRPr="002E707A">
        <w:rPr>
          <w:rFonts w:ascii="Courier New" w:hAnsi="Courier New"/>
          <w:sz w:val="20"/>
          <w:lang w:val="es-UY"/>
        </w:rPr>
        <w:t>scripts/</w:t>
      </w:r>
      <w:proofErr w:type="spellStart"/>
      <w:r w:rsidRPr="002E707A">
        <w:rPr>
          <w:rFonts w:ascii="Courier New" w:hAnsi="Courier New"/>
          <w:sz w:val="20"/>
          <w:lang w:val="es-UY"/>
        </w:rPr>
        <w:t>vida_cotidiana</w:t>
      </w:r>
      <w:proofErr w:type="spellEnd"/>
      <w:r w:rsidRPr="002E707A">
        <w:rPr>
          <w:rFonts w:ascii="Courier New" w:hAnsi="Courier New"/>
          <w:sz w:val="20"/>
          <w:lang w:val="es-UY"/>
        </w:rPr>
        <w:t>/main.py</w:t>
      </w:r>
      <w:r w:rsidRPr="002E707A">
        <w:rPr>
          <w:lang w:val="es-UY"/>
        </w:rPr>
        <w:t>).</w:t>
      </w:r>
    </w:p>
    <w:p w14:paraId="401CFF0D" w14:textId="77777777" w:rsidR="000A3586" w:rsidRPr="002E707A" w:rsidRDefault="00000000">
      <w:pPr>
        <w:rPr>
          <w:lang w:val="es-UY"/>
        </w:rPr>
      </w:pPr>
      <w:r w:rsidRPr="002E707A">
        <w:rPr>
          <w:lang w:val="es-UY"/>
        </w:rPr>
        <w:t>De los 15 indicadores propuestos:</w:t>
      </w:r>
    </w:p>
    <w:p w14:paraId="337175A2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11 quedaron implementados y corriendo</w:t>
      </w:r>
      <w:r w:rsidRPr="002E707A">
        <w:rPr>
          <w:lang w:val="es-UY"/>
        </w:rPr>
        <w:t xml:space="preserve"> automáticamente (con sustituciones en 6 de ellos).</w:t>
      </w:r>
    </w:p>
    <w:p w14:paraId="22BA8E83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2 quedaron implementados con fuente parcial / proxy</w:t>
      </w:r>
      <w:r w:rsidRPr="002E707A">
        <w:rPr>
          <w:lang w:val="es-UY"/>
        </w:rPr>
        <w:t xml:space="preserve"> (sentimiento digital vía Google </w:t>
      </w:r>
      <w:proofErr w:type="spellStart"/>
      <w:r w:rsidRPr="002E707A">
        <w:rPr>
          <w:lang w:val="es-UY"/>
        </w:rPr>
        <w:t>Trends</w:t>
      </w:r>
      <w:proofErr w:type="spellEnd"/>
      <w:r w:rsidRPr="002E707A">
        <w:rPr>
          <w:lang w:val="es-UY"/>
        </w:rPr>
        <w:t>; salud pública vía DEIS).</w:t>
      </w:r>
    </w:p>
    <w:p w14:paraId="69F9F614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1 quedó fuera del monitor automático</w:t>
      </w:r>
      <w:r w:rsidRPr="002E707A">
        <w:rPr>
          <w:lang w:val="es-UY"/>
        </w:rPr>
        <w:t xml:space="preserve"> por ser estructuralmente anual con rezago alto (deserción escolar).</w:t>
      </w:r>
    </w:p>
    <w:p w14:paraId="356249D6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1 está disponible en otro sistema CIGOB</w:t>
      </w:r>
      <w:r w:rsidRPr="002E707A">
        <w:rPr>
          <w:lang w:val="es-UY"/>
        </w:rPr>
        <w:t xml:space="preserve"> (apatía electoral → </w:t>
      </w:r>
      <w:proofErr w:type="spellStart"/>
      <w:r w:rsidRPr="002E707A">
        <w:rPr>
          <w:lang w:val="es-UY"/>
        </w:rPr>
        <w:t>Votómetro</w:t>
      </w:r>
      <w:proofErr w:type="spellEnd"/>
      <w:r w:rsidRPr="002E707A">
        <w:rPr>
          <w:lang w:val="es-UY"/>
        </w:rPr>
        <w:t>).</w:t>
      </w:r>
    </w:p>
    <w:p w14:paraId="16B77827" w14:textId="77777777" w:rsidR="000A3586" w:rsidRPr="002E707A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178928BE" w14:textId="77777777" w:rsidR="000A3586" w:rsidRDefault="00000000">
      <w:pPr>
        <w:spacing w:before="200"/>
      </w:pPr>
      <w:r>
        <w:rPr>
          <w:b/>
          <w:color w:val="1E5F9E"/>
          <w:sz w:val="30"/>
        </w:rPr>
        <w:t>2. Tabla resumen de los 15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1720"/>
        <w:gridCol w:w="1645"/>
        <w:gridCol w:w="1192"/>
        <w:gridCol w:w="1061"/>
        <w:gridCol w:w="1101"/>
        <w:gridCol w:w="1554"/>
      </w:tblGrid>
      <w:tr w:rsidR="000A3586" w14:paraId="4CB3C1A6" w14:textId="77777777" w:rsidTr="002E707A">
        <w:tc>
          <w:tcPr>
            <w:tcW w:w="675" w:type="dxa"/>
            <w:shd w:val="clear" w:color="auto" w:fill="1E5F9E"/>
            <w:vAlign w:val="center"/>
          </w:tcPr>
          <w:p w14:paraId="03ECB9D3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20" w:type="dxa"/>
            <w:shd w:val="clear" w:color="auto" w:fill="1E5F9E"/>
            <w:vAlign w:val="center"/>
          </w:tcPr>
          <w:p w14:paraId="2BA17AFE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645" w:type="dxa"/>
            <w:shd w:val="clear" w:color="auto" w:fill="1E5F9E"/>
            <w:vAlign w:val="center"/>
          </w:tcPr>
          <w:p w14:paraId="6CF8239C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Fuente real adoptada</w:t>
            </w:r>
          </w:p>
        </w:tc>
        <w:tc>
          <w:tcPr>
            <w:tcW w:w="1192" w:type="dxa"/>
            <w:shd w:val="clear" w:color="auto" w:fill="1E5F9E"/>
            <w:vAlign w:val="center"/>
          </w:tcPr>
          <w:p w14:paraId="067B0080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w="1061" w:type="dxa"/>
            <w:shd w:val="clear" w:color="auto" w:fill="1E5F9E"/>
            <w:vAlign w:val="center"/>
          </w:tcPr>
          <w:p w14:paraId="37CEE679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Último dato</w:t>
            </w:r>
          </w:p>
        </w:tc>
        <w:tc>
          <w:tcPr>
            <w:tcW w:w="1101" w:type="dxa"/>
            <w:shd w:val="clear" w:color="auto" w:fill="1E5F9E"/>
            <w:vAlign w:val="center"/>
          </w:tcPr>
          <w:p w14:paraId="176C7DBC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1554" w:type="dxa"/>
            <w:shd w:val="clear" w:color="auto" w:fill="1E5F9E"/>
            <w:vAlign w:val="center"/>
          </w:tcPr>
          <w:p w14:paraId="38205D9A" w14:textId="77777777" w:rsidR="000A3586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0A3586" w14:paraId="036A510B" w14:textId="77777777" w:rsidTr="002E707A">
        <w:tc>
          <w:tcPr>
            <w:tcW w:w="675" w:type="dxa"/>
            <w:vAlign w:val="center"/>
          </w:tcPr>
          <w:p w14:paraId="2718DBF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w="1720" w:type="dxa"/>
            <w:vAlign w:val="center"/>
          </w:tcPr>
          <w:p w14:paraId="7FBA6FD5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Brecha Salario/CBT</w:t>
            </w:r>
          </w:p>
        </w:tc>
        <w:tc>
          <w:tcPr>
            <w:tcW w:w="1645" w:type="dxa"/>
            <w:vAlign w:val="center"/>
          </w:tcPr>
          <w:p w14:paraId="2E6142EE" w14:textId="77777777" w:rsidR="000A3586" w:rsidRPr="002E707A" w:rsidRDefault="00000000">
            <w:pPr>
              <w:spacing w:before="60" w:after="60"/>
              <w:rPr>
                <w:lang w:val="es-UY"/>
              </w:rPr>
            </w:pPr>
            <w:r w:rsidRPr="002E707A">
              <w:rPr>
                <w:sz w:val="19"/>
                <w:lang w:val="es-UY"/>
              </w:rPr>
              <w:t>datos.gob.ar (RIPTE + CBT)</w:t>
            </w:r>
          </w:p>
        </w:tc>
        <w:tc>
          <w:tcPr>
            <w:tcW w:w="1192" w:type="dxa"/>
            <w:vAlign w:val="center"/>
          </w:tcPr>
          <w:p w14:paraId="6451645F" w14:textId="77777777" w:rsidR="000A3586" w:rsidRDefault="00000000">
            <w:pPr>
              <w:spacing w:before="60" w:after="60"/>
            </w:pPr>
            <w:proofErr w:type="spellStart"/>
            <w:r>
              <w:rPr>
                <w:sz w:val="19"/>
              </w:rPr>
              <w:t>Mensual</w:t>
            </w:r>
            <w:proofErr w:type="spellEnd"/>
          </w:p>
        </w:tc>
        <w:tc>
          <w:tcPr>
            <w:tcW w:w="1061" w:type="dxa"/>
            <w:vAlign w:val="center"/>
          </w:tcPr>
          <w:p w14:paraId="21848E65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mar-2026</w:t>
            </w:r>
          </w:p>
        </w:tc>
        <w:tc>
          <w:tcPr>
            <w:tcW w:w="1101" w:type="dxa"/>
            <w:vAlign w:val="center"/>
          </w:tcPr>
          <w:p w14:paraId="7557722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vAlign w:val="center"/>
          </w:tcPr>
          <w:p w14:paraId="36C374F3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607BF56E" w14:textId="77777777" w:rsidTr="002E707A">
        <w:tc>
          <w:tcPr>
            <w:tcW w:w="675" w:type="dxa"/>
            <w:shd w:val="clear" w:color="auto" w:fill="EBF4FD"/>
            <w:vAlign w:val="center"/>
          </w:tcPr>
          <w:p w14:paraId="20B3C068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2AE90C1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IPC-Alimentos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498235BC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datos.gob.ar (serie 146.3)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2354438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Mensual</w:t>
            </w:r>
          </w:p>
        </w:tc>
        <w:tc>
          <w:tcPr>
            <w:tcW w:w="1061" w:type="dxa"/>
            <w:shd w:val="clear" w:color="auto" w:fill="EBF4FD"/>
            <w:vAlign w:val="center"/>
          </w:tcPr>
          <w:p w14:paraId="72AFE197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mar-2026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606E639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05EFEDA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2614ECAF" w14:textId="77777777" w:rsidTr="002E707A">
        <w:tc>
          <w:tcPr>
            <w:tcW w:w="675" w:type="dxa"/>
            <w:vAlign w:val="center"/>
          </w:tcPr>
          <w:p w14:paraId="0E8362C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3</w:t>
            </w:r>
          </w:p>
        </w:tc>
        <w:tc>
          <w:tcPr>
            <w:tcW w:w="1720" w:type="dxa"/>
            <w:vAlign w:val="center"/>
          </w:tcPr>
          <w:p w14:paraId="6171B373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Endeudamiento Familiar</w:t>
            </w:r>
          </w:p>
        </w:tc>
        <w:tc>
          <w:tcPr>
            <w:tcW w:w="1645" w:type="dxa"/>
            <w:vAlign w:val="center"/>
          </w:tcPr>
          <w:p w14:paraId="61FE3B5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BCRA API v4.0</w:t>
            </w:r>
          </w:p>
        </w:tc>
        <w:tc>
          <w:tcPr>
            <w:tcW w:w="1192" w:type="dxa"/>
            <w:vAlign w:val="center"/>
          </w:tcPr>
          <w:p w14:paraId="7137360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Diaria</w:t>
            </w:r>
          </w:p>
        </w:tc>
        <w:tc>
          <w:tcPr>
            <w:tcW w:w="1061" w:type="dxa"/>
            <w:vAlign w:val="center"/>
          </w:tcPr>
          <w:p w14:paraId="6E21421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may-2026</w:t>
            </w:r>
          </w:p>
        </w:tc>
        <w:tc>
          <w:tcPr>
            <w:tcW w:w="1101" w:type="dxa"/>
            <w:vAlign w:val="center"/>
          </w:tcPr>
          <w:p w14:paraId="0CF1ADE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vAlign w:val="center"/>
          </w:tcPr>
          <w:p w14:paraId="2EA90AED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1CA5F237" w14:textId="77777777" w:rsidTr="002E707A">
        <w:tc>
          <w:tcPr>
            <w:tcW w:w="675" w:type="dxa"/>
            <w:shd w:val="clear" w:color="auto" w:fill="EBF4FD"/>
            <w:vAlign w:val="center"/>
          </w:tcPr>
          <w:p w14:paraId="0BC8AD1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2CA5626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Peso de Tarifas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5FBD372D" w14:textId="77777777" w:rsidR="000A3586" w:rsidRPr="002E707A" w:rsidRDefault="00000000">
            <w:pPr>
              <w:spacing w:before="60" w:after="60"/>
              <w:rPr>
                <w:lang w:val="es-UY"/>
              </w:rPr>
            </w:pPr>
            <w:r w:rsidRPr="002E707A">
              <w:rPr>
                <w:sz w:val="19"/>
                <w:lang w:val="es-UY"/>
              </w:rPr>
              <w:t>IPC-Vivienda + IPC-Regulados (proxy INDEC)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78FA9BCD" w14:textId="77777777" w:rsidR="000A3586" w:rsidRDefault="00000000">
            <w:pPr>
              <w:spacing w:before="60" w:after="60"/>
            </w:pPr>
            <w:proofErr w:type="spellStart"/>
            <w:r>
              <w:rPr>
                <w:sz w:val="19"/>
              </w:rPr>
              <w:t>Mensual</w:t>
            </w:r>
            <w:proofErr w:type="spellEnd"/>
          </w:p>
        </w:tc>
        <w:tc>
          <w:tcPr>
            <w:tcW w:w="1061" w:type="dxa"/>
            <w:shd w:val="clear" w:color="auto" w:fill="EBF4FD"/>
            <w:vAlign w:val="center"/>
          </w:tcPr>
          <w:p w14:paraId="4137FB3D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mar-2026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1BAE1F1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01EA82B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(proxy)</w:t>
            </w:r>
          </w:p>
        </w:tc>
      </w:tr>
      <w:tr w:rsidR="000A3586" w14:paraId="625E841C" w14:textId="77777777" w:rsidTr="002E707A">
        <w:tc>
          <w:tcPr>
            <w:tcW w:w="675" w:type="dxa"/>
            <w:vAlign w:val="center"/>
          </w:tcPr>
          <w:p w14:paraId="2549D6E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5</w:t>
            </w:r>
          </w:p>
        </w:tc>
        <w:tc>
          <w:tcPr>
            <w:tcW w:w="1720" w:type="dxa"/>
            <w:vAlign w:val="center"/>
          </w:tcPr>
          <w:p w14:paraId="1CC5A812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Consumo Carne Vacuna</w:t>
            </w:r>
          </w:p>
        </w:tc>
        <w:tc>
          <w:tcPr>
            <w:tcW w:w="1645" w:type="dxa"/>
            <w:vAlign w:val="center"/>
          </w:tcPr>
          <w:p w14:paraId="65CD79B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CICCRA (PDF mensual)</w:t>
            </w:r>
          </w:p>
        </w:tc>
        <w:tc>
          <w:tcPr>
            <w:tcW w:w="1192" w:type="dxa"/>
            <w:vAlign w:val="center"/>
          </w:tcPr>
          <w:p w14:paraId="16C2CCF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Mensual</w:t>
            </w:r>
          </w:p>
        </w:tc>
        <w:tc>
          <w:tcPr>
            <w:tcW w:w="1061" w:type="dxa"/>
            <w:vAlign w:val="center"/>
          </w:tcPr>
          <w:p w14:paraId="4A3D68F5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mar-2026</w:t>
            </w:r>
          </w:p>
        </w:tc>
        <w:tc>
          <w:tcPr>
            <w:tcW w:w="1101" w:type="dxa"/>
            <w:vAlign w:val="center"/>
          </w:tcPr>
          <w:p w14:paraId="30F0615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Scraping PDF</w:t>
            </w:r>
          </w:p>
        </w:tc>
        <w:tc>
          <w:tcPr>
            <w:tcW w:w="1554" w:type="dxa"/>
            <w:vAlign w:val="center"/>
          </w:tcPr>
          <w:p w14:paraId="10D1F988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1017E47F" w14:textId="77777777" w:rsidTr="002E707A">
        <w:tc>
          <w:tcPr>
            <w:tcW w:w="675" w:type="dxa"/>
            <w:shd w:val="clear" w:color="auto" w:fill="EBF4FD"/>
            <w:vAlign w:val="center"/>
          </w:tcPr>
          <w:p w14:paraId="5EFF1EB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6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7C4ACFBC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Informalidad Laboral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5D105D6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datos.gob.ar (serie 52.1)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57DC06D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Anual</w:t>
            </w:r>
          </w:p>
        </w:tc>
        <w:tc>
          <w:tcPr>
            <w:tcW w:w="1061" w:type="dxa"/>
            <w:shd w:val="clear" w:color="auto" w:fill="EBF4FD"/>
            <w:vAlign w:val="center"/>
          </w:tcPr>
          <w:p w14:paraId="2F00534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2025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3A88BD5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2AD38812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(anual)</w:t>
            </w:r>
          </w:p>
        </w:tc>
      </w:tr>
      <w:tr w:rsidR="000A3586" w14:paraId="137E4333" w14:textId="77777777" w:rsidTr="002E707A">
        <w:tc>
          <w:tcPr>
            <w:tcW w:w="675" w:type="dxa"/>
            <w:vAlign w:val="center"/>
          </w:tcPr>
          <w:p w14:paraId="7FA59A53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7</w:t>
            </w:r>
          </w:p>
        </w:tc>
        <w:tc>
          <w:tcPr>
            <w:tcW w:w="1720" w:type="dxa"/>
            <w:vAlign w:val="center"/>
          </w:tcPr>
          <w:p w14:paraId="0F1E5937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Mortalidad PyMEs</w:t>
            </w:r>
          </w:p>
        </w:tc>
        <w:tc>
          <w:tcPr>
            <w:tcW w:w="1645" w:type="dxa"/>
            <w:vAlign w:val="center"/>
          </w:tcPr>
          <w:p w14:paraId="1A515E9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IPI Manufacturero + EMAE (proxy INDEC)</w:t>
            </w:r>
          </w:p>
        </w:tc>
        <w:tc>
          <w:tcPr>
            <w:tcW w:w="1192" w:type="dxa"/>
            <w:vAlign w:val="center"/>
          </w:tcPr>
          <w:p w14:paraId="3EA65E8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Mensual</w:t>
            </w:r>
          </w:p>
        </w:tc>
        <w:tc>
          <w:tcPr>
            <w:tcW w:w="1061" w:type="dxa"/>
            <w:vAlign w:val="center"/>
          </w:tcPr>
          <w:p w14:paraId="0F85708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feb-2026</w:t>
            </w:r>
          </w:p>
        </w:tc>
        <w:tc>
          <w:tcPr>
            <w:tcW w:w="1101" w:type="dxa"/>
            <w:vAlign w:val="center"/>
          </w:tcPr>
          <w:p w14:paraId="0D3AE52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vAlign w:val="center"/>
          </w:tcPr>
          <w:p w14:paraId="2776CC0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(proxy)</w:t>
            </w:r>
          </w:p>
        </w:tc>
      </w:tr>
      <w:tr w:rsidR="000A3586" w14:paraId="1DB3A83C" w14:textId="77777777" w:rsidTr="002E707A">
        <w:tc>
          <w:tcPr>
            <w:tcW w:w="675" w:type="dxa"/>
            <w:shd w:val="clear" w:color="auto" w:fill="EBF4FD"/>
            <w:vAlign w:val="center"/>
          </w:tcPr>
          <w:p w14:paraId="6DE4AB67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8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7890913D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Despacho Cemento/Hierro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5D20D70E" w14:textId="77777777" w:rsidR="000A3586" w:rsidRPr="002E707A" w:rsidRDefault="00000000">
            <w:pPr>
              <w:spacing w:before="60" w:after="60"/>
              <w:rPr>
                <w:lang w:val="es-UY"/>
              </w:rPr>
            </w:pPr>
            <w:r w:rsidRPr="002E707A">
              <w:rPr>
                <w:sz w:val="19"/>
                <w:lang w:val="es-UY"/>
              </w:rPr>
              <w:t>ISAC + Acero crudo INDEC (proxy)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4FE724B4" w14:textId="77777777" w:rsidR="000A3586" w:rsidRDefault="00000000">
            <w:pPr>
              <w:spacing w:before="60" w:after="60"/>
            </w:pPr>
            <w:proofErr w:type="spellStart"/>
            <w:r>
              <w:rPr>
                <w:sz w:val="19"/>
              </w:rPr>
              <w:t>Mensual</w:t>
            </w:r>
            <w:proofErr w:type="spellEnd"/>
          </w:p>
        </w:tc>
        <w:tc>
          <w:tcPr>
            <w:tcW w:w="1061" w:type="dxa"/>
            <w:shd w:val="clear" w:color="auto" w:fill="EBF4FD"/>
            <w:vAlign w:val="center"/>
          </w:tcPr>
          <w:p w14:paraId="7177E77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feb-2026 / ene-2026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1FF733B8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6987E6F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(proxy)</w:t>
            </w:r>
          </w:p>
        </w:tc>
      </w:tr>
      <w:tr w:rsidR="000A3586" w14:paraId="57A047AC" w14:textId="77777777" w:rsidTr="002E707A">
        <w:tc>
          <w:tcPr>
            <w:tcW w:w="675" w:type="dxa"/>
            <w:vAlign w:val="center"/>
          </w:tcPr>
          <w:p w14:paraId="1049C2D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9</w:t>
            </w:r>
          </w:p>
        </w:tc>
        <w:tc>
          <w:tcPr>
            <w:tcW w:w="1720" w:type="dxa"/>
            <w:vAlign w:val="center"/>
          </w:tcPr>
          <w:p w14:paraId="78C5738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Pluriempleo</w:t>
            </w:r>
          </w:p>
        </w:tc>
        <w:tc>
          <w:tcPr>
            <w:tcW w:w="1645" w:type="dxa"/>
            <w:vAlign w:val="center"/>
          </w:tcPr>
          <w:p w14:paraId="49EEA4D7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Subocupación demandante EPH (proxy)</w:t>
            </w:r>
          </w:p>
        </w:tc>
        <w:tc>
          <w:tcPr>
            <w:tcW w:w="1192" w:type="dxa"/>
            <w:vAlign w:val="center"/>
          </w:tcPr>
          <w:p w14:paraId="6336A3F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Trimestral</w:t>
            </w:r>
          </w:p>
        </w:tc>
        <w:tc>
          <w:tcPr>
            <w:tcW w:w="1061" w:type="dxa"/>
            <w:vAlign w:val="center"/>
          </w:tcPr>
          <w:p w14:paraId="423E49F3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oct-2025</w:t>
            </w:r>
          </w:p>
        </w:tc>
        <w:tc>
          <w:tcPr>
            <w:tcW w:w="1101" w:type="dxa"/>
            <w:vAlign w:val="center"/>
          </w:tcPr>
          <w:p w14:paraId="6AA7C0B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JSON</w:t>
            </w:r>
          </w:p>
        </w:tc>
        <w:tc>
          <w:tcPr>
            <w:tcW w:w="1554" w:type="dxa"/>
            <w:vAlign w:val="center"/>
          </w:tcPr>
          <w:p w14:paraId="4099640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(proxy)</w:t>
            </w:r>
          </w:p>
        </w:tc>
      </w:tr>
      <w:tr w:rsidR="000A3586" w14:paraId="06480B8D" w14:textId="77777777" w:rsidTr="002E707A">
        <w:tc>
          <w:tcPr>
            <w:tcW w:w="675" w:type="dxa"/>
            <w:shd w:val="clear" w:color="auto" w:fill="EBF4FD"/>
            <w:vAlign w:val="center"/>
          </w:tcPr>
          <w:p w14:paraId="3AEA827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10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519C58DD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Deserción Escolar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7609E84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Min. Educación (RA)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751FFAE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Anual + rezago</w:t>
            </w:r>
          </w:p>
        </w:tc>
        <w:tc>
          <w:tcPr>
            <w:tcW w:w="1061" w:type="dxa"/>
            <w:shd w:val="clear" w:color="auto" w:fill="EBF4FD"/>
            <w:vAlign w:val="center"/>
          </w:tcPr>
          <w:p w14:paraId="66E8478D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—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780DE6E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Manual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485F2CD7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NO AUTOMATIZABLE</w:t>
            </w:r>
          </w:p>
        </w:tc>
      </w:tr>
      <w:tr w:rsidR="000A3586" w14:paraId="48A7DFF6" w14:textId="77777777" w:rsidTr="002E707A">
        <w:tc>
          <w:tcPr>
            <w:tcW w:w="675" w:type="dxa"/>
            <w:vAlign w:val="center"/>
          </w:tcPr>
          <w:p w14:paraId="14EFD2B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11</w:t>
            </w:r>
          </w:p>
        </w:tc>
        <w:tc>
          <w:tcPr>
            <w:tcW w:w="1720" w:type="dxa"/>
            <w:vAlign w:val="center"/>
          </w:tcPr>
          <w:p w14:paraId="4F73ED6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Espera en Salud Pública</w:t>
            </w:r>
          </w:p>
        </w:tc>
        <w:tc>
          <w:tcPr>
            <w:tcW w:w="1645" w:type="dxa"/>
            <w:vAlign w:val="center"/>
          </w:tcPr>
          <w:p w14:paraId="2D668AD7" w14:textId="77777777" w:rsidR="000A3586" w:rsidRPr="002E707A" w:rsidRDefault="00000000">
            <w:pPr>
              <w:spacing w:before="60" w:after="60"/>
              <w:rPr>
                <w:lang w:val="es-UY"/>
              </w:rPr>
            </w:pPr>
            <w:r w:rsidRPr="002E707A">
              <w:rPr>
                <w:sz w:val="19"/>
                <w:lang w:val="es-UY"/>
              </w:rPr>
              <w:t>datos.salud.gob.ar / DEIS (proxy)</w:t>
            </w:r>
          </w:p>
        </w:tc>
        <w:tc>
          <w:tcPr>
            <w:tcW w:w="1192" w:type="dxa"/>
            <w:vAlign w:val="center"/>
          </w:tcPr>
          <w:p w14:paraId="51E9237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Variable</w:t>
            </w:r>
          </w:p>
        </w:tc>
        <w:tc>
          <w:tcPr>
            <w:tcW w:w="1061" w:type="dxa"/>
            <w:vAlign w:val="center"/>
          </w:tcPr>
          <w:p w14:paraId="7802390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—</w:t>
            </w:r>
          </w:p>
        </w:tc>
        <w:tc>
          <w:tcPr>
            <w:tcW w:w="1101" w:type="dxa"/>
            <w:vAlign w:val="center"/>
          </w:tcPr>
          <w:p w14:paraId="0852FFF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CKAN</w:t>
            </w:r>
          </w:p>
        </w:tc>
        <w:tc>
          <w:tcPr>
            <w:tcW w:w="1554" w:type="dxa"/>
            <w:vAlign w:val="center"/>
          </w:tcPr>
          <w:p w14:paraId="733162C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(proxy)</w:t>
            </w:r>
          </w:p>
        </w:tc>
      </w:tr>
      <w:tr w:rsidR="000A3586" w14:paraId="224E5E74" w14:textId="77777777" w:rsidTr="002E707A">
        <w:tc>
          <w:tcPr>
            <w:tcW w:w="675" w:type="dxa"/>
            <w:shd w:val="clear" w:color="auto" w:fill="EBF4FD"/>
            <w:vAlign w:val="center"/>
          </w:tcPr>
          <w:p w14:paraId="6B47AE8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12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37FEE91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Inseguridad Urbana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49415AB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SNIC + CABA datos abiertos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6B4126B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Anual (5m rezago)</w:t>
            </w:r>
          </w:p>
        </w:tc>
        <w:tc>
          <w:tcPr>
            <w:tcW w:w="1061" w:type="dxa"/>
            <w:shd w:val="clear" w:color="auto" w:fill="EBF4FD"/>
            <w:vAlign w:val="center"/>
          </w:tcPr>
          <w:p w14:paraId="3D783D3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2024 (nac) / 2025 (CABA)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48D01F2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CSV directo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7347BDE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435581E4" w14:textId="77777777" w:rsidTr="002E707A">
        <w:tc>
          <w:tcPr>
            <w:tcW w:w="675" w:type="dxa"/>
            <w:vAlign w:val="center"/>
          </w:tcPr>
          <w:p w14:paraId="338A5FE2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13</w:t>
            </w:r>
          </w:p>
        </w:tc>
        <w:tc>
          <w:tcPr>
            <w:tcW w:w="1720" w:type="dxa"/>
            <w:vAlign w:val="center"/>
          </w:tcPr>
          <w:p w14:paraId="5E8D2F7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ICC Confianza</w:t>
            </w:r>
          </w:p>
        </w:tc>
        <w:tc>
          <w:tcPr>
            <w:tcW w:w="1645" w:type="dxa"/>
            <w:vAlign w:val="center"/>
          </w:tcPr>
          <w:p w14:paraId="69633502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UTDT (XLS download)</w:t>
            </w:r>
          </w:p>
        </w:tc>
        <w:tc>
          <w:tcPr>
            <w:tcW w:w="1192" w:type="dxa"/>
            <w:vAlign w:val="center"/>
          </w:tcPr>
          <w:p w14:paraId="1DF577D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Mensual</w:t>
            </w:r>
          </w:p>
        </w:tc>
        <w:tc>
          <w:tcPr>
            <w:tcW w:w="1061" w:type="dxa"/>
            <w:vAlign w:val="center"/>
          </w:tcPr>
          <w:p w14:paraId="6D02BB48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abr-2026</w:t>
            </w:r>
          </w:p>
        </w:tc>
        <w:tc>
          <w:tcPr>
            <w:tcW w:w="1101" w:type="dxa"/>
            <w:vAlign w:val="center"/>
          </w:tcPr>
          <w:p w14:paraId="1CD7ACF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Scraping + xlrd</w:t>
            </w:r>
          </w:p>
        </w:tc>
        <w:tc>
          <w:tcPr>
            <w:tcW w:w="1554" w:type="dxa"/>
            <w:vAlign w:val="center"/>
          </w:tcPr>
          <w:p w14:paraId="19148596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</w:t>
            </w:r>
          </w:p>
        </w:tc>
      </w:tr>
      <w:tr w:rsidR="000A3586" w14:paraId="4C4FE082" w14:textId="77777777" w:rsidTr="002E707A">
        <w:tc>
          <w:tcPr>
            <w:tcW w:w="675" w:type="dxa"/>
            <w:shd w:val="clear" w:color="auto" w:fill="EBF4FD"/>
            <w:vAlign w:val="center"/>
          </w:tcPr>
          <w:p w14:paraId="4264DCB9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14</w:t>
            </w:r>
          </w:p>
        </w:tc>
        <w:tc>
          <w:tcPr>
            <w:tcW w:w="1720" w:type="dxa"/>
            <w:shd w:val="clear" w:color="auto" w:fill="EBF4FD"/>
            <w:vAlign w:val="center"/>
          </w:tcPr>
          <w:p w14:paraId="32747754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Sentimiento Digital</w:t>
            </w:r>
          </w:p>
        </w:tc>
        <w:tc>
          <w:tcPr>
            <w:tcW w:w="1645" w:type="dxa"/>
            <w:shd w:val="clear" w:color="auto" w:fill="EBF4FD"/>
            <w:vAlign w:val="center"/>
          </w:tcPr>
          <w:p w14:paraId="3912AE5A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Google Trends (pytrends)</w:t>
            </w:r>
          </w:p>
        </w:tc>
        <w:tc>
          <w:tcPr>
            <w:tcW w:w="1192" w:type="dxa"/>
            <w:shd w:val="clear" w:color="auto" w:fill="EBF4FD"/>
            <w:vAlign w:val="center"/>
          </w:tcPr>
          <w:p w14:paraId="1CB78E8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Tiempo real</w:t>
            </w:r>
          </w:p>
        </w:tc>
        <w:tc>
          <w:tcPr>
            <w:tcW w:w="1061" w:type="dxa"/>
            <w:shd w:val="clear" w:color="auto" w:fill="EBF4FD"/>
            <w:vAlign w:val="center"/>
          </w:tcPr>
          <w:p w14:paraId="48E4D1F3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may-2026</w:t>
            </w:r>
          </w:p>
        </w:tc>
        <w:tc>
          <w:tcPr>
            <w:tcW w:w="1101" w:type="dxa"/>
            <w:shd w:val="clear" w:color="auto" w:fill="EBF4FD"/>
            <w:vAlign w:val="center"/>
          </w:tcPr>
          <w:p w14:paraId="0D57347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API no oficial</w:t>
            </w:r>
          </w:p>
        </w:tc>
        <w:tc>
          <w:tcPr>
            <w:tcW w:w="1554" w:type="dxa"/>
            <w:shd w:val="clear" w:color="auto" w:fill="EBF4FD"/>
            <w:vAlign w:val="center"/>
          </w:tcPr>
          <w:p w14:paraId="658577C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OK (rate-limit)</w:t>
            </w:r>
          </w:p>
        </w:tc>
      </w:tr>
      <w:tr w:rsidR="000A3586" w14:paraId="1F752FD3" w14:textId="77777777" w:rsidTr="002E707A">
        <w:tc>
          <w:tcPr>
            <w:tcW w:w="675" w:type="dxa"/>
            <w:vAlign w:val="center"/>
          </w:tcPr>
          <w:p w14:paraId="2F64BA5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15</w:t>
            </w:r>
          </w:p>
        </w:tc>
        <w:tc>
          <w:tcPr>
            <w:tcW w:w="1720" w:type="dxa"/>
            <w:vAlign w:val="center"/>
          </w:tcPr>
          <w:p w14:paraId="464C55CB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Apatía Electoral</w:t>
            </w:r>
          </w:p>
        </w:tc>
        <w:tc>
          <w:tcPr>
            <w:tcW w:w="1645" w:type="dxa"/>
            <w:vAlign w:val="center"/>
          </w:tcPr>
          <w:p w14:paraId="79843891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Votómetro CIGOB</w:t>
            </w:r>
          </w:p>
        </w:tc>
        <w:tc>
          <w:tcPr>
            <w:tcW w:w="1192" w:type="dxa"/>
            <w:vAlign w:val="center"/>
          </w:tcPr>
          <w:p w14:paraId="607AFB2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Continua</w:t>
            </w:r>
          </w:p>
        </w:tc>
        <w:tc>
          <w:tcPr>
            <w:tcW w:w="1061" w:type="dxa"/>
            <w:vAlign w:val="center"/>
          </w:tcPr>
          <w:p w14:paraId="6900DC8E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—</w:t>
            </w:r>
          </w:p>
        </w:tc>
        <w:tc>
          <w:tcPr>
            <w:tcW w:w="1101" w:type="dxa"/>
            <w:vAlign w:val="center"/>
          </w:tcPr>
          <w:p w14:paraId="611A1CEF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Externo</w:t>
            </w:r>
          </w:p>
        </w:tc>
        <w:tc>
          <w:tcPr>
            <w:tcW w:w="1554" w:type="dxa"/>
            <w:vAlign w:val="center"/>
          </w:tcPr>
          <w:p w14:paraId="41D4E580" w14:textId="77777777" w:rsidR="000A3586" w:rsidRDefault="00000000">
            <w:pPr>
              <w:spacing w:before="60" w:after="60"/>
            </w:pPr>
            <w:r>
              <w:rPr>
                <w:sz w:val="19"/>
              </w:rPr>
              <w:t>Disponible</w:t>
            </w:r>
          </w:p>
        </w:tc>
      </w:tr>
    </w:tbl>
    <w:p w14:paraId="6DB880B3" w14:textId="77777777" w:rsidR="000A3586" w:rsidRDefault="000A3586"/>
    <w:p w14:paraId="5A2E4511" w14:textId="77777777" w:rsidR="000A3586" w:rsidRDefault="000A3586">
      <w:pPr>
        <w:pBdr>
          <w:bottom w:val="single" w:sz="6" w:space="4" w:color="3A8FC9"/>
        </w:pBdr>
        <w:spacing w:before="120"/>
      </w:pPr>
    </w:p>
    <w:p w14:paraId="3C1C88B3" w14:textId="77777777" w:rsidR="000A3586" w:rsidRDefault="00000000">
      <w:pPr>
        <w:spacing w:before="200"/>
      </w:pPr>
      <w:r>
        <w:rPr>
          <w:b/>
          <w:color w:val="1E5F9E"/>
          <w:sz w:val="30"/>
        </w:rPr>
        <w:t>3. Detalle por indicador</w:t>
      </w:r>
    </w:p>
    <w:p w14:paraId="2DB5079B" w14:textId="77777777" w:rsidR="000A3586" w:rsidRDefault="00000000">
      <w:pPr>
        <w:spacing w:before="120"/>
      </w:pPr>
      <w:r>
        <w:rPr>
          <w:b/>
          <w:color w:val="3A8FC9"/>
          <w:sz w:val="26"/>
        </w:rPr>
        <w:t>Grupo I — Bolsillo y Consumo</w:t>
      </w:r>
    </w:p>
    <w:p w14:paraId="14F19137" w14:textId="77777777" w:rsidR="000A3586" w:rsidRDefault="00000000">
      <w:pPr>
        <w:spacing w:before="120"/>
      </w:pPr>
      <w:r>
        <w:rPr>
          <w:b/>
          <w:color w:val="606060"/>
        </w:rPr>
        <w:t>#1 — Brecha Salario Real vs. CBT</w:t>
      </w:r>
    </w:p>
    <w:p w14:paraId="125C9E89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Descripción:</w:t>
      </w:r>
      <w:r w:rsidRPr="002E707A">
        <w:rPr>
          <w:lang w:val="es-UY"/>
        </w:rPr>
        <w:t xml:space="preserve"> cuántas canastas básicas totales cubre el salario formal promedio. Indicador-síntesis de poder adquisitivo.</w:t>
      </w:r>
    </w:p>
    <w:p w14:paraId="063AA00D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Fuente original propuesta:</w:t>
      </w:r>
      <w:r w:rsidRPr="002E707A">
        <w:rPr>
          <w:lang w:val="es-UY"/>
        </w:rPr>
        <w:t xml:space="preserve"> INDEC (EPH + canastas).</w:t>
      </w:r>
    </w:p>
    <w:p w14:paraId="121AC1A2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Resultado de la investigación:</w:t>
      </w:r>
      <w:r w:rsidRPr="002E707A">
        <w:rPr>
          <w:lang w:val="es-UY"/>
        </w:rPr>
        <w:t xml:space="preserve"> las series sintéticas mensuales están publicadas en </w:t>
      </w:r>
      <w:r w:rsidRPr="002E707A">
        <w:rPr>
          <w:b/>
          <w:lang w:val="es-UY"/>
        </w:rPr>
        <w:t>datos.gob.ar</w:t>
      </w:r>
      <w:r w:rsidRPr="002E707A">
        <w:rPr>
          <w:lang w:val="es-UY"/>
        </w:rPr>
        <w:t xml:space="preserve"> (sin necesidad de tocar microdatos EPH). RIPTE como proxy de salario formal (mensual, sin rezago largo) y CBT como denominador.</w:t>
      </w:r>
    </w:p>
    <w:p w14:paraId="27830C17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Fuente final adoptada:</w:t>
      </w:r>
    </w:p>
    <w:p w14:paraId="69739696" w14:textId="77777777" w:rsidR="000A3586" w:rsidRPr="002E707A" w:rsidRDefault="00000000">
      <w:pPr>
        <w:spacing w:after="60"/>
        <w:ind w:left="79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lang w:val="es-UY"/>
        </w:rPr>
        <w:t xml:space="preserve">RIPTE: CSV directo de </w:t>
      </w:r>
      <w:r w:rsidRPr="002E707A">
        <w:rPr>
          <w:rFonts w:ascii="Courier New" w:hAnsi="Courier New"/>
          <w:sz w:val="20"/>
          <w:lang w:val="es-UY"/>
        </w:rPr>
        <w:t>infra.datos.gob.ar</w:t>
      </w:r>
      <w:r w:rsidRPr="002E707A">
        <w:rPr>
          <w:lang w:val="es-UY"/>
        </w:rPr>
        <w:t xml:space="preserve"> (</w:t>
      </w:r>
      <w:proofErr w:type="spellStart"/>
      <w:r w:rsidRPr="002E707A">
        <w:rPr>
          <w:lang w:val="es-UY"/>
        </w:rPr>
        <w:t>dataset</w:t>
      </w:r>
      <w:proofErr w:type="spellEnd"/>
      <w:r w:rsidRPr="002E707A">
        <w:rPr>
          <w:lang w:val="es-UY"/>
        </w:rPr>
        <w:t xml:space="preserve"> 158, distribución 158.1). Serie mensual desde jul-1994.</w:t>
      </w:r>
    </w:p>
    <w:p w14:paraId="1264D63B" w14:textId="77777777" w:rsidR="000A3586" w:rsidRPr="002E707A" w:rsidRDefault="00000000">
      <w:pPr>
        <w:spacing w:after="60"/>
        <w:ind w:left="79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lang w:val="es-UY"/>
        </w:rPr>
        <w:t xml:space="preserve">CBT: serie </w:t>
      </w:r>
      <w:r w:rsidRPr="002E707A">
        <w:rPr>
          <w:rFonts w:ascii="Courier New" w:hAnsi="Courier New"/>
          <w:sz w:val="20"/>
          <w:lang w:val="es-UY"/>
        </w:rPr>
        <w:t>150.1_CSTA_BATAL_0_D_20</w:t>
      </w:r>
      <w:r w:rsidRPr="002E707A">
        <w:rPr>
          <w:lang w:val="es-UY"/>
        </w:rPr>
        <w:t xml:space="preserve"> vía API datos.gob.ar.</w:t>
      </w:r>
    </w:p>
    <w:p w14:paraId="417B51D3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lastRenderedPageBreak/>
        <w:t xml:space="preserve">•  </w:t>
      </w:r>
      <w:r w:rsidRPr="002E707A">
        <w:rPr>
          <w:b/>
          <w:lang w:val="es-UY"/>
        </w:rPr>
        <w:t>Frecuencia:</w:t>
      </w:r>
      <w:r w:rsidRPr="002E707A">
        <w:rPr>
          <w:lang w:val="es-UY"/>
        </w:rPr>
        <w:t xml:space="preserve"> mensual.</w:t>
      </w:r>
    </w:p>
    <w:p w14:paraId="32FEF4ED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Último valor:</w:t>
      </w:r>
      <w:r w:rsidRPr="002E707A">
        <w:rPr>
          <w:lang w:val="es-UY"/>
        </w:rPr>
        <w:t xml:space="preserve"> RIPTE $1.734.357 (feb-2026) / CBT $464.227,77 (mar-2026) → </w:t>
      </w:r>
      <w:r w:rsidRPr="002E707A">
        <w:rPr>
          <w:b/>
          <w:lang w:val="es-UY"/>
        </w:rPr>
        <w:t>brecha 3,74 canastas</w:t>
      </w:r>
      <w:r w:rsidRPr="002E707A">
        <w:rPr>
          <w:lang w:val="es-UY"/>
        </w:rPr>
        <w:t>.</w:t>
      </w:r>
    </w:p>
    <w:p w14:paraId="7A0709CD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Método técnico:</w:t>
      </w:r>
      <w:r w:rsidRPr="002E707A">
        <w:rPr>
          <w:lang w:val="es-UY"/>
        </w:rPr>
        <w:t xml:space="preserve"> </w:t>
      </w:r>
      <w:r w:rsidRPr="002E707A">
        <w:rPr>
          <w:rFonts w:ascii="Courier New" w:hAnsi="Courier New"/>
          <w:sz w:val="20"/>
          <w:lang w:val="es-UY"/>
        </w:rPr>
        <w:t>GET</w:t>
      </w:r>
      <w:r w:rsidRPr="002E707A">
        <w:rPr>
          <w:lang w:val="es-UY"/>
        </w:rPr>
        <w:t xml:space="preserve"> JSON + </w:t>
      </w:r>
      <w:proofErr w:type="spellStart"/>
      <w:r w:rsidRPr="002E707A">
        <w:rPr>
          <w:lang w:val="es-UY"/>
        </w:rPr>
        <w:t>parsing</w:t>
      </w:r>
      <w:proofErr w:type="spellEnd"/>
      <w:r w:rsidRPr="002E707A">
        <w:rPr>
          <w:lang w:val="es-UY"/>
        </w:rPr>
        <w:t>.</w:t>
      </w:r>
    </w:p>
    <w:p w14:paraId="7B0FF847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Notas:</w:t>
      </w:r>
      <w:r w:rsidRPr="002E707A">
        <w:rPr>
          <w:lang w:val="es-UY"/>
        </w:rPr>
        <w:t xml:space="preserve"> dado que RIPTE corre un mes detrás de CBT, la brecha se calcula con el último mes común. En el monitor se reporta el ratio explícito + la fecha de cada componente.</w:t>
      </w:r>
    </w:p>
    <w:p w14:paraId="2EB4B0E8" w14:textId="77777777" w:rsidR="000A3586" w:rsidRPr="002E707A" w:rsidRDefault="00000000">
      <w:pPr>
        <w:spacing w:before="120"/>
        <w:rPr>
          <w:lang w:val="es-UY"/>
        </w:rPr>
      </w:pPr>
      <w:r w:rsidRPr="002E707A">
        <w:rPr>
          <w:b/>
          <w:color w:val="606060"/>
          <w:lang w:val="es-UY"/>
        </w:rPr>
        <w:t>#2 — IPC-Alimentos</w:t>
      </w:r>
    </w:p>
    <w:p w14:paraId="64F38A86" w14:textId="77777777" w:rsidR="000A3586" w:rsidRPr="002E707A" w:rsidRDefault="00000000">
      <w:pPr>
        <w:spacing w:after="60"/>
        <w:ind w:left="454" w:hanging="283"/>
        <w:rPr>
          <w:lang w:val="es-UY"/>
        </w:rPr>
      </w:pPr>
      <w:r w:rsidRPr="002E707A">
        <w:rPr>
          <w:color w:val="1E5F9E"/>
          <w:lang w:val="es-UY"/>
        </w:rPr>
        <w:t xml:space="preserve">•  </w:t>
      </w:r>
      <w:r w:rsidRPr="002E707A">
        <w:rPr>
          <w:b/>
          <w:lang w:val="es-UY"/>
        </w:rPr>
        <w:t>Descripción:</w:t>
      </w:r>
      <w:r w:rsidRPr="002E707A">
        <w:rPr>
          <w:lang w:val="es-UY"/>
        </w:rPr>
        <w:t xml:space="preserve"> variación de precios de alimentos y bebidas no alcohólicas. Es el componente del IPC que el ciudadano siente con mayor velocidad.</w:t>
      </w:r>
    </w:p>
    <w:p w14:paraId="6E16132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INDEC IPC.</w:t>
      </w:r>
    </w:p>
    <w:p w14:paraId="5FE92B7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disponible en datos.gob.ar. El ID inicialmente buscado era incorrecto; se localizó en el catálogo filtrando por </w:t>
      </w:r>
      <w:r w:rsidRPr="004B44C8">
        <w:rPr>
          <w:rFonts w:ascii="Courier New" w:hAnsi="Courier New"/>
          <w:sz w:val="20"/>
          <w:lang w:val="es-UY"/>
        </w:rPr>
        <w:t>?q=alimentos</w:t>
      </w:r>
      <w:r w:rsidRPr="004B44C8">
        <w:rPr>
          <w:lang w:val="es-UY"/>
        </w:rPr>
        <w:t>.</w:t>
      </w:r>
    </w:p>
    <w:p w14:paraId="0F35308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final:</w:t>
      </w:r>
      <w:r w:rsidRPr="004B44C8">
        <w:rPr>
          <w:lang w:val="es-UY"/>
        </w:rPr>
        <w:t xml:space="preserve"> serie </w:t>
      </w:r>
      <w:r w:rsidRPr="004B44C8">
        <w:rPr>
          <w:rFonts w:ascii="Courier New" w:hAnsi="Courier New"/>
          <w:sz w:val="20"/>
          <w:lang w:val="es-UY"/>
        </w:rPr>
        <w:t>146.3_IALIMENNAL_DICI_M_45</w:t>
      </w:r>
      <w:r w:rsidRPr="004B44C8">
        <w:rPr>
          <w:lang w:val="es-UY"/>
        </w:rPr>
        <w:t>.</w:t>
      </w:r>
    </w:p>
    <w:p w14:paraId="06944D2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mensual.</w:t>
      </w:r>
    </w:p>
    <w:p w14:paraId="02612A1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índice 12.014,7 (base dic-2016) — </w:t>
      </w:r>
      <w:r w:rsidRPr="004B44C8">
        <w:rPr>
          <w:b/>
          <w:lang w:val="es-UY"/>
        </w:rPr>
        <w:t>+3,35 % m/m</w:t>
      </w:r>
      <w:r w:rsidRPr="004B44C8">
        <w:rPr>
          <w:lang w:val="es-UY"/>
        </w:rPr>
        <w:t xml:space="preserve"> en mar-2026.</w:t>
      </w:r>
    </w:p>
    <w:p w14:paraId="6498620F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GET</w:t>
      </w:r>
      <w:r w:rsidRPr="004B44C8">
        <w:rPr>
          <w:lang w:val="es-UY"/>
        </w:rPr>
        <w:t xml:space="preserve"> JSON, variación calculada con los dos últimos puntos.</w:t>
      </w:r>
    </w:p>
    <w:p w14:paraId="44F6D203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#3 — Endeudamiento Familiar</w:t>
      </w:r>
    </w:p>
    <w:p w14:paraId="4BE39189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Descripción:</w:t>
      </w:r>
      <w:r w:rsidRPr="004B44C8">
        <w:rPr>
          <w:lang w:val="es-UY"/>
        </w:rPr>
        <w:t xml:space="preserve"> stock de crédito a familias (tarjeta + personales) y costo de financiarse (BADLAR).</w:t>
      </w:r>
    </w:p>
    <w:p w14:paraId="74530371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BCRA + CAME.</w:t>
      </w:r>
    </w:p>
    <w:p w14:paraId="2FB7FB9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 de la investigación:</w:t>
      </w:r>
    </w:p>
    <w:p w14:paraId="403C8FBA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 xml:space="preserve">BCRA: solo </w:t>
      </w:r>
      <w:r w:rsidRPr="004B44C8">
        <w:rPr>
          <w:b/>
          <w:lang w:val="es-UY"/>
        </w:rPr>
        <w:t>API v4.0</w:t>
      </w:r>
      <w:r w:rsidRPr="004B44C8">
        <w:rPr>
          <w:lang w:val="es-UY"/>
        </w:rPr>
        <w:t xml:space="preserve"> funciona. v1, v2 y v3 retornan HTTP 400 ("método deprecado").</w:t>
      </w:r>
    </w:p>
    <w:p w14:paraId="6E62964E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 xml:space="preserve">CAME: </w:t>
      </w:r>
      <w:r w:rsidRPr="004B44C8">
        <w:rPr>
          <w:rFonts w:ascii="Courier New" w:hAnsi="Courier New"/>
          <w:sz w:val="20"/>
          <w:lang w:val="es-UY"/>
        </w:rPr>
        <w:t>www.came.com.ar</w:t>
      </w:r>
      <w:r w:rsidRPr="004B44C8">
        <w:rPr>
          <w:lang w:val="es-UY"/>
        </w:rPr>
        <w:t xml:space="preserve"> cae por DNS. El sitio operativo es </w:t>
      </w:r>
      <w:r w:rsidRPr="004B44C8">
        <w:rPr>
          <w:rFonts w:ascii="Courier New" w:hAnsi="Courier New"/>
          <w:sz w:val="20"/>
          <w:lang w:val="es-UY"/>
        </w:rPr>
        <w:t>redcame.org.ar</w:t>
      </w:r>
      <w:r w:rsidRPr="004B44C8">
        <w:rPr>
          <w:lang w:val="es-UY"/>
        </w:rPr>
        <w:t xml:space="preserve"> pero </w:t>
      </w:r>
      <w:r w:rsidRPr="004B44C8">
        <w:rPr>
          <w:b/>
          <w:lang w:val="es-UY"/>
        </w:rPr>
        <w:t>no expone API ni datos estructurados</w:t>
      </w:r>
      <w:r w:rsidRPr="004B44C8">
        <w:rPr>
          <w:lang w:val="es-UY"/>
        </w:rPr>
        <w:t xml:space="preserve"> (solo </w:t>
      </w:r>
      <w:proofErr w:type="spellStart"/>
      <w:r w:rsidRPr="004B44C8">
        <w:rPr>
          <w:lang w:val="es-UY"/>
        </w:rPr>
        <w:t>PDFs</w:t>
      </w:r>
      <w:proofErr w:type="spellEnd"/>
      <w:r w:rsidRPr="004B44C8">
        <w:rPr>
          <w:lang w:val="es-UY"/>
        </w:rPr>
        <w:t xml:space="preserve"> e infografías). Se descartó como fuente automatizable.</w:t>
      </w:r>
    </w:p>
    <w:p w14:paraId="572D0FF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 adoptada:</w:t>
      </w:r>
      <w:r w:rsidRPr="004B44C8">
        <w:rPr>
          <w:lang w:val="es-UY"/>
        </w:rPr>
        <w:t xml:space="preserve"> BCRA API v4.0 (</w:t>
      </w:r>
      <w:r w:rsidRPr="004B44C8">
        <w:rPr>
          <w:rFonts w:ascii="Courier New" w:hAnsi="Courier New"/>
          <w:sz w:val="20"/>
          <w:lang w:val="es-UY"/>
        </w:rPr>
        <w:t>https://api.bcra.gob.ar/estadisticas/v4.0/Monetarias</w:t>
      </w:r>
      <w:r w:rsidRPr="004B44C8">
        <w:rPr>
          <w:lang w:val="es-UY"/>
        </w:rPr>
        <w:t>). Variables consumidas:</w:t>
      </w:r>
    </w:p>
    <w:p w14:paraId="76CA6AA4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>id=115 (tarjeta), id=114 (personales), id=112 (hipotecarios), id=26 (total sector privado), id=7 (BADLAR).</w:t>
      </w:r>
    </w:p>
    <w:p w14:paraId="4E6A15B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diaria.</w:t>
      </w:r>
    </w:p>
    <w:p w14:paraId="56CF8B9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crédito consumo = $24.344 M (tarjeta) + $20.837 M (personales) = </w:t>
      </w:r>
      <w:r w:rsidRPr="004B44C8">
        <w:rPr>
          <w:b/>
          <w:lang w:val="es-UY"/>
        </w:rPr>
        <w:t>$45.182 M</w:t>
      </w:r>
      <w:r w:rsidRPr="004B44C8">
        <w:rPr>
          <w:lang w:val="es-UY"/>
        </w:rPr>
        <w:t xml:space="preserve"> (may-2026). BADLAR </w:t>
      </w:r>
      <w:r w:rsidRPr="004B44C8">
        <w:rPr>
          <w:b/>
          <w:lang w:val="es-UY"/>
        </w:rPr>
        <w:t>21,375 %</w:t>
      </w:r>
      <w:r w:rsidRPr="004B44C8">
        <w:rPr>
          <w:lang w:val="es-UY"/>
        </w:rPr>
        <w:t xml:space="preserve"> (may-2026).</w:t>
      </w:r>
    </w:p>
    <w:p w14:paraId="732BA4C1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GET</w:t>
      </w:r>
      <w:r w:rsidRPr="004B44C8">
        <w:rPr>
          <w:lang w:val="es-UY"/>
        </w:rPr>
        <w:t xml:space="preserve"> JSON, un </w:t>
      </w:r>
      <w:proofErr w:type="spellStart"/>
      <w:r w:rsidRPr="004B44C8">
        <w:rPr>
          <w:lang w:val="es-UY"/>
        </w:rPr>
        <w:t>endpoint</w:t>
      </w:r>
      <w:proofErr w:type="spellEnd"/>
      <w:r w:rsidRPr="004B44C8">
        <w:rPr>
          <w:lang w:val="es-UY"/>
        </w:rPr>
        <w:t xml:space="preserve"> por variable.</w:t>
      </w:r>
    </w:p>
    <w:p w14:paraId="6C5C6C1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Notas:</w:t>
      </w:r>
      <w:r w:rsidRPr="004B44C8">
        <w:rPr>
          <w:lang w:val="es-UY"/>
        </w:rPr>
        <w:t xml:space="preserve"> BCRA cubre el indicador. CAME aporta valor cualitativo pero no entra al pipeline automático.</w:t>
      </w:r>
    </w:p>
    <w:p w14:paraId="30AB5818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#4 — Peso de Tarifas (sustitución por IPC-Vivienda + IPC-Regulados)</w:t>
      </w:r>
    </w:p>
    <w:p w14:paraId="385F4AF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Descripción:</w:t>
      </w:r>
      <w:r w:rsidRPr="004B44C8">
        <w:rPr>
          <w:lang w:val="es-UY"/>
        </w:rPr>
        <w:t xml:space="preserve"> carga de tarifas de servicios públicos en el bolsillo.</w:t>
      </w:r>
    </w:p>
    <w:p w14:paraId="3ACAB83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ENRE / ENARGAS.</w:t>
      </w:r>
    </w:p>
    <w:p w14:paraId="0E093C4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lastRenderedPageBreak/>
        <w:t xml:space="preserve">•  </w:t>
      </w:r>
      <w:r w:rsidRPr="004B44C8">
        <w:rPr>
          <w:b/>
          <w:lang w:val="es-UY"/>
        </w:rPr>
        <w:t>Resultado de la investigación:</w:t>
      </w:r>
      <w:r w:rsidRPr="004B44C8">
        <w:rPr>
          <w:lang w:val="es-UY"/>
        </w:rPr>
        <w:t xml:space="preserve"> ENRE y ENARGAS </w:t>
      </w:r>
      <w:r w:rsidRPr="004B44C8">
        <w:rPr>
          <w:b/>
          <w:lang w:val="es-UY"/>
        </w:rPr>
        <w:t>no exponen API pública</w:t>
      </w:r>
      <w:r w:rsidRPr="004B44C8">
        <w:rPr>
          <w:lang w:val="es-UY"/>
        </w:rPr>
        <w:t xml:space="preserve">. Las resoluciones tarifarias salen como </w:t>
      </w:r>
      <w:proofErr w:type="spellStart"/>
      <w:r w:rsidRPr="004B44C8">
        <w:rPr>
          <w:b/>
          <w:lang w:val="es-UY"/>
        </w:rPr>
        <w:t>PDFs</w:t>
      </w:r>
      <w:proofErr w:type="spellEnd"/>
      <w:r w:rsidRPr="004B44C8">
        <w:rPr>
          <w:b/>
          <w:lang w:val="es-UY"/>
        </w:rPr>
        <w:t xml:space="preserve"> con hashes opacos en la URL</w:t>
      </w:r>
      <w:r w:rsidRPr="004B44C8">
        <w:rPr>
          <w:lang w:val="es-UY"/>
        </w:rPr>
        <w:t xml:space="preserve">, lo que rompe cualquier </w:t>
      </w:r>
      <w:proofErr w:type="spellStart"/>
      <w:r w:rsidRPr="004B44C8">
        <w:rPr>
          <w:lang w:val="es-UY"/>
        </w:rPr>
        <w:t>scraping</w:t>
      </w:r>
      <w:proofErr w:type="spellEnd"/>
      <w:r w:rsidRPr="004B44C8">
        <w:rPr>
          <w:lang w:val="es-UY"/>
        </w:rPr>
        <w:t xml:space="preserve"> por patrón. No automatizable bajo restricciones razonables de mantenimiento.</w:t>
      </w:r>
    </w:p>
    <w:p w14:paraId="135AD2D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Sustitución adoptada:</w:t>
      </w:r>
      <w:r w:rsidRPr="004B44C8">
        <w:rPr>
          <w:lang w:val="es-UY"/>
        </w:rPr>
        <w:t xml:space="preserve"> dos series del IPC-INDEC que capturan el impacto efectivo de las tarifas sobre el índice de precios:</w:t>
      </w:r>
    </w:p>
    <w:p w14:paraId="1E56D0BB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IPC-Vivienda</w:t>
      </w:r>
      <w:r w:rsidRPr="004B44C8">
        <w:rPr>
          <w:lang w:val="es-UY"/>
        </w:rPr>
        <w:t xml:space="preserve"> (agua, electricidad, gas): serie </w:t>
      </w:r>
      <w:r w:rsidRPr="004B44C8">
        <w:rPr>
          <w:rFonts w:ascii="Courier New" w:hAnsi="Courier New"/>
          <w:sz w:val="20"/>
          <w:lang w:val="es-UY"/>
        </w:rPr>
        <w:t>146.3_IVIVIENNAL_DICI_M_52</w:t>
      </w:r>
      <w:r w:rsidRPr="004B44C8">
        <w:rPr>
          <w:lang w:val="es-UY"/>
        </w:rPr>
        <w:t xml:space="preserve"> → +3,71 % m/m (mar-2026).</w:t>
      </w:r>
    </w:p>
    <w:p w14:paraId="039254E1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IPC-Regulados</w:t>
      </w:r>
      <w:r w:rsidRPr="004B44C8">
        <w:rPr>
          <w:lang w:val="es-UY"/>
        </w:rPr>
        <w:t xml:space="preserve"> (tarifas directas): serie </w:t>
      </w:r>
      <w:r w:rsidRPr="004B44C8">
        <w:rPr>
          <w:rFonts w:ascii="Courier New" w:hAnsi="Courier New"/>
          <w:sz w:val="20"/>
          <w:lang w:val="es-UY"/>
        </w:rPr>
        <w:t>148.3_IREGULANAL_DICI_M_22</w:t>
      </w:r>
      <w:r w:rsidRPr="004B44C8">
        <w:rPr>
          <w:lang w:val="es-UY"/>
        </w:rPr>
        <w:t xml:space="preserve"> → +5,08 % m/m (mar-2026).</w:t>
      </w:r>
    </w:p>
    <w:p w14:paraId="1FCEDF08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mensual.</w:t>
      </w:r>
    </w:p>
    <w:p w14:paraId="5E4EFE9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GET</w:t>
      </w:r>
      <w:r w:rsidRPr="004B44C8">
        <w:rPr>
          <w:lang w:val="es-UY"/>
        </w:rPr>
        <w:t xml:space="preserve"> JSON datos.gob.ar.</w:t>
      </w:r>
    </w:p>
    <w:p w14:paraId="1789A1A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Limitación reconocida:</w:t>
      </w:r>
      <w:r w:rsidRPr="004B44C8">
        <w:rPr>
          <w:lang w:val="es-UY"/>
        </w:rPr>
        <w:t xml:space="preserve"> mide el impacto inflacionario de las tarifas, no el peso exacto en el ingreso de un hogar tipo. Si se desea un cociente "tarifa/salario", se puede dividir por RIPTE en una segunda capa de cálculo.</w:t>
      </w:r>
    </w:p>
    <w:p w14:paraId="160C33E1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#5 — Consumo de Carne Vacuna per Cápita</w:t>
      </w:r>
    </w:p>
    <w:p w14:paraId="6D2F03E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Descripción:</w:t>
      </w:r>
      <w:r w:rsidRPr="004B44C8">
        <w:rPr>
          <w:lang w:val="es-UY"/>
        </w:rPr>
        <w:t xml:space="preserve"> kg de carne vacuna por habitante al año. Termómetro cultural y económico simultáneo.</w:t>
      </w:r>
    </w:p>
    <w:p w14:paraId="3FB55B2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CICCRA.</w:t>
      </w:r>
    </w:p>
    <w:p w14:paraId="2B75F368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CICCRA publica un informe mensual en PDF con </w:t>
      </w:r>
      <w:r w:rsidRPr="004B44C8">
        <w:rPr>
          <w:b/>
          <w:lang w:val="es-UY"/>
        </w:rPr>
        <w:t>numeración correlativa</w:t>
      </w:r>
      <w:r w:rsidRPr="004B44C8">
        <w:rPr>
          <w:lang w:val="es-UY"/>
        </w:rPr>
        <w:t xml:space="preserve"> (Informe 300 = ene-2026, 301 = feb-2026, 302 = mar-2026). Las </w:t>
      </w:r>
      <w:proofErr w:type="spellStart"/>
      <w:r w:rsidRPr="004B44C8">
        <w:rPr>
          <w:lang w:val="es-UY"/>
        </w:rPr>
        <w:t>URLs</w:t>
      </w:r>
      <w:proofErr w:type="spellEnd"/>
      <w:r w:rsidRPr="004B44C8">
        <w:rPr>
          <w:lang w:val="es-UY"/>
        </w:rPr>
        <w:t xml:space="preserve"> siguen patrón regular, lo que permite construirlas a partir del número y la fecha.</w:t>
      </w:r>
    </w:p>
    <w:p w14:paraId="67079E4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final:</w:t>
      </w:r>
      <w:r w:rsidRPr="004B44C8">
        <w:rPr>
          <w:lang w:val="es-UY"/>
        </w:rPr>
        <w:t xml:space="preserve"> PDF en </w:t>
      </w:r>
      <w:r w:rsidRPr="004B44C8">
        <w:rPr>
          <w:rFonts w:ascii="Courier New" w:hAnsi="Courier New"/>
          <w:sz w:val="20"/>
          <w:lang w:val="es-UY"/>
        </w:rPr>
        <w:t>ciccra.com.ar/wp-content/uploads/{pub_year}/{pub_month:02d}/Inf-No-{num}-{year}-{mes}.pdf</w:t>
      </w:r>
      <w:r w:rsidRPr="004B44C8">
        <w:rPr>
          <w:lang w:val="es-UY"/>
        </w:rPr>
        <w:t>.</w:t>
      </w:r>
    </w:p>
    <w:p w14:paraId="2A4F8D7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 (con ~1 mes de </w:t>
      </w:r>
      <w:proofErr w:type="spellStart"/>
      <w:r w:rsidRPr="004B44C8">
        <w:rPr>
          <w:lang w:val="es-UY"/>
        </w:rPr>
        <w:t>delay</w:t>
      </w:r>
      <w:proofErr w:type="spellEnd"/>
      <w:r w:rsidRPr="004B44C8">
        <w:rPr>
          <w:lang w:val="es-UY"/>
        </w:rPr>
        <w:t>).</w:t>
      </w:r>
    </w:p>
    <w:p w14:paraId="48F2E43F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47,3 kg/</w:t>
      </w:r>
      <w:proofErr w:type="spellStart"/>
      <w:r w:rsidRPr="004B44C8">
        <w:rPr>
          <w:b/>
          <w:lang w:val="es-UY"/>
        </w:rPr>
        <w:t>hab</w:t>
      </w:r>
      <w:proofErr w:type="spellEnd"/>
      <w:r w:rsidRPr="004B44C8">
        <w:rPr>
          <w:b/>
          <w:lang w:val="es-UY"/>
        </w:rPr>
        <w:t>/año</w:t>
      </w:r>
      <w:r w:rsidRPr="004B44C8">
        <w:rPr>
          <w:lang w:val="es-UY"/>
        </w:rPr>
        <w:t xml:space="preserve"> (mar-2026, PDF del informe 302).</w:t>
      </w:r>
    </w:p>
    <w:p w14:paraId="292B32CF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construcción de URL → </w:t>
      </w:r>
      <w:proofErr w:type="spellStart"/>
      <w:r w:rsidRPr="004B44C8">
        <w:rPr>
          <w:rFonts w:ascii="Courier New" w:hAnsi="Courier New"/>
          <w:sz w:val="20"/>
          <w:lang w:val="es-UY"/>
        </w:rPr>
        <w:t>requests</w:t>
      </w:r>
      <w:proofErr w:type="spellEnd"/>
      <w:r w:rsidRPr="004B44C8">
        <w:rPr>
          <w:lang w:val="es-UY"/>
        </w:rPr>
        <w:t xml:space="preserve"> GET → extracción con </w:t>
      </w:r>
      <w:proofErr w:type="spellStart"/>
      <w:r w:rsidRPr="004B44C8">
        <w:rPr>
          <w:rFonts w:ascii="Courier New" w:hAnsi="Courier New"/>
          <w:sz w:val="20"/>
          <w:lang w:val="es-UY"/>
        </w:rPr>
        <w:t>pdfplumber</w:t>
      </w:r>
      <w:proofErr w:type="spellEnd"/>
      <w:r w:rsidRPr="004B44C8">
        <w:rPr>
          <w:lang w:val="es-UY"/>
        </w:rPr>
        <w:t xml:space="preserve"> + </w:t>
      </w:r>
      <w:proofErr w:type="spellStart"/>
      <w:r w:rsidRPr="004B44C8">
        <w:rPr>
          <w:lang w:val="es-UY"/>
        </w:rPr>
        <w:t>regex</w:t>
      </w:r>
      <w:proofErr w:type="spellEnd"/>
      <w:r w:rsidRPr="004B44C8">
        <w:rPr>
          <w:lang w:val="es-UY"/>
        </w:rPr>
        <w:t>.</w:t>
      </w:r>
    </w:p>
    <w:p w14:paraId="7948F494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3A8FC9"/>
          <w:sz w:val="26"/>
          <w:lang w:val="es-UY"/>
        </w:rPr>
        <w:t>Grupo II — Laborales y Productivos</w:t>
      </w:r>
    </w:p>
    <w:p w14:paraId="7EDBD99B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#6 — Informalidad Laboral</w:t>
      </w:r>
    </w:p>
    <w:p w14:paraId="53381BA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final:</w:t>
      </w:r>
      <w:r w:rsidRPr="004B44C8">
        <w:rPr>
          <w:lang w:val="es-UY"/>
        </w:rPr>
        <w:t xml:space="preserve"> datos.gob.ar, serie </w:t>
      </w:r>
      <w:r w:rsidRPr="004B44C8">
        <w:rPr>
          <w:rFonts w:ascii="Courier New" w:hAnsi="Courier New"/>
          <w:sz w:val="20"/>
          <w:lang w:val="es-UY"/>
        </w:rPr>
        <w:t>52.1_ASDJ_0_0_37</w:t>
      </w:r>
      <w:r w:rsidRPr="004B44C8">
        <w:rPr>
          <w:lang w:val="es-UY"/>
        </w:rPr>
        <w:t xml:space="preserve"> (asalariados sin descuento jubilatorio).</w:t>
      </w:r>
    </w:p>
    <w:p w14:paraId="2A89916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ANUAL.</w:t>
      </w:r>
      <w:r w:rsidRPr="004B44C8">
        <w:rPr>
          <w:lang w:val="es-UY"/>
        </w:rPr>
        <w:t xml:space="preserve"> No existe serie sintética mensual ni trimestral de informalidad en el catálogo. Una versión trimestral exigiría procesar microdatos EPH.</w:t>
      </w:r>
    </w:p>
    <w:p w14:paraId="7A9B53E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36,75 %</w:t>
      </w:r>
      <w:r w:rsidRPr="004B44C8">
        <w:rPr>
          <w:lang w:val="es-UY"/>
        </w:rPr>
        <w:t xml:space="preserve"> (2025).</w:t>
      </w:r>
    </w:p>
    <w:p w14:paraId="33EE0BE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Limitación:</w:t>
      </w:r>
      <w:r w:rsidRPr="004B44C8">
        <w:rPr>
          <w:lang w:val="es-UY"/>
        </w:rPr>
        <w:t xml:space="preserve"> indicador estructural, no de coyuntura. Útil como telón de fondo, no para detectar shocks de corto plazo.</w:t>
      </w:r>
    </w:p>
    <w:p w14:paraId="4E4B47B4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 xml:space="preserve">#7 — Mortalidad de </w:t>
      </w:r>
      <w:proofErr w:type="spellStart"/>
      <w:r w:rsidRPr="004B44C8">
        <w:rPr>
          <w:b/>
          <w:color w:val="606060"/>
          <w:lang w:val="es-UY"/>
        </w:rPr>
        <w:t>PyMEs</w:t>
      </w:r>
      <w:proofErr w:type="spellEnd"/>
      <w:r w:rsidRPr="004B44C8">
        <w:rPr>
          <w:b/>
          <w:color w:val="606060"/>
          <w:lang w:val="es-UY"/>
        </w:rPr>
        <w:t xml:space="preserve"> (sustitución por IPI Manufacturero)</w:t>
      </w:r>
    </w:p>
    <w:p w14:paraId="390A935E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AFIP + CAME.</w:t>
      </w:r>
    </w:p>
    <w:p w14:paraId="65C441D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AFIP </w:t>
      </w:r>
      <w:r w:rsidRPr="004B44C8">
        <w:rPr>
          <w:b/>
          <w:lang w:val="es-UY"/>
        </w:rPr>
        <w:t>no publica microdatos de altas/bajas de CUIT</w:t>
      </w:r>
      <w:r w:rsidRPr="004B44C8">
        <w:rPr>
          <w:lang w:val="es-UY"/>
        </w:rPr>
        <w:t xml:space="preserve">. CAME publica el Índice </w:t>
      </w:r>
      <w:proofErr w:type="spellStart"/>
      <w:r w:rsidRPr="004B44C8">
        <w:rPr>
          <w:lang w:val="es-UY"/>
        </w:rPr>
        <w:t>PyME</w:t>
      </w:r>
      <w:proofErr w:type="spellEnd"/>
      <w:r w:rsidRPr="004B44C8">
        <w:rPr>
          <w:lang w:val="es-UY"/>
        </w:rPr>
        <w:t xml:space="preserve"> en HTML/PDF sin API.</w:t>
      </w:r>
    </w:p>
    <w:p w14:paraId="351F5E0E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lastRenderedPageBreak/>
        <w:t xml:space="preserve">•  </w:t>
      </w:r>
      <w:r w:rsidRPr="004B44C8">
        <w:rPr>
          <w:b/>
          <w:lang w:val="es-UY"/>
        </w:rPr>
        <w:t>Sustitución adoptada:</w:t>
      </w:r>
    </w:p>
    <w:p w14:paraId="0F67FD5B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IPI Manufacturero</w:t>
      </w:r>
      <w:r w:rsidRPr="004B44C8">
        <w:rPr>
          <w:lang w:val="es-UY"/>
        </w:rPr>
        <w:t xml:space="preserve"> (INDEC): serie </w:t>
      </w:r>
      <w:r w:rsidRPr="004B44C8">
        <w:rPr>
          <w:rFonts w:ascii="Courier New" w:hAnsi="Courier New"/>
          <w:sz w:val="20"/>
          <w:lang w:val="es-UY"/>
        </w:rPr>
        <w:t>453.1_SERIE_ORIGNAL_0_0_14_46</w:t>
      </w:r>
      <w:r w:rsidRPr="004B44C8">
        <w:rPr>
          <w:lang w:val="es-UY"/>
        </w:rPr>
        <w:t xml:space="preserve">. Captura contracción productiva del segmento donde se concentra la </w:t>
      </w:r>
      <w:proofErr w:type="spellStart"/>
      <w:r w:rsidRPr="004B44C8">
        <w:rPr>
          <w:lang w:val="es-UY"/>
        </w:rPr>
        <w:t>PyME</w:t>
      </w:r>
      <w:proofErr w:type="spellEnd"/>
      <w:r w:rsidRPr="004B44C8">
        <w:rPr>
          <w:lang w:val="es-UY"/>
        </w:rPr>
        <w:t xml:space="preserve"> industrial.</w:t>
      </w:r>
    </w:p>
    <w:p w14:paraId="236F3D5D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EMAE mensual:</w:t>
      </w:r>
      <w:r w:rsidRPr="004B44C8">
        <w:rPr>
          <w:lang w:val="es-UY"/>
        </w:rPr>
        <w:t xml:space="preserve"> serie </w:t>
      </w:r>
      <w:r w:rsidRPr="004B44C8">
        <w:rPr>
          <w:rFonts w:ascii="Courier New" w:hAnsi="Courier New"/>
          <w:sz w:val="20"/>
          <w:lang w:val="es-UY"/>
        </w:rPr>
        <w:t>143.3_ICE_SERVIA_2004_A_25</w:t>
      </w:r>
      <w:r w:rsidRPr="004B44C8">
        <w:rPr>
          <w:lang w:val="es-UY"/>
        </w:rPr>
        <w:t xml:space="preserve"> como proxy adicional de actividad general.</w:t>
      </w:r>
    </w:p>
    <w:p w14:paraId="7D91E03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mensual.</w:t>
      </w:r>
    </w:p>
    <w:p w14:paraId="6052959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IPI = 100,5; </w:t>
      </w:r>
      <w:r w:rsidRPr="004B44C8">
        <w:rPr>
          <w:b/>
          <w:lang w:val="es-UY"/>
        </w:rPr>
        <w:t>−6,11 % m/m</w:t>
      </w:r>
      <w:r w:rsidRPr="004B44C8">
        <w:rPr>
          <w:lang w:val="es-UY"/>
        </w:rPr>
        <w:t xml:space="preserve"> (feb-2026). EMAE arroja −43,06 % (revisar: dato volátil por revisión de base, monitorear).</w:t>
      </w:r>
    </w:p>
    <w:p w14:paraId="5B426B6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Notas:</w:t>
      </w:r>
      <w:r w:rsidRPr="004B44C8">
        <w:rPr>
          <w:lang w:val="es-UY"/>
        </w:rPr>
        <w:t xml:space="preserve"> la lectura </w:t>
      </w:r>
      <w:proofErr w:type="spellStart"/>
      <w:r w:rsidRPr="004B44C8">
        <w:rPr>
          <w:lang w:val="es-UY"/>
        </w:rPr>
        <w:t>PyME</w:t>
      </w:r>
      <w:proofErr w:type="spellEnd"/>
      <w:r w:rsidRPr="004B44C8">
        <w:rPr>
          <w:lang w:val="es-UY"/>
        </w:rPr>
        <w:t xml:space="preserve"> debe combinarse con datos cualitativos de CAME publicados con menor frecuencia.</w:t>
      </w:r>
    </w:p>
    <w:p w14:paraId="1E1EE6D9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#8 — Despacho de Cemento e Hierro (proxy ISAC + Acero crudo)</w:t>
      </w:r>
    </w:p>
    <w:p w14:paraId="228ACE8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AFCP + Cámara del Acero.</w:t>
      </w:r>
    </w:p>
    <w:p w14:paraId="4222C82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AFCP publica </w:t>
      </w:r>
      <w:proofErr w:type="spellStart"/>
      <w:r w:rsidRPr="004B44C8">
        <w:rPr>
          <w:lang w:val="es-UY"/>
        </w:rPr>
        <w:t>PDFs</w:t>
      </w:r>
      <w:proofErr w:type="spellEnd"/>
      <w:r w:rsidRPr="004B44C8">
        <w:rPr>
          <w:lang w:val="es-UY"/>
        </w:rPr>
        <w:t xml:space="preserve"> con </w:t>
      </w:r>
      <w:proofErr w:type="spellStart"/>
      <w:r w:rsidRPr="004B44C8">
        <w:rPr>
          <w:lang w:val="es-UY"/>
        </w:rPr>
        <w:t>URLs</w:t>
      </w:r>
      <w:proofErr w:type="spellEnd"/>
      <w:r w:rsidRPr="004B44C8">
        <w:rPr>
          <w:lang w:val="es-UY"/>
        </w:rPr>
        <w:t xml:space="preserve"> de hashes opacos (no automatizable). Cámara del Acero publica </w:t>
      </w:r>
      <w:proofErr w:type="spellStart"/>
      <w:r w:rsidRPr="004B44C8">
        <w:rPr>
          <w:lang w:val="es-UY"/>
        </w:rPr>
        <w:t>PDFs</w:t>
      </w:r>
      <w:proofErr w:type="spellEnd"/>
      <w:r w:rsidRPr="004B44C8">
        <w:rPr>
          <w:lang w:val="es-UY"/>
        </w:rPr>
        <w:t xml:space="preserve"> mensuales sin API.</w:t>
      </w:r>
    </w:p>
    <w:p w14:paraId="4B6513E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Sustitución adoptada:</w:t>
      </w:r>
    </w:p>
    <w:p w14:paraId="7FB84972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ISAC</w:t>
      </w:r>
      <w:r w:rsidRPr="004B44C8">
        <w:rPr>
          <w:lang w:val="es-UY"/>
        </w:rPr>
        <w:t xml:space="preserve"> (Índice Sintético de Actividad de la Construcción): serie </w:t>
      </w:r>
      <w:r w:rsidRPr="004B44C8">
        <w:rPr>
          <w:rFonts w:ascii="Courier New" w:hAnsi="Courier New"/>
          <w:sz w:val="20"/>
          <w:lang w:val="es-UY"/>
        </w:rPr>
        <w:t>33.2_ISAC_SIN_EDAD_0_M_23_56</w:t>
      </w:r>
      <w:r w:rsidRPr="004B44C8">
        <w:rPr>
          <w:lang w:val="es-UY"/>
        </w:rPr>
        <w:t>.</w:t>
      </w:r>
    </w:p>
    <w:p w14:paraId="5BE688C8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Acero crudo (miles ton):</w:t>
      </w:r>
      <w:r w:rsidRPr="004B44C8">
        <w:rPr>
          <w:lang w:val="es-UY"/>
        </w:rPr>
        <w:t xml:space="preserve"> serie </w:t>
      </w:r>
      <w:r w:rsidRPr="004B44C8">
        <w:rPr>
          <w:rFonts w:ascii="Courier New" w:hAnsi="Courier New"/>
          <w:sz w:val="20"/>
          <w:lang w:val="es-UY"/>
        </w:rPr>
        <w:t>41.3_AC_0_A_11</w:t>
      </w:r>
      <w:r w:rsidRPr="004B44C8">
        <w:rPr>
          <w:lang w:val="es-UY"/>
        </w:rPr>
        <w:t>.</w:t>
      </w:r>
    </w:p>
    <w:p w14:paraId="361A4FE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mensual.</w:t>
      </w:r>
    </w:p>
    <w:p w14:paraId="2A7906D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ISAC 143,5; </w:t>
      </w:r>
      <w:r w:rsidRPr="004B44C8">
        <w:rPr>
          <w:b/>
          <w:lang w:val="es-UY"/>
        </w:rPr>
        <w:t>−1,35 % m/m</w:t>
      </w:r>
      <w:r w:rsidRPr="004B44C8">
        <w:rPr>
          <w:lang w:val="es-UY"/>
        </w:rPr>
        <w:t xml:space="preserve"> (feb-2026). Acero crudo 731,6 mil ton; </w:t>
      </w:r>
      <w:r w:rsidRPr="004B44C8">
        <w:rPr>
          <w:b/>
          <w:lang w:val="es-UY"/>
        </w:rPr>
        <w:t>−9,0 % m/m</w:t>
      </w:r>
      <w:r w:rsidRPr="004B44C8">
        <w:rPr>
          <w:lang w:val="es-UY"/>
        </w:rPr>
        <w:t xml:space="preserve"> (ene-2026).</w:t>
      </w:r>
    </w:p>
    <w:p w14:paraId="00078A5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GET</w:t>
      </w:r>
      <w:r w:rsidRPr="004B44C8">
        <w:rPr>
          <w:lang w:val="es-UY"/>
        </w:rPr>
        <w:t xml:space="preserve"> JSON datos.gob.ar.</w:t>
      </w:r>
    </w:p>
    <w:p w14:paraId="3C523213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#9 — Pluriempleo (proxy: subocupación demandante)</w:t>
      </w:r>
    </w:p>
    <w:p w14:paraId="3857C4E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microdatos EPH cruzados.</w:t>
      </w:r>
    </w:p>
    <w:p w14:paraId="1A2A2D7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no existe serie sintética publicada del fenómeno "personas con más de un empleo".</w:t>
      </w:r>
    </w:p>
    <w:p w14:paraId="5F1EC349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Sustitución adoptada: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Subocupación demandante</w:t>
      </w:r>
      <w:r w:rsidRPr="004B44C8">
        <w:rPr>
          <w:lang w:val="es-UY"/>
        </w:rPr>
        <w:t xml:space="preserve">, serie </w:t>
      </w:r>
      <w:r w:rsidRPr="004B44C8">
        <w:rPr>
          <w:rFonts w:ascii="Courier New" w:hAnsi="Courier New"/>
          <w:sz w:val="20"/>
          <w:lang w:val="es-UY"/>
        </w:rPr>
        <w:t>47.2_ECTSDT_0_T_47</w:t>
      </w:r>
      <w:r w:rsidRPr="004B44C8">
        <w:rPr>
          <w:lang w:val="es-UY"/>
        </w:rPr>
        <w:t>. Capta la insuficiencia de ingresos laborales — el motor económico del pluriempleo.</w:t>
      </w:r>
    </w:p>
    <w:p w14:paraId="3A36A2EF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Series complementarias incluidas:</w:t>
      </w:r>
      <w:r w:rsidRPr="004B44C8">
        <w:rPr>
          <w:lang w:val="es-UY"/>
        </w:rPr>
        <w:t xml:space="preserve"> desocupación (</w:t>
      </w:r>
      <w:r w:rsidRPr="004B44C8">
        <w:rPr>
          <w:rFonts w:ascii="Courier New" w:hAnsi="Courier New"/>
          <w:sz w:val="20"/>
          <w:lang w:val="es-UY"/>
        </w:rPr>
        <w:t>42.3_EPH_PUNTUATAL_0_M_30</w:t>
      </w:r>
      <w:r w:rsidRPr="004B44C8">
        <w:rPr>
          <w:lang w:val="es-UY"/>
        </w:rPr>
        <w:t>), empleo (</w:t>
      </w:r>
      <w:r w:rsidRPr="004B44C8">
        <w:rPr>
          <w:rFonts w:ascii="Courier New" w:hAnsi="Courier New"/>
          <w:sz w:val="20"/>
          <w:lang w:val="es-UY"/>
        </w:rPr>
        <w:t>42.3_EPH_PUNTUATAL_0_M_24</w:t>
      </w:r>
      <w:r w:rsidRPr="004B44C8">
        <w:rPr>
          <w:lang w:val="es-UY"/>
        </w:rPr>
        <w:t>).</w:t>
      </w:r>
    </w:p>
    <w:p w14:paraId="5D15756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trimestral (EPH).</w:t>
      </w:r>
    </w:p>
    <w:p w14:paraId="1B44D9D1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subocupación demandante </w:t>
      </w:r>
      <w:r w:rsidRPr="004B44C8">
        <w:rPr>
          <w:b/>
          <w:lang w:val="es-UY"/>
        </w:rPr>
        <w:t>7,8 %</w:t>
      </w:r>
      <w:r w:rsidRPr="004B44C8">
        <w:rPr>
          <w:lang w:val="es-UY"/>
        </w:rPr>
        <w:t xml:space="preserve">, desocupación </w:t>
      </w:r>
      <w:r w:rsidRPr="004B44C8">
        <w:rPr>
          <w:b/>
          <w:lang w:val="es-UY"/>
        </w:rPr>
        <w:t>7,5 %</w:t>
      </w:r>
      <w:r w:rsidRPr="004B44C8">
        <w:rPr>
          <w:lang w:val="es-UY"/>
        </w:rPr>
        <w:t xml:space="preserve">, empleo </w:t>
      </w:r>
      <w:r w:rsidRPr="004B44C8">
        <w:rPr>
          <w:b/>
          <w:lang w:val="es-UY"/>
        </w:rPr>
        <w:t>45,0 %</w:t>
      </w:r>
      <w:r w:rsidRPr="004B44C8">
        <w:rPr>
          <w:lang w:val="es-UY"/>
        </w:rPr>
        <w:t xml:space="preserve"> (oct-2025).</w:t>
      </w:r>
    </w:p>
    <w:p w14:paraId="3B64D6A8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3A8FC9"/>
          <w:sz w:val="26"/>
          <w:lang w:val="es-UY"/>
        </w:rPr>
        <w:t>Grupo III — Servicios y Bienestar</w:t>
      </w:r>
    </w:p>
    <w:p w14:paraId="268BB98F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#10 — Deserción Escolar</w:t>
      </w:r>
    </w:p>
    <w:p w14:paraId="595A643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propuesta:</w:t>
      </w:r>
      <w:r w:rsidRPr="004B44C8">
        <w:rPr>
          <w:lang w:val="es-UY"/>
        </w:rPr>
        <w:t xml:space="preserve"> Ministerio de Educación — Relevamiento Anual.</w:t>
      </w:r>
    </w:p>
    <w:p w14:paraId="7BC34D78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publicación </w:t>
      </w:r>
      <w:r w:rsidRPr="004B44C8">
        <w:rPr>
          <w:b/>
          <w:lang w:val="es-UY"/>
        </w:rPr>
        <w:t>anual con 12–18 meses de rezago</w:t>
      </w:r>
      <w:r w:rsidRPr="004B44C8">
        <w:rPr>
          <w:lang w:val="es-UY"/>
        </w:rPr>
        <w:t>. No hay API, los archivos Excel no tienen URL estable.</w:t>
      </w:r>
    </w:p>
    <w:p w14:paraId="0E7FFD5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lastRenderedPageBreak/>
        <w:t xml:space="preserve">•  </w:t>
      </w:r>
      <w:r w:rsidRPr="004B44C8">
        <w:rPr>
          <w:b/>
          <w:lang w:val="es-UY"/>
        </w:rPr>
        <w:t>Diagnóstico: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estructuralmente no automatizable</w:t>
      </w:r>
      <w:r w:rsidRPr="004B44C8">
        <w:rPr>
          <w:lang w:val="es-UY"/>
        </w:rPr>
        <w:t xml:space="preserve"> como indicador de coyuntura. Se recomienda incorporarlo como </w:t>
      </w:r>
      <w:r w:rsidRPr="004B44C8">
        <w:rPr>
          <w:b/>
          <w:lang w:val="es-UY"/>
        </w:rPr>
        <w:t>dato de contexto fijo</w:t>
      </w:r>
      <w:r w:rsidRPr="004B44C8">
        <w:rPr>
          <w:lang w:val="es-UY"/>
        </w:rPr>
        <w:t>, actualizable manualmente una vez por año.</w:t>
      </w:r>
    </w:p>
    <w:p w14:paraId="5F26B91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Alternativa de menor rezago:</w:t>
      </w:r>
      <w:r w:rsidRPr="004B44C8">
        <w:rPr>
          <w:lang w:val="es-UY"/>
        </w:rPr>
        <w:t xml:space="preserve"> Ministerio de Educación GCBA publica datos de CABA con mayor agilidad, también anuales.</w:t>
      </w:r>
    </w:p>
    <w:p w14:paraId="6B986473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#11 — Espera en Salud Pública (sustitución por DEIS / CKAN)</w:t>
      </w:r>
    </w:p>
    <w:p w14:paraId="5052849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SISA.</w:t>
      </w:r>
    </w:p>
    <w:p w14:paraId="08B5759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SISA </w:t>
      </w:r>
      <w:r w:rsidRPr="004B44C8">
        <w:rPr>
          <w:b/>
          <w:lang w:val="es-UY"/>
        </w:rPr>
        <w:t>no publica tiempos de espera en datos abiertos</w:t>
      </w:r>
      <w:r w:rsidRPr="004B44C8">
        <w:rPr>
          <w:lang w:val="es-UY"/>
        </w:rPr>
        <w:t xml:space="preserve">. No hay </w:t>
      </w:r>
      <w:proofErr w:type="spellStart"/>
      <w:r w:rsidRPr="004B44C8">
        <w:rPr>
          <w:lang w:val="es-UY"/>
        </w:rPr>
        <w:t>endpoint</w:t>
      </w:r>
      <w:proofErr w:type="spellEnd"/>
      <w:r w:rsidRPr="004B44C8">
        <w:rPr>
          <w:lang w:val="es-UY"/>
        </w:rPr>
        <w:t xml:space="preserve"> público.</w:t>
      </w:r>
    </w:p>
    <w:p w14:paraId="346CE87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Sustitución adoptada: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`datos.salud.gob.ar`</w:t>
      </w:r>
      <w:r w:rsidRPr="004B44C8">
        <w:rPr>
          <w:lang w:val="es-UY"/>
        </w:rPr>
        <w:t xml:space="preserve"> — API CKAN con </w:t>
      </w:r>
      <w:proofErr w:type="spellStart"/>
      <w:r w:rsidRPr="004B44C8">
        <w:rPr>
          <w:lang w:val="es-UY"/>
        </w:rPr>
        <w:t>datasets</w:t>
      </w:r>
      <w:proofErr w:type="spellEnd"/>
      <w:r w:rsidRPr="004B44C8">
        <w:rPr>
          <w:lang w:val="es-UY"/>
        </w:rPr>
        <w:t xml:space="preserve"> de mortalidad (DEIS), notificaciones epidemiológicas (SNVS) y embarazo adolescente. Mide resultado del sistema sanitario, no proceso — pero es el proxy más robusto disponible en abierto.</w:t>
      </w:r>
    </w:p>
    <w:p w14:paraId="511DEE92" w14:textId="77777777" w:rsidR="000A3586" w:rsidRPr="004B44C8" w:rsidRDefault="00000000">
      <w:pPr>
        <w:spacing w:after="60"/>
        <w:ind w:left="454" w:hanging="283"/>
        <w:rPr>
          <w:lang w:val="es-UY"/>
        </w:rPr>
      </w:pPr>
      <w:r>
        <w:rPr>
          <w:color w:val="1E5F9E"/>
        </w:rPr>
        <w:t xml:space="preserve">•  </w:t>
      </w:r>
      <w:proofErr w:type="spellStart"/>
      <w:r>
        <w:rPr>
          <w:b/>
        </w:rPr>
        <w:t>Método</w:t>
      </w:r>
      <w:proofErr w:type="spellEnd"/>
      <w:r>
        <w:rPr>
          <w:b/>
        </w:rPr>
        <w:t>:</w:t>
      </w:r>
      <w:r>
        <w:t xml:space="preserve"> CKAN </w:t>
      </w:r>
      <w:proofErr w:type="spellStart"/>
      <w:r>
        <w:rPr>
          <w:rFonts w:ascii="Courier New" w:hAnsi="Courier New"/>
          <w:sz w:val="20"/>
        </w:rPr>
        <w:t>package_show</w:t>
      </w:r>
      <w:proofErr w:type="spellEnd"/>
      <w:r>
        <w:t xml:space="preserve"> / </w:t>
      </w:r>
      <w:r>
        <w:rPr>
          <w:rFonts w:ascii="Courier New" w:hAnsi="Courier New"/>
          <w:sz w:val="20"/>
        </w:rPr>
        <w:t>package_search</w:t>
      </w:r>
      <w:r>
        <w:t xml:space="preserve">. </w:t>
      </w:r>
      <w:r w:rsidRPr="004B44C8">
        <w:rPr>
          <w:b/>
          <w:lang w:val="es-UY"/>
        </w:rPr>
        <w:t>Nota técnica:</w:t>
      </w:r>
      <w:r w:rsidRPr="004B44C8">
        <w:rPr>
          <w:lang w:val="es-UY"/>
        </w:rPr>
        <w:t xml:space="preserve"> el servidor tiene SSL </w:t>
      </w:r>
      <w:proofErr w:type="spellStart"/>
      <w:r w:rsidRPr="004B44C8">
        <w:rPr>
          <w:lang w:val="es-UY"/>
        </w:rPr>
        <w:t>cert</w:t>
      </w:r>
      <w:proofErr w:type="spellEnd"/>
      <w:r w:rsidRPr="004B44C8">
        <w:rPr>
          <w:lang w:val="es-UY"/>
        </w:rPr>
        <w:t xml:space="preserve"> roto → </w:t>
      </w:r>
      <w:proofErr w:type="spellStart"/>
      <w:r w:rsidRPr="004B44C8">
        <w:rPr>
          <w:rFonts w:ascii="Courier New" w:hAnsi="Courier New"/>
          <w:sz w:val="20"/>
          <w:lang w:val="es-UY"/>
        </w:rPr>
        <w:t>verify</w:t>
      </w:r>
      <w:proofErr w:type="spellEnd"/>
      <w:r w:rsidRPr="004B44C8">
        <w:rPr>
          <w:rFonts w:ascii="Courier New" w:hAnsi="Courier New"/>
          <w:sz w:val="20"/>
          <w:lang w:val="es-UY"/>
        </w:rPr>
        <w:t>=False</w:t>
      </w:r>
      <w:r w:rsidRPr="004B44C8">
        <w:rPr>
          <w:lang w:val="es-UY"/>
        </w:rPr>
        <w:t xml:space="preserve"> en todos los </w:t>
      </w:r>
      <w:proofErr w:type="spellStart"/>
      <w:r w:rsidRPr="004B44C8">
        <w:rPr>
          <w:lang w:val="es-UY"/>
        </w:rPr>
        <w:t>requests</w:t>
      </w:r>
      <w:proofErr w:type="spellEnd"/>
      <w:r w:rsidRPr="004B44C8">
        <w:rPr>
          <w:lang w:val="es-UY"/>
        </w:rPr>
        <w:t>.</w:t>
      </w:r>
    </w:p>
    <w:p w14:paraId="045647B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 actual:</w:t>
      </w:r>
      <w:r w:rsidRPr="004B44C8">
        <w:rPr>
          <w:lang w:val="es-UY"/>
        </w:rPr>
        <w:t xml:space="preserve"> 3 </w:t>
      </w:r>
      <w:proofErr w:type="spellStart"/>
      <w:r w:rsidRPr="004B44C8">
        <w:rPr>
          <w:lang w:val="es-UY"/>
        </w:rPr>
        <w:t>datasets</w:t>
      </w:r>
      <w:proofErr w:type="spellEnd"/>
      <w:r w:rsidRPr="004B44C8">
        <w:rPr>
          <w:lang w:val="es-UY"/>
        </w:rPr>
        <w:t xml:space="preserve"> disponibles en primera búsqueda.</w:t>
      </w:r>
    </w:p>
    <w:p w14:paraId="7D0AB1F6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#12 — Inseguridad Urbana</w:t>
      </w:r>
    </w:p>
    <w:p w14:paraId="1E5A333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final:</w:t>
      </w:r>
    </w:p>
    <w:p w14:paraId="056A85FE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SNIC (Ministerio de Seguridad):</w:t>
      </w:r>
      <w:r w:rsidRPr="004B44C8">
        <w:rPr>
          <w:lang w:val="es-UY"/>
        </w:rPr>
        <w:t xml:space="preserve"> CSV directo en </w:t>
      </w:r>
      <w:r w:rsidRPr="004B44C8">
        <w:rPr>
          <w:rFonts w:ascii="Courier New" w:hAnsi="Courier New"/>
          <w:sz w:val="20"/>
          <w:lang w:val="es-UY"/>
        </w:rPr>
        <w:t>cloud-snic.minseg.gob.ar/Bases/SNIC/snic-pais.csv</w:t>
      </w:r>
      <w:r w:rsidRPr="004B44C8">
        <w:rPr>
          <w:lang w:val="es-UY"/>
        </w:rPr>
        <w:t>.</w:t>
      </w:r>
    </w:p>
    <w:p w14:paraId="62A314AC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CABA datos abiertos: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cdn.buenosaires.gob.ar/</w:t>
      </w:r>
      <w:proofErr w:type="spellStart"/>
      <w:r w:rsidRPr="004B44C8">
        <w:rPr>
          <w:rFonts w:ascii="Courier New" w:hAnsi="Courier New"/>
          <w:sz w:val="20"/>
          <w:lang w:val="es-UY"/>
        </w:rPr>
        <w:t>datosabiertos</w:t>
      </w:r>
      <w:proofErr w:type="spellEnd"/>
      <w:r w:rsidRPr="004B44C8">
        <w:rPr>
          <w:rFonts w:ascii="Courier New" w:hAnsi="Courier New"/>
          <w:sz w:val="20"/>
          <w:lang w:val="es-UY"/>
        </w:rPr>
        <w:t>/.../delitos_{year}.csv</w:t>
      </w:r>
      <w:r w:rsidRPr="004B44C8">
        <w:rPr>
          <w:lang w:val="es-UY"/>
        </w:rPr>
        <w:t xml:space="preserve"> (hechos geolocalizados).</w:t>
      </w:r>
    </w:p>
    <w:p w14:paraId="255CFB8E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Columnas reales del CSV nacional:</w:t>
      </w:r>
      <w:r w:rsidRPr="004B44C8">
        <w:rPr>
          <w:lang w:val="es-UY"/>
        </w:rPr>
        <w:t xml:space="preserve"> </w:t>
      </w:r>
      <w:proofErr w:type="spellStart"/>
      <w:r w:rsidRPr="004B44C8">
        <w:rPr>
          <w:rFonts w:ascii="Courier New" w:hAnsi="Courier New"/>
          <w:sz w:val="20"/>
          <w:lang w:val="es-UY"/>
        </w:rPr>
        <w:t>anio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codigo_delito_snic_id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codigo_delito_snic_nombre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cantidad_hechos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cantidad_victimas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tasa_hechos</w:t>
      </w:r>
      <w:proofErr w:type="spellEnd"/>
      <w:r w:rsidRPr="004B44C8">
        <w:rPr>
          <w:rFonts w:ascii="Courier New" w:hAnsi="Courier New"/>
          <w:sz w:val="20"/>
          <w:lang w:val="es-UY"/>
        </w:rPr>
        <w:t xml:space="preserve">, </w:t>
      </w:r>
      <w:proofErr w:type="spellStart"/>
      <w:r w:rsidRPr="004B44C8">
        <w:rPr>
          <w:rFonts w:ascii="Courier New" w:hAnsi="Courier New"/>
          <w:sz w:val="20"/>
          <w:lang w:val="es-UY"/>
        </w:rPr>
        <w:t>tasa_victimas</w:t>
      </w:r>
      <w:proofErr w:type="spellEnd"/>
      <w:r w:rsidRPr="004B44C8">
        <w:rPr>
          <w:lang w:val="es-UY"/>
        </w:rPr>
        <w:t xml:space="preserve"> (+ desagregados por sexo).</w:t>
      </w:r>
    </w:p>
    <w:p w14:paraId="7B2B2DB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SNIC nacional </w:t>
      </w:r>
      <w:r w:rsidRPr="004B44C8">
        <w:rPr>
          <w:b/>
          <w:lang w:val="es-UY"/>
        </w:rPr>
        <w:t>anual con ~5 meses de rezago</w:t>
      </w:r>
      <w:r w:rsidRPr="004B44C8">
        <w:rPr>
          <w:lang w:val="es-UY"/>
        </w:rPr>
        <w:t>; CABA ya tiene 2025 publicado (may-2026, 14,6 MB).</w:t>
      </w:r>
    </w:p>
    <w:p w14:paraId="4286532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dato nacional: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2.501.057 hechos</w:t>
      </w:r>
      <w:r w:rsidRPr="004B44C8">
        <w:rPr>
          <w:lang w:val="es-UY"/>
        </w:rPr>
        <w:t xml:space="preserve"> (2024). Top 5 categorías: Robos 460.618 / Hurtos 376.498 / Otros contra la propiedad 259.044 / Amenazas 204.599 / Lesiones dolosas 169.511.</w:t>
      </w:r>
    </w:p>
    <w:p w14:paraId="3630A828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3A8FC9"/>
          <w:sz w:val="26"/>
          <w:lang w:val="es-UY"/>
        </w:rPr>
        <w:t>Grupo IV — Clima y Expectativas</w:t>
      </w:r>
    </w:p>
    <w:p w14:paraId="03AFC7B9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#13 — ICC Confianza del Consumidor</w:t>
      </w:r>
    </w:p>
    <w:p w14:paraId="098DB8B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final:</w:t>
      </w:r>
      <w:r w:rsidRPr="004B44C8">
        <w:rPr>
          <w:lang w:val="es-UY"/>
        </w:rPr>
        <w:t xml:space="preserve"> UTDT — listado de informes + descarga XLS.</w:t>
      </w:r>
    </w:p>
    <w:p w14:paraId="1CF4C470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URL base:</w:t>
      </w:r>
      <w:r w:rsidRPr="004B44C8">
        <w:rPr>
          <w:lang w:val="es-UY"/>
        </w:rPr>
        <w:t xml:space="preserve"> </w:t>
      </w:r>
      <w:r w:rsidRPr="004B44C8">
        <w:rPr>
          <w:rFonts w:ascii="Courier New" w:hAnsi="Courier New"/>
          <w:sz w:val="20"/>
          <w:lang w:val="es-UY"/>
        </w:rPr>
        <w:t>https://www.utdt.edu/listado_contenidos.php?id_item_menu=16458</w:t>
      </w:r>
      <w:r w:rsidRPr="004B44C8">
        <w:rPr>
          <w:lang w:val="es-UY"/>
        </w:rPr>
        <w:t>.</w:t>
      </w:r>
    </w:p>
    <w:p w14:paraId="7520C2BE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Método:</w:t>
      </w:r>
      <w:r w:rsidRPr="004B44C8">
        <w:rPr>
          <w:lang w:val="es-UY"/>
        </w:rPr>
        <w:t xml:space="preserve"> </w:t>
      </w:r>
      <w:proofErr w:type="spellStart"/>
      <w:r w:rsidRPr="004B44C8">
        <w:rPr>
          <w:rFonts w:ascii="Courier New" w:hAnsi="Courier New"/>
          <w:sz w:val="20"/>
          <w:lang w:val="es-UY"/>
        </w:rPr>
        <w:t>requests</w:t>
      </w:r>
      <w:proofErr w:type="spellEnd"/>
      <w:r w:rsidRPr="004B44C8">
        <w:rPr>
          <w:lang w:val="es-UY"/>
        </w:rPr>
        <w:t xml:space="preserve"> + </w:t>
      </w:r>
      <w:proofErr w:type="spellStart"/>
      <w:r w:rsidRPr="004B44C8">
        <w:rPr>
          <w:rFonts w:ascii="Courier New" w:hAnsi="Courier New"/>
          <w:sz w:val="20"/>
          <w:lang w:val="es-UY"/>
        </w:rPr>
        <w:t>BeautifulSoup</w:t>
      </w:r>
      <w:proofErr w:type="spellEnd"/>
      <w:r w:rsidRPr="004B44C8">
        <w:rPr>
          <w:lang w:val="es-UY"/>
        </w:rPr>
        <w:t xml:space="preserve"> para localizar el XLS más reciente, descarga vía </w:t>
      </w:r>
      <w:proofErr w:type="spellStart"/>
      <w:r w:rsidRPr="004B44C8">
        <w:rPr>
          <w:rFonts w:ascii="Courier New" w:hAnsi="Courier New"/>
          <w:sz w:val="20"/>
          <w:lang w:val="es-UY"/>
        </w:rPr>
        <w:t>download.php?fname</w:t>
      </w:r>
      <w:proofErr w:type="spellEnd"/>
      <w:r w:rsidRPr="004B44C8">
        <w:rPr>
          <w:rFonts w:ascii="Courier New" w:hAnsi="Courier New"/>
          <w:sz w:val="20"/>
          <w:lang w:val="es-UY"/>
        </w:rPr>
        <w:t>=...</w:t>
      </w:r>
      <w:r w:rsidRPr="004B44C8">
        <w:rPr>
          <w:lang w:val="es-UY"/>
        </w:rPr>
        <w:t xml:space="preserve">, </w:t>
      </w:r>
      <w:proofErr w:type="spellStart"/>
      <w:r w:rsidRPr="004B44C8">
        <w:rPr>
          <w:lang w:val="es-UY"/>
        </w:rPr>
        <w:t>parsing</w:t>
      </w:r>
      <w:proofErr w:type="spellEnd"/>
      <w:r w:rsidRPr="004B44C8">
        <w:rPr>
          <w:lang w:val="es-UY"/>
        </w:rPr>
        <w:t xml:space="preserve"> con </w:t>
      </w:r>
      <w:r w:rsidRPr="004B44C8">
        <w:rPr>
          <w:b/>
          <w:lang w:val="es-UY"/>
        </w:rPr>
        <w:t>`</w:t>
      </w:r>
      <w:proofErr w:type="spellStart"/>
      <w:r w:rsidRPr="004B44C8">
        <w:rPr>
          <w:b/>
          <w:lang w:val="es-UY"/>
        </w:rPr>
        <w:t>xlrd</w:t>
      </w:r>
      <w:proofErr w:type="spellEnd"/>
      <w:r w:rsidRPr="004B44C8">
        <w:rPr>
          <w:b/>
          <w:lang w:val="es-UY"/>
        </w:rPr>
        <w:t>==1.2.0`</w:t>
      </w:r>
      <w:r w:rsidRPr="004B44C8">
        <w:rPr>
          <w:lang w:val="es-UY"/>
        </w:rPr>
        <w:t xml:space="preserve"> (las versiones ≥2.0 no soportan </w:t>
      </w:r>
      <w:r w:rsidRPr="004B44C8">
        <w:rPr>
          <w:rFonts w:ascii="Courier New" w:hAnsi="Courier New"/>
          <w:sz w:val="20"/>
          <w:lang w:val="es-UY"/>
        </w:rPr>
        <w:t>.xls</w:t>
      </w:r>
      <w:r w:rsidRPr="004B44C8">
        <w:rPr>
          <w:lang w:val="es-UY"/>
        </w:rPr>
        <w:t xml:space="preserve"> OLE2).</w:t>
      </w:r>
    </w:p>
    <w:p w14:paraId="04DBECD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Detalle técnico:</w:t>
      </w:r>
      <w:r w:rsidRPr="004B44C8">
        <w:rPr>
          <w:lang w:val="es-UY"/>
        </w:rPr>
        <w:t xml:space="preserve"> las celdas de fecha en el XLS tienen </w:t>
      </w:r>
      <w:proofErr w:type="spellStart"/>
      <w:r w:rsidRPr="004B44C8">
        <w:rPr>
          <w:rFonts w:ascii="Courier New" w:hAnsi="Courier New"/>
          <w:sz w:val="20"/>
          <w:lang w:val="es-UY"/>
        </w:rPr>
        <w:t>ctype</w:t>
      </w:r>
      <w:proofErr w:type="spellEnd"/>
      <w:r w:rsidRPr="004B44C8">
        <w:rPr>
          <w:rFonts w:ascii="Courier New" w:hAnsi="Courier New"/>
          <w:sz w:val="20"/>
          <w:lang w:val="es-UY"/>
        </w:rPr>
        <w:t>=3</w:t>
      </w:r>
      <w:r w:rsidRPr="004B44C8">
        <w:rPr>
          <w:lang w:val="es-UY"/>
        </w:rPr>
        <w:t xml:space="preserve"> (XL_CELL_DATE), no </w:t>
      </w:r>
      <w:proofErr w:type="spellStart"/>
      <w:r w:rsidRPr="004B44C8">
        <w:rPr>
          <w:rFonts w:ascii="Courier New" w:hAnsi="Courier New"/>
          <w:sz w:val="20"/>
          <w:lang w:val="es-UY"/>
        </w:rPr>
        <w:t>ctype</w:t>
      </w:r>
      <w:proofErr w:type="spellEnd"/>
      <w:r w:rsidRPr="004B44C8">
        <w:rPr>
          <w:rFonts w:ascii="Courier New" w:hAnsi="Courier New"/>
          <w:sz w:val="20"/>
          <w:lang w:val="es-UY"/>
        </w:rPr>
        <w:t>=2</w:t>
      </w:r>
      <w:r w:rsidRPr="004B44C8">
        <w:rPr>
          <w:lang w:val="es-UY"/>
        </w:rPr>
        <w:t xml:space="preserve">. El </w:t>
      </w:r>
      <w:proofErr w:type="spellStart"/>
      <w:r w:rsidRPr="004B44C8">
        <w:rPr>
          <w:lang w:val="es-UY"/>
        </w:rPr>
        <w:t>parser</w:t>
      </w:r>
      <w:proofErr w:type="spellEnd"/>
      <w:r w:rsidRPr="004B44C8">
        <w:rPr>
          <w:lang w:val="es-UY"/>
        </w:rPr>
        <w:t xml:space="preserve"> debe contemplarlo.</w:t>
      </w:r>
    </w:p>
    <w:p w14:paraId="041A74E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lastRenderedPageBreak/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mensual.</w:t>
      </w:r>
    </w:p>
    <w:p w14:paraId="0602EE74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>ICC 38,1</w:t>
      </w:r>
      <w:r w:rsidRPr="004B44C8">
        <w:rPr>
          <w:lang w:val="es-UY"/>
        </w:rPr>
        <w:t xml:space="preserve"> (abr-2026).</w:t>
      </w:r>
    </w:p>
    <w:p w14:paraId="39827E48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 xml:space="preserve">#14 — Sentimiento Digital (sustitución por Google </w:t>
      </w:r>
      <w:proofErr w:type="spellStart"/>
      <w:r w:rsidRPr="004B44C8">
        <w:rPr>
          <w:b/>
          <w:color w:val="606060"/>
          <w:lang w:val="es-UY"/>
        </w:rPr>
        <w:t>Trends</w:t>
      </w:r>
      <w:proofErr w:type="spellEnd"/>
      <w:r w:rsidRPr="004B44C8">
        <w:rPr>
          <w:b/>
          <w:color w:val="606060"/>
          <w:lang w:val="es-UY"/>
        </w:rPr>
        <w:t>)</w:t>
      </w:r>
    </w:p>
    <w:p w14:paraId="5E33551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 original propuesta:</w:t>
      </w:r>
      <w:r w:rsidRPr="004B44C8">
        <w:rPr>
          <w:lang w:val="es-UY"/>
        </w:rPr>
        <w:t xml:space="preserve"> X API + Meta API + NLP.</w:t>
      </w:r>
    </w:p>
    <w:p w14:paraId="7254316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Resultado:</w:t>
      </w:r>
      <w:r w:rsidRPr="004B44C8">
        <w:rPr>
          <w:lang w:val="es-UY"/>
        </w:rPr>
        <w:t xml:space="preserve"> X cuesta USD 100+/mes; Meta requiere aprobación previa para investigación. Inviable sin presupuesto y sin rol institucional formal.</w:t>
      </w:r>
    </w:p>
    <w:p w14:paraId="22F7A199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Sustitución adoptada: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 xml:space="preserve">Google </w:t>
      </w:r>
      <w:proofErr w:type="spellStart"/>
      <w:r w:rsidRPr="004B44C8">
        <w:rPr>
          <w:b/>
          <w:lang w:val="es-UY"/>
        </w:rPr>
        <w:t>Trends</w:t>
      </w:r>
      <w:proofErr w:type="spellEnd"/>
      <w:r w:rsidRPr="004B44C8">
        <w:rPr>
          <w:b/>
          <w:lang w:val="es-UY"/>
        </w:rPr>
        <w:t xml:space="preserve"> vía `</w:t>
      </w:r>
      <w:proofErr w:type="spellStart"/>
      <w:r w:rsidRPr="004B44C8">
        <w:rPr>
          <w:b/>
          <w:lang w:val="es-UY"/>
        </w:rPr>
        <w:t>pytrends</w:t>
      </w:r>
      <w:proofErr w:type="spellEnd"/>
      <w:r w:rsidRPr="004B44C8">
        <w:rPr>
          <w:b/>
          <w:lang w:val="es-UY"/>
        </w:rPr>
        <w:t>`</w:t>
      </w:r>
      <w:r w:rsidRPr="004B44C8">
        <w:rPr>
          <w:lang w:val="es-UY"/>
        </w:rPr>
        <w:t xml:space="preserve"> (gratuito, sin API </w:t>
      </w:r>
      <w:proofErr w:type="spellStart"/>
      <w:r w:rsidRPr="004B44C8">
        <w:rPr>
          <w:lang w:val="es-UY"/>
        </w:rPr>
        <w:t>key</w:t>
      </w:r>
      <w:proofErr w:type="spellEnd"/>
      <w:r w:rsidRPr="004B44C8">
        <w:rPr>
          <w:lang w:val="es-UY"/>
        </w:rPr>
        <w:t>).</w:t>
      </w:r>
    </w:p>
    <w:p w14:paraId="10FF1D29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Palabras clave (geo: AR):</w:t>
      </w:r>
      <w:r w:rsidRPr="004B44C8">
        <w:rPr>
          <w:lang w:val="es-UY"/>
        </w:rPr>
        <w:t xml:space="preserve"> </w:t>
      </w:r>
      <w:proofErr w:type="spellStart"/>
      <w:r w:rsidRPr="004B44C8">
        <w:rPr>
          <w:rFonts w:ascii="Courier New" w:hAnsi="Courier New"/>
          <w:sz w:val="20"/>
          <w:lang w:val="es-UY"/>
        </w:rPr>
        <w:t>inflacion</w:t>
      </w:r>
      <w:proofErr w:type="spellEnd"/>
      <w:r w:rsidRPr="004B44C8">
        <w:rPr>
          <w:lang w:val="es-UY"/>
        </w:rPr>
        <w:t xml:space="preserve">, </w:t>
      </w:r>
      <w:r w:rsidRPr="004B44C8">
        <w:rPr>
          <w:rFonts w:ascii="Courier New" w:hAnsi="Courier New"/>
          <w:sz w:val="20"/>
          <w:lang w:val="es-UY"/>
        </w:rPr>
        <w:t>precios</w:t>
      </w:r>
      <w:r w:rsidRPr="004B44C8">
        <w:rPr>
          <w:lang w:val="es-UY"/>
        </w:rPr>
        <w:t xml:space="preserve">, </w:t>
      </w:r>
      <w:r w:rsidRPr="004B44C8">
        <w:rPr>
          <w:rFonts w:ascii="Courier New" w:hAnsi="Courier New"/>
          <w:sz w:val="20"/>
          <w:lang w:val="es-UY"/>
        </w:rPr>
        <w:t>inseguridad</w:t>
      </w:r>
      <w:r w:rsidRPr="004B44C8">
        <w:rPr>
          <w:lang w:val="es-UY"/>
        </w:rPr>
        <w:t xml:space="preserve">, </w:t>
      </w:r>
      <w:r w:rsidRPr="004B44C8">
        <w:rPr>
          <w:rFonts w:ascii="Courier New" w:hAnsi="Courier New"/>
          <w:sz w:val="20"/>
          <w:lang w:val="es-UY"/>
        </w:rPr>
        <w:t>trabajo</w:t>
      </w:r>
      <w:r w:rsidRPr="004B44C8">
        <w:rPr>
          <w:lang w:val="es-UY"/>
        </w:rPr>
        <w:t>.</w:t>
      </w:r>
    </w:p>
    <w:p w14:paraId="260E78AD" w14:textId="77777777" w:rsidR="000A3586" w:rsidRPr="004B44C8" w:rsidRDefault="00000000">
      <w:pPr>
        <w:spacing w:after="60"/>
        <w:ind w:left="454" w:hanging="283"/>
        <w:rPr>
          <w:lang w:val="es-UY"/>
        </w:rPr>
      </w:pPr>
      <w:r>
        <w:rPr>
          <w:color w:val="1E5F9E"/>
        </w:rPr>
        <w:t xml:space="preserve">•  </w:t>
      </w:r>
      <w:proofErr w:type="spellStart"/>
      <w:r>
        <w:rPr>
          <w:b/>
        </w:rPr>
        <w:t>Detalle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urier New" w:hAnsi="Courier New"/>
          <w:sz w:val="20"/>
        </w:rPr>
        <w:t>urllib3</w:t>
      </w:r>
      <w:r>
        <w:t xml:space="preserve"> v2 rompe </w:t>
      </w:r>
      <w:r>
        <w:rPr>
          <w:rFonts w:ascii="Courier New" w:hAnsi="Courier New"/>
          <w:sz w:val="20"/>
        </w:rPr>
        <w:t>pytrends</w:t>
      </w:r>
      <w:r>
        <w:t xml:space="preserve"> (renombró </w:t>
      </w:r>
      <w:r>
        <w:rPr>
          <w:rFonts w:ascii="Courier New" w:hAnsi="Courier New"/>
          <w:sz w:val="20"/>
        </w:rPr>
        <w:t>method_whitelist</w:t>
      </w:r>
      <w:r>
        <w:t xml:space="preserve"> → </w:t>
      </w:r>
      <w:r>
        <w:rPr>
          <w:rFonts w:ascii="Courier New" w:hAnsi="Courier New"/>
          <w:sz w:val="20"/>
        </w:rPr>
        <w:t>allowed_methods</w:t>
      </w:r>
      <w:r>
        <w:t xml:space="preserve">). </w:t>
      </w:r>
      <w:r w:rsidRPr="004B44C8">
        <w:rPr>
          <w:lang w:val="es-UY"/>
        </w:rPr>
        <w:t xml:space="preserve">Se aplica </w:t>
      </w:r>
      <w:proofErr w:type="spellStart"/>
      <w:r w:rsidRPr="004B44C8">
        <w:rPr>
          <w:lang w:val="es-UY"/>
        </w:rPr>
        <w:t>monkey-patch</w:t>
      </w:r>
      <w:proofErr w:type="spellEnd"/>
      <w:r w:rsidRPr="004B44C8">
        <w:rPr>
          <w:lang w:val="es-UY"/>
        </w:rPr>
        <w:t xml:space="preserve"> antes de instanciar </w:t>
      </w:r>
      <w:proofErr w:type="spellStart"/>
      <w:r w:rsidRPr="004B44C8">
        <w:rPr>
          <w:rFonts w:ascii="Courier New" w:hAnsi="Courier New"/>
          <w:sz w:val="20"/>
          <w:lang w:val="es-UY"/>
        </w:rPr>
        <w:t>TrendReq</w:t>
      </w:r>
      <w:proofErr w:type="spellEnd"/>
      <w:r w:rsidRPr="004B44C8">
        <w:rPr>
          <w:lang w:val="es-UY"/>
        </w:rPr>
        <w:t>.</w:t>
      </w:r>
    </w:p>
    <w:p w14:paraId="143842F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Frecuencia:</w:t>
      </w:r>
      <w:r w:rsidRPr="004B44C8">
        <w:rPr>
          <w:lang w:val="es-UY"/>
        </w:rPr>
        <w:t xml:space="preserve"> tiempo real (ventana móvil últimos 3 meses).</w:t>
      </w:r>
    </w:p>
    <w:p w14:paraId="4D6DC776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Limitación:</w:t>
      </w:r>
      <w:r w:rsidRPr="004B44C8">
        <w:rPr>
          <w:lang w:val="es-UY"/>
        </w:rPr>
        <w:t xml:space="preserve"> </w:t>
      </w:r>
      <w:r w:rsidRPr="004B44C8">
        <w:rPr>
          <w:b/>
          <w:lang w:val="es-UY"/>
        </w:rPr>
        <w:t xml:space="preserve">sujeto a </w:t>
      </w:r>
      <w:proofErr w:type="spellStart"/>
      <w:r w:rsidRPr="004B44C8">
        <w:rPr>
          <w:b/>
          <w:lang w:val="es-UY"/>
        </w:rPr>
        <w:t>rate</w:t>
      </w:r>
      <w:proofErr w:type="spellEnd"/>
      <w:r w:rsidRPr="004B44C8">
        <w:rPr>
          <w:b/>
          <w:lang w:val="es-UY"/>
        </w:rPr>
        <w:t xml:space="preserve"> </w:t>
      </w:r>
      <w:proofErr w:type="spellStart"/>
      <w:r w:rsidRPr="004B44C8">
        <w:rPr>
          <w:b/>
          <w:lang w:val="es-UY"/>
        </w:rPr>
        <w:t>limits</w:t>
      </w:r>
      <w:proofErr w:type="spellEnd"/>
      <w:r w:rsidRPr="004B44C8">
        <w:rPr>
          <w:b/>
          <w:lang w:val="es-UY"/>
        </w:rPr>
        <w:t xml:space="preserve"> de Google</w:t>
      </w:r>
      <w:r w:rsidRPr="004B44C8">
        <w:rPr>
          <w:lang w:val="es-UY"/>
        </w:rPr>
        <w:t xml:space="preserve"> — puede devolver HTTP 429. El </w:t>
      </w:r>
      <w:proofErr w:type="spellStart"/>
      <w:r w:rsidRPr="004B44C8">
        <w:rPr>
          <w:lang w:val="es-UY"/>
        </w:rPr>
        <w:t>collector</w:t>
      </w:r>
      <w:proofErr w:type="spellEnd"/>
      <w:r w:rsidRPr="004B44C8">
        <w:rPr>
          <w:lang w:val="es-UY"/>
        </w:rPr>
        <w:t xml:space="preserve"> tiene </w:t>
      </w:r>
      <w:proofErr w:type="spellStart"/>
      <w:r w:rsidRPr="004B44C8">
        <w:rPr>
          <w:lang w:val="es-UY"/>
        </w:rPr>
        <w:t>fallback</w:t>
      </w:r>
      <w:proofErr w:type="spellEnd"/>
      <w:r w:rsidRPr="004B44C8">
        <w:rPr>
          <w:lang w:val="es-UY"/>
        </w:rPr>
        <w:t xml:space="preserve"> que retorna resultado documentado sin </w:t>
      </w:r>
      <w:proofErr w:type="spellStart"/>
      <w:r w:rsidRPr="004B44C8">
        <w:rPr>
          <w:lang w:val="es-UY"/>
        </w:rPr>
        <w:t>crashear</w:t>
      </w:r>
      <w:proofErr w:type="spellEnd"/>
      <w:r w:rsidRPr="004B44C8">
        <w:rPr>
          <w:lang w:val="es-UY"/>
        </w:rPr>
        <w:t>.</w:t>
      </w:r>
    </w:p>
    <w:p w14:paraId="0789C98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Último valor:</w:t>
      </w:r>
      <w:r w:rsidRPr="004B44C8">
        <w:rPr>
          <w:lang w:val="es-UY"/>
        </w:rPr>
        <w:t xml:space="preserve"> trabajo=14, precios=8,8, </w:t>
      </w:r>
      <w:proofErr w:type="spellStart"/>
      <w:r w:rsidRPr="004B44C8">
        <w:rPr>
          <w:lang w:val="es-UY"/>
        </w:rPr>
        <w:t>inflacion</w:t>
      </w:r>
      <w:proofErr w:type="spellEnd"/>
      <w:r w:rsidRPr="004B44C8">
        <w:rPr>
          <w:lang w:val="es-UY"/>
        </w:rPr>
        <w:t>=1,5, inseguridad=0,0 (may-2026, escala 0–100).</w:t>
      </w:r>
    </w:p>
    <w:p w14:paraId="4C04AA03" w14:textId="77777777" w:rsidR="000A3586" w:rsidRPr="004B44C8" w:rsidRDefault="00000000">
      <w:pPr>
        <w:spacing w:before="120"/>
        <w:rPr>
          <w:lang w:val="es-UY"/>
        </w:rPr>
      </w:pPr>
      <w:r w:rsidRPr="004B44C8">
        <w:rPr>
          <w:b/>
          <w:color w:val="606060"/>
          <w:lang w:val="es-UY"/>
        </w:rPr>
        <w:t>#15 — Apatía Electoral</w:t>
      </w:r>
    </w:p>
    <w:p w14:paraId="69FB25DB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Fuente:</w:t>
      </w:r>
      <w:r w:rsidRPr="004B44C8">
        <w:rPr>
          <w:lang w:val="es-UY"/>
        </w:rPr>
        <w:t xml:space="preserve"> </w:t>
      </w:r>
      <w:proofErr w:type="spellStart"/>
      <w:r w:rsidRPr="004B44C8">
        <w:rPr>
          <w:lang w:val="es-UY"/>
        </w:rPr>
        <w:t>Votómetro</w:t>
      </w:r>
      <w:proofErr w:type="spellEnd"/>
      <w:r w:rsidRPr="004B44C8">
        <w:rPr>
          <w:lang w:val="es-UY"/>
        </w:rPr>
        <w:t xml:space="preserve"> CIGOB (109 encuestas agregadas).</w:t>
      </w:r>
    </w:p>
    <w:p w14:paraId="62E82A8F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Dónde vive el dato:</w:t>
      </w:r>
      <w:r w:rsidRPr="004B44C8">
        <w:rPr>
          <w:lang w:val="es-UY"/>
        </w:rPr>
        <w:t xml:space="preserve"> ya está disponible en </w:t>
      </w:r>
      <w:r w:rsidRPr="004B44C8">
        <w:rPr>
          <w:rFonts w:ascii="Courier New" w:hAnsi="Courier New"/>
          <w:sz w:val="20"/>
          <w:lang w:val="es-UY"/>
        </w:rPr>
        <w:t>web/votometro.html</w:t>
      </w:r>
      <w:r w:rsidRPr="004B44C8">
        <w:rPr>
          <w:lang w:val="es-UY"/>
        </w:rPr>
        <w:t>. No se duplica en este monitor.</w:t>
      </w:r>
    </w:p>
    <w:p w14:paraId="7FB58E48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Lectura actual:</w:t>
      </w:r>
      <w:r w:rsidRPr="004B44C8">
        <w:rPr>
          <w:lang w:val="es-UY"/>
        </w:rPr>
        <w:t xml:space="preserve"> NS/NC + blanco/nulo ~10–15 % persistente en encuestas recientes.</w:t>
      </w:r>
    </w:p>
    <w:p w14:paraId="7320544B" w14:textId="77777777" w:rsidR="000A3586" w:rsidRPr="004B44C8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3A4EB011" w14:textId="77777777" w:rsidR="000A3586" w:rsidRPr="004B44C8" w:rsidRDefault="00000000">
      <w:pPr>
        <w:spacing w:before="200"/>
        <w:rPr>
          <w:lang w:val="es-UY"/>
        </w:rPr>
      </w:pPr>
      <w:r w:rsidRPr="004B44C8">
        <w:rPr>
          <w:b/>
          <w:color w:val="1E5F9E"/>
          <w:sz w:val="30"/>
          <w:lang w:val="es-UY"/>
        </w:rPr>
        <w:t>4. Arquitectura técnica del monitor</w:t>
      </w:r>
    </w:p>
    <w:p w14:paraId="77C54886" w14:textId="77777777" w:rsidR="000A3586" w:rsidRPr="004B44C8" w:rsidRDefault="00000000">
      <w:pPr>
        <w:rPr>
          <w:lang w:val="es-UY"/>
        </w:rPr>
      </w:pPr>
      <w:r w:rsidRPr="004B44C8">
        <w:rPr>
          <w:b/>
          <w:lang w:val="es-UY"/>
        </w:rPr>
        <w:t>Repositorio local:</w:t>
      </w:r>
    </w:p>
    <w:p w14:paraId="667C4067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scripts/</w:t>
      </w:r>
      <w:proofErr w:type="spellStart"/>
      <w:r w:rsidRPr="004B44C8">
        <w:rPr>
          <w:rFonts w:ascii="Courier New" w:hAnsi="Courier New"/>
          <w:color w:val="2D6A4F"/>
          <w:sz w:val="19"/>
          <w:lang w:val="es-UY"/>
        </w:rPr>
        <w:t>vida_cotidiana</w:t>
      </w:r>
      <w:proofErr w:type="spellEnd"/>
      <w:r w:rsidRPr="004B44C8">
        <w:rPr>
          <w:rFonts w:ascii="Courier New" w:hAnsi="Courier New"/>
          <w:color w:val="2D6A4F"/>
          <w:sz w:val="19"/>
          <w:lang w:val="es-UY"/>
        </w:rPr>
        <w:t>/</w:t>
      </w:r>
    </w:p>
    <w:p w14:paraId="47BF95D8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├── main.py                  # Orquestador: corre los 8 colectores en serie</w:t>
      </w:r>
    </w:p>
    <w:p w14:paraId="1BE464ED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 xml:space="preserve">├── </w:t>
      </w:r>
      <w:proofErr w:type="spellStart"/>
      <w:r w:rsidRPr="004B44C8">
        <w:rPr>
          <w:rFonts w:ascii="Courier New" w:hAnsi="Courier New"/>
          <w:color w:val="2D6A4F"/>
          <w:sz w:val="19"/>
          <w:lang w:val="es-UY"/>
        </w:rPr>
        <w:t>collectors</w:t>
      </w:r>
      <w:proofErr w:type="spellEnd"/>
      <w:r w:rsidRPr="004B44C8">
        <w:rPr>
          <w:rFonts w:ascii="Courier New" w:hAnsi="Courier New"/>
          <w:color w:val="2D6A4F"/>
          <w:sz w:val="19"/>
          <w:lang w:val="es-UY"/>
        </w:rPr>
        <w:t>/</w:t>
      </w:r>
    </w:p>
    <w:p w14:paraId="24008954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indec_series.py      # datos.gob.ar (RIPTE, CBT, IPC, IPI, ISAC, EMAE, EPH, informalidad)</w:t>
      </w:r>
    </w:p>
    <w:p w14:paraId="43A11BF4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bcra.py              # BCRA API v4.0 (crédito, BADLAR)</w:t>
      </w:r>
    </w:p>
    <w:p w14:paraId="16BA4193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utdt_icc.py          # ICC mensual (XLS)</w:t>
      </w:r>
    </w:p>
    <w:p w14:paraId="02726764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cafam.py             # Patentamiento motos (proxy consumo durable)</w:t>
      </w:r>
    </w:p>
    <w:p w14:paraId="79F529A3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ciccra.py            # Carne vacuna (PDF mensual)</w:t>
      </w:r>
    </w:p>
    <w:p w14:paraId="4D4B48E7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snic.py              # Inseguridad (CSV nacional + CABA)</w:t>
      </w:r>
    </w:p>
    <w:p w14:paraId="5C38AC0B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│   ├── salud.py             # datos.salud.gob.ar (CKAN, DEIS, SNVS)</w:t>
      </w:r>
    </w:p>
    <w:p w14:paraId="052D11F1" w14:textId="77777777" w:rsidR="000A3586" w:rsidRDefault="00000000">
      <w:pPr>
        <w:spacing w:after="40"/>
        <w:ind w:left="680"/>
      </w:pPr>
      <w:r>
        <w:rPr>
          <w:rFonts w:ascii="Courier New" w:hAnsi="Courier New"/>
          <w:color w:val="2D6A4F"/>
          <w:sz w:val="19"/>
        </w:rPr>
        <w:t>│   └── trends.py            # Google Trends (pytrends)</w:t>
      </w:r>
    </w:p>
    <w:p w14:paraId="2D160C44" w14:textId="77777777" w:rsidR="000A3586" w:rsidRDefault="00000000">
      <w:pPr>
        <w:spacing w:after="40"/>
        <w:ind w:left="680"/>
      </w:pPr>
      <w:r>
        <w:rPr>
          <w:rFonts w:ascii="Courier New" w:hAnsi="Courier New"/>
          <w:color w:val="2D6A4F"/>
          <w:sz w:val="19"/>
        </w:rPr>
        <w:t>└── data/</w:t>
      </w:r>
    </w:p>
    <w:p w14:paraId="41E14BA5" w14:textId="77777777" w:rsidR="000A3586" w:rsidRDefault="00000000">
      <w:pPr>
        <w:spacing w:after="40"/>
        <w:ind w:left="680"/>
      </w:pPr>
      <w:r>
        <w:rPr>
          <w:rFonts w:ascii="Courier New" w:hAnsi="Courier New"/>
          <w:color w:val="2D6A4F"/>
          <w:sz w:val="19"/>
        </w:rPr>
        <w:t xml:space="preserve">    └── vida_cotidiana_YYYYMMDD_HHMM.json</w:t>
      </w:r>
    </w:p>
    <w:p w14:paraId="7B1FC298" w14:textId="77777777" w:rsidR="000A3586" w:rsidRDefault="00000000">
      <w:r>
        <w:rPr>
          <w:b/>
        </w:rPr>
        <w:t>Dependencias:</w:t>
      </w:r>
      <w:r>
        <w:t xml:space="preserve"> </w:t>
      </w:r>
      <w:r>
        <w:rPr>
          <w:rFonts w:ascii="Courier New" w:hAnsi="Courier New"/>
          <w:sz w:val="20"/>
        </w:rPr>
        <w:t>requests</w:t>
      </w:r>
      <w:r>
        <w:t xml:space="preserve">, </w:t>
      </w:r>
      <w:r>
        <w:rPr>
          <w:rFonts w:ascii="Courier New" w:hAnsi="Courier New"/>
          <w:sz w:val="20"/>
        </w:rPr>
        <w:t>xlrd==1.2.0</w:t>
      </w:r>
      <w:r>
        <w:t xml:space="preserve">, </w:t>
      </w:r>
      <w:r>
        <w:rPr>
          <w:rFonts w:ascii="Courier New" w:hAnsi="Courier New"/>
          <w:sz w:val="20"/>
        </w:rPr>
        <w:t>beautifulsoup4</w:t>
      </w:r>
      <w:r>
        <w:t xml:space="preserve">, </w:t>
      </w:r>
      <w:r>
        <w:rPr>
          <w:rFonts w:ascii="Courier New" w:hAnsi="Courier New"/>
          <w:sz w:val="20"/>
        </w:rPr>
        <w:t>pdfplumber</w:t>
      </w:r>
      <w:r>
        <w:t xml:space="preserve">, </w:t>
      </w:r>
      <w:r>
        <w:rPr>
          <w:rFonts w:ascii="Courier New" w:hAnsi="Courier New"/>
          <w:sz w:val="20"/>
        </w:rPr>
        <w:t>pytrends</w:t>
      </w:r>
      <w:r>
        <w:t>.</w:t>
      </w:r>
    </w:p>
    <w:p w14:paraId="0C793044" w14:textId="77777777" w:rsidR="000A3586" w:rsidRPr="004B44C8" w:rsidRDefault="00000000">
      <w:pPr>
        <w:rPr>
          <w:lang w:val="es-UY"/>
        </w:rPr>
      </w:pPr>
      <w:r w:rsidRPr="004B44C8">
        <w:rPr>
          <w:b/>
          <w:lang w:val="es-UY"/>
        </w:rPr>
        <w:lastRenderedPageBreak/>
        <w:t>Ejecución:</w:t>
      </w:r>
    </w:p>
    <w:p w14:paraId="203D5BAD" w14:textId="77777777" w:rsidR="000A3586" w:rsidRPr="004B44C8" w:rsidRDefault="00000000">
      <w:pPr>
        <w:spacing w:after="40"/>
        <w:ind w:left="680"/>
        <w:rPr>
          <w:lang w:val="es-UY"/>
        </w:rPr>
      </w:pPr>
      <w:r w:rsidRPr="004B44C8">
        <w:rPr>
          <w:rFonts w:ascii="Courier New" w:hAnsi="Courier New"/>
          <w:color w:val="2D6A4F"/>
          <w:sz w:val="19"/>
          <w:lang w:val="es-UY"/>
        </w:rPr>
        <w:t>cd scripts/</w:t>
      </w:r>
      <w:proofErr w:type="spellStart"/>
      <w:r w:rsidRPr="004B44C8">
        <w:rPr>
          <w:rFonts w:ascii="Courier New" w:hAnsi="Courier New"/>
          <w:color w:val="2D6A4F"/>
          <w:sz w:val="19"/>
          <w:lang w:val="es-UY"/>
        </w:rPr>
        <w:t>vida_cotidiana</w:t>
      </w:r>
      <w:proofErr w:type="spellEnd"/>
    </w:p>
    <w:p w14:paraId="6CF2AD73" w14:textId="77777777" w:rsidR="000A3586" w:rsidRPr="004B44C8" w:rsidRDefault="00000000">
      <w:pPr>
        <w:spacing w:after="40"/>
        <w:ind w:left="680"/>
        <w:rPr>
          <w:lang w:val="es-UY"/>
        </w:rPr>
      </w:pPr>
      <w:proofErr w:type="spellStart"/>
      <w:r w:rsidRPr="004B44C8">
        <w:rPr>
          <w:rFonts w:ascii="Courier New" w:hAnsi="Courier New"/>
          <w:color w:val="2D6A4F"/>
          <w:sz w:val="19"/>
          <w:lang w:val="es-UY"/>
        </w:rPr>
        <w:t>python</w:t>
      </w:r>
      <w:proofErr w:type="spellEnd"/>
      <w:r w:rsidRPr="004B44C8">
        <w:rPr>
          <w:rFonts w:ascii="Courier New" w:hAnsi="Courier New"/>
          <w:color w:val="2D6A4F"/>
          <w:sz w:val="19"/>
          <w:lang w:val="es-UY"/>
        </w:rPr>
        <w:t xml:space="preserve"> main.py</w:t>
      </w:r>
    </w:p>
    <w:p w14:paraId="34F4F80F" w14:textId="77777777" w:rsidR="000A3586" w:rsidRPr="004B44C8" w:rsidRDefault="00000000">
      <w:pPr>
        <w:rPr>
          <w:lang w:val="es-UY"/>
        </w:rPr>
      </w:pPr>
      <w:r w:rsidRPr="004B44C8">
        <w:rPr>
          <w:lang w:val="es-UY"/>
        </w:rPr>
        <w:t xml:space="preserve">Tarda </w:t>
      </w:r>
      <w:r w:rsidRPr="004B44C8">
        <w:rPr>
          <w:b/>
          <w:lang w:val="es-UY"/>
        </w:rPr>
        <w:t>~30 segundos</w:t>
      </w:r>
      <w:r w:rsidRPr="004B44C8">
        <w:rPr>
          <w:lang w:val="es-UY"/>
        </w:rPr>
        <w:t xml:space="preserve">. Cada corrida deja un </w:t>
      </w:r>
      <w:proofErr w:type="spellStart"/>
      <w:r w:rsidRPr="004B44C8">
        <w:rPr>
          <w:lang w:val="es-UY"/>
        </w:rPr>
        <w:t>snapshot</w:t>
      </w:r>
      <w:proofErr w:type="spellEnd"/>
      <w:r w:rsidRPr="004B44C8">
        <w:rPr>
          <w:lang w:val="es-UY"/>
        </w:rPr>
        <w:t xml:space="preserve"> </w:t>
      </w:r>
      <w:proofErr w:type="spellStart"/>
      <w:r w:rsidRPr="004B44C8">
        <w:rPr>
          <w:lang w:val="es-UY"/>
        </w:rPr>
        <w:t>timestamped</w:t>
      </w:r>
      <w:proofErr w:type="spellEnd"/>
      <w:r w:rsidRPr="004B44C8">
        <w:rPr>
          <w:lang w:val="es-UY"/>
        </w:rPr>
        <w:t xml:space="preserve"> en </w:t>
      </w:r>
      <w:r w:rsidRPr="004B44C8">
        <w:rPr>
          <w:rFonts w:ascii="Courier New" w:hAnsi="Courier New"/>
          <w:sz w:val="20"/>
          <w:lang w:val="es-UY"/>
        </w:rPr>
        <w:t>data/</w:t>
      </w:r>
      <w:r w:rsidRPr="004B44C8">
        <w:rPr>
          <w:lang w:val="es-UY"/>
        </w:rPr>
        <w:t>. La serie histórica se reconstruye agregando los JSON sucesivos.</w:t>
      </w:r>
    </w:p>
    <w:p w14:paraId="34DD24DA" w14:textId="77777777" w:rsidR="000A3586" w:rsidRPr="004B44C8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22DB8B06" w14:textId="77777777" w:rsidR="000A3586" w:rsidRPr="004B44C8" w:rsidRDefault="00000000">
      <w:pPr>
        <w:spacing w:before="200"/>
        <w:rPr>
          <w:lang w:val="es-UY"/>
        </w:rPr>
      </w:pPr>
      <w:r w:rsidRPr="004B44C8">
        <w:rPr>
          <w:b/>
          <w:color w:val="1E5F9E"/>
          <w:sz w:val="30"/>
          <w:lang w:val="es-UY"/>
        </w:rPr>
        <w:t xml:space="preserve">5. Lectura </w:t>
      </w:r>
      <w:proofErr w:type="spellStart"/>
      <w:r w:rsidRPr="004B44C8">
        <w:rPr>
          <w:b/>
          <w:color w:val="1E5F9E"/>
          <w:sz w:val="30"/>
          <w:lang w:val="es-UY"/>
        </w:rPr>
        <w:t>matusiana</w:t>
      </w:r>
      <w:proofErr w:type="spellEnd"/>
      <w:r w:rsidRPr="004B44C8">
        <w:rPr>
          <w:b/>
          <w:color w:val="1E5F9E"/>
          <w:sz w:val="30"/>
          <w:lang w:val="es-UY"/>
        </w:rPr>
        <w:t xml:space="preserve"> del momento (</w:t>
      </w:r>
      <w:proofErr w:type="spellStart"/>
      <w:r w:rsidRPr="004B44C8">
        <w:rPr>
          <w:b/>
          <w:color w:val="1E5F9E"/>
          <w:sz w:val="30"/>
          <w:lang w:val="es-UY"/>
        </w:rPr>
        <w:t>snapshot</w:t>
      </w:r>
      <w:proofErr w:type="spellEnd"/>
      <w:r w:rsidRPr="004B44C8">
        <w:rPr>
          <w:b/>
          <w:color w:val="1E5F9E"/>
          <w:sz w:val="30"/>
          <w:lang w:val="es-UY"/>
        </w:rPr>
        <w:t xml:space="preserve"> may-2026)</w:t>
      </w:r>
    </w:p>
    <w:p w14:paraId="5B713820" w14:textId="77777777" w:rsidR="000A3586" w:rsidRPr="004B44C8" w:rsidRDefault="00000000">
      <w:pPr>
        <w:rPr>
          <w:lang w:val="es-UY"/>
        </w:rPr>
      </w:pPr>
      <w:r w:rsidRPr="004B44C8">
        <w:rPr>
          <w:b/>
          <w:lang w:val="es-UY"/>
        </w:rPr>
        <w:t>Cinturón de la Vida Cotidiana — qué está sintiendo el ciudadano hoy:</w:t>
      </w:r>
    </w:p>
    <w:p w14:paraId="2183006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Bolsillo bajo presión sostenida pero contenida.</w:t>
      </w:r>
      <w:r w:rsidRPr="004B44C8">
        <w:rPr>
          <w:lang w:val="es-UY"/>
        </w:rPr>
        <w:t xml:space="preserve"> IPC general +3,38 % m/m; alimentos +3,35 %; vivienda/tarifas +3,71 % a +5,08 %. La inflación dejó de ser estallido pero no dejó de ser fricción mensual. La brecha salario/CBT en 3,74 canastas indica que el trabajador formal promedio cubre holgadamente la canasta total — pero el margen lo erosiona el rubro tarifas/vivienda, que corre por encima del promedio.</w:t>
      </w:r>
    </w:p>
    <w:p w14:paraId="39B2AAD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Crédito al consumo activo, costo alto.</w:t>
      </w:r>
      <w:r w:rsidRPr="004B44C8">
        <w:rPr>
          <w:lang w:val="es-UY"/>
        </w:rPr>
        <w:t xml:space="preserve"> $45.182 M en tarjeta + personales con BADLAR en 21,4 % anual: el endeudamiento es funcional al sostenimiento del consumo, pero a tasas que comprimen el ingreso disponible futuro. Señal típica de "fin de mes financiado".</w:t>
      </w:r>
    </w:p>
    <w:p w14:paraId="16518C0C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Frente productivo: contracción.</w:t>
      </w:r>
      <w:r w:rsidRPr="004B44C8">
        <w:rPr>
          <w:lang w:val="es-UY"/>
        </w:rPr>
        <w:t xml:space="preserve"> IPI manufacturero −6,11 % m/m, ISAC −1,35 %, acero crudo −9 %. La construcción y la industria — donde se concentran el empleo </w:t>
      </w:r>
      <w:proofErr w:type="spellStart"/>
      <w:r w:rsidRPr="004B44C8">
        <w:rPr>
          <w:lang w:val="es-UY"/>
        </w:rPr>
        <w:t>PyME</w:t>
      </w:r>
      <w:proofErr w:type="spellEnd"/>
      <w:r w:rsidRPr="004B44C8">
        <w:rPr>
          <w:lang w:val="es-UY"/>
        </w:rPr>
        <w:t xml:space="preserve"> y el ingreso informal — están en zona negativa. Riesgo de traslado al cinturón laboral en próximos trimestres.</w:t>
      </w:r>
    </w:p>
    <w:p w14:paraId="51765ED5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Empleo formal estable, subempleo demandante en alerta.</w:t>
      </w:r>
      <w:r w:rsidRPr="004B44C8">
        <w:rPr>
          <w:lang w:val="es-UY"/>
        </w:rPr>
        <w:t xml:space="preserve"> Desocupación 7,5 %, empleo 45 %, subocupación demandante 7,8 %. La población que trabaja menos horas de las que quiere supera a la desocupada: es el indicador típico de "trabajo sin sueldo suficiente".</w:t>
      </w:r>
    </w:p>
    <w:p w14:paraId="4520ED3E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Confianza débil pero no en pánico.</w:t>
      </w:r>
      <w:r w:rsidRPr="004B44C8">
        <w:rPr>
          <w:lang w:val="es-UY"/>
        </w:rPr>
        <w:t xml:space="preserve"> ICC UTDT 38,1 — territorio bajo, sin colapso. Google </w:t>
      </w:r>
      <w:proofErr w:type="spellStart"/>
      <w:r w:rsidRPr="004B44C8">
        <w:rPr>
          <w:lang w:val="es-UY"/>
        </w:rPr>
        <w:t>Trends</w:t>
      </w:r>
      <w:proofErr w:type="spellEnd"/>
      <w:r w:rsidRPr="004B44C8">
        <w:rPr>
          <w:lang w:val="es-UY"/>
        </w:rPr>
        <w:t xml:space="preserve"> muestra que "trabajo" es la búsqueda dominante (14), por encima de "precios" (8,8) e "inflación" (1,5): el eje de preocupación se está desplazando de precios a ingreso/empleo.</w:t>
      </w:r>
    </w:p>
    <w:p w14:paraId="1B3A3187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b/>
          <w:lang w:val="es-UY"/>
        </w:rPr>
        <w:t>Inseguridad como dato de fondo.</w:t>
      </w:r>
      <w:r w:rsidRPr="004B44C8">
        <w:rPr>
          <w:lang w:val="es-UY"/>
        </w:rPr>
        <w:t xml:space="preserve"> 2,5 M de hechos a nivel nacional (2024). Robos y hurtos siguen siendo las categorías más densas. CABA 2025 disponible para análisis comparativo.</w:t>
      </w:r>
    </w:p>
    <w:p w14:paraId="228ABEE5" w14:textId="77777777" w:rsidR="000A3586" w:rsidRPr="004B44C8" w:rsidRDefault="00000000">
      <w:pPr>
        <w:rPr>
          <w:lang w:val="es-UY"/>
        </w:rPr>
      </w:pPr>
      <w:r w:rsidRPr="004B44C8">
        <w:rPr>
          <w:b/>
          <w:lang w:val="es-UY"/>
        </w:rPr>
        <w:t xml:space="preserve">Síntesis </w:t>
      </w:r>
      <w:proofErr w:type="spellStart"/>
      <w:r w:rsidRPr="004B44C8">
        <w:rPr>
          <w:b/>
          <w:lang w:val="es-UY"/>
        </w:rPr>
        <w:t>matusiana</w:t>
      </w:r>
      <w:proofErr w:type="spellEnd"/>
      <w:r w:rsidRPr="004B44C8">
        <w:rPr>
          <w:b/>
          <w:lang w:val="es-UY"/>
        </w:rPr>
        <w:t>:</w:t>
      </w:r>
      <w:r w:rsidRPr="004B44C8">
        <w:rPr>
          <w:lang w:val="es-UY"/>
        </w:rPr>
        <w:t xml:space="preserve"> el ciudadano vive un momento de </w:t>
      </w:r>
      <w:r w:rsidRPr="004B44C8">
        <w:rPr>
          <w:b/>
          <w:lang w:val="es-UY"/>
        </w:rPr>
        <w:t>fricción cotidiana sin estallido</w:t>
      </w:r>
      <w:r w:rsidRPr="004B44C8">
        <w:rPr>
          <w:lang w:val="es-UY"/>
        </w:rPr>
        <w:t>. La macro mostró desinflación pero la micro mantiene tensión: tarifas que corren, crédito caro, industria fría. El cinturón de vida cotidiana está más estresado que el cinturón macro — la brecha entre titular y bolsillo es justamente lo que un gobierno con sensores debería estar leyendo.</w:t>
      </w:r>
    </w:p>
    <w:p w14:paraId="3FCA092B" w14:textId="77777777" w:rsidR="000A3586" w:rsidRPr="004B44C8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44CE9661" w14:textId="77777777" w:rsidR="000A3586" w:rsidRPr="004B44C8" w:rsidRDefault="00000000">
      <w:pPr>
        <w:spacing w:before="200"/>
        <w:rPr>
          <w:lang w:val="es-UY"/>
        </w:rPr>
      </w:pPr>
      <w:r w:rsidRPr="004B44C8">
        <w:rPr>
          <w:b/>
          <w:color w:val="1E5F9E"/>
          <w:sz w:val="30"/>
          <w:lang w:val="es-UY"/>
        </w:rPr>
        <w:t>6. Recomendaciones operativas</w:t>
      </w:r>
    </w:p>
    <w:p w14:paraId="446BE653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b/>
          <w:lang w:val="es-UY"/>
        </w:rPr>
        <w:t>1.  Aceptar las sustituciones técnicas como decisiones de arquitectura, no como concesiones.</w:t>
      </w:r>
      <w:r w:rsidRPr="004B44C8">
        <w:rPr>
          <w:lang w:val="es-UY"/>
        </w:rPr>
        <w:t xml:space="preserve"> ENRE/ENARGAS, AFIP, AFCP y X API no son automatizables hoy bajo restricciones razonables. Los </w:t>
      </w:r>
      <w:proofErr w:type="spellStart"/>
      <w:r w:rsidRPr="004B44C8">
        <w:rPr>
          <w:lang w:val="es-UY"/>
        </w:rPr>
        <w:t>proxies</w:t>
      </w:r>
      <w:proofErr w:type="spellEnd"/>
      <w:r w:rsidRPr="004B44C8">
        <w:rPr>
          <w:lang w:val="es-UY"/>
        </w:rPr>
        <w:t xml:space="preserve"> adoptados (IPC-Vivienda, IPI, ISAC, Google </w:t>
      </w:r>
      <w:proofErr w:type="spellStart"/>
      <w:r w:rsidRPr="004B44C8">
        <w:rPr>
          <w:lang w:val="es-UY"/>
        </w:rPr>
        <w:t>Trends</w:t>
      </w:r>
      <w:proofErr w:type="spellEnd"/>
      <w:r w:rsidRPr="004B44C8">
        <w:rPr>
          <w:lang w:val="es-UY"/>
        </w:rPr>
        <w:t>) son robustos y trazables.</w:t>
      </w:r>
    </w:p>
    <w:p w14:paraId="7A6FC4E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b/>
          <w:lang w:val="es-UY"/>
        </w:rPr>
        <w:lastRenderedPageBreak/>
        <w:t>2.  Tratar deserción escolar como dato de contexto anual.</w:t>
      </w:r>
      <w:r w:rsidRPr="004B44C8">
        <w:rPr>
          <w:lang w:val="es-UY"/>
        </w:rPr>
        <w:t xml:space="preserve"> Pedirle al equipo educativo una actualización manual una vez por año, no forzar su entrada al monitor mensual.</w:t>
      </w:r>
    </w:p>
    <w:p w14:paraId="2CE0FDED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b/>
          <w:lang w:val="es-UY"/>
        </w:rPr>
        <w:t>3.  Schedule sugerido:</w:t>
      </w:r>
      <w:r w:rsidRPr="004B44C8">
        <w:rPr>
          <w:lang w:val="es-UY"/>
        </w:rPr>
        <w:t xml:space="preserve"> corrida automática </w:t>
      </w:r>
      <w:r w:rsidRPr="004B44C8">
        <w:rPr>
          <w:b/>
          <w:lang w:val="es-UY"/>
        </w:rPr>
        <w:t>semanal</w:t>
      </w:r>
      <w:r w:rsidRPr="004B44C8">
        <w:rPr>
          <w:lang w:val="es-UY"/>
        </w:rPr>
        <w:t xml:space="preserve"> del monitor, con publicación de tablero mensual al cierre del mes calendario (cuando INDEC ya tiene IPC y EPH del mes anterior).</w:t>
      </w:r>
    </w:p>
    <w:p w14:paraId="4E7A2F4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b/>
          <w:lang w:val="es-UY"/>
        </w:rPr>
        <w:t>4.  Próximos desarrollos (cuando haya capacidad):</w:t>
      </w:r>
    </w:p>
    <w:p w14:paraId="4073DFBA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>Capa de cálculo "tarifa/RIPTE" para complementar IPC-Vivienda con un cociente sobre salario.</w:t>
      </w:r>
    </w:p>
    <w:p w14:paraId="385AB9DD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>Procesamiento de microdatos EPH para reconstruir pluriempleo real (trimestral).</w:t>
      </w:r>
    </w:p>
    <w:p w14:paraId="0B991E38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 xml:space="preserve">Integración del dato del </w:t>
      </w:r>
      <w:proofErr w:type="spellStart"/>
      <w:r w:rsidRPr="004B44C8">
        <w:rPr>
          <w:lang w:val="es-UY"/>
        </w:rPr>
        <w:t>Votómetro</w:t>
      </w:r>
      <w:proofErr w:type="spellEnd"/>
      <w:r w:rsidRPr="004B44C8">
        <w:rPr>
          <w:lang w:val="es-UY"/>
        </w:rPr>
        <w:t xml:space="preserve"> al mismo </w:t>
      </w:r>
      <w:proofErr w:type="spellStart"/>
      <w:r w:rsidRPr="004B44C8">
        <w:rPr>
          <w:lang w:val="es-UY"/>
        </w:rPr>
        <w:t>dashboard</w:t>
      </w:r>
      <w:proofErr w:type="spellEnd"/>
      <w:r w:rsidRPr="004B44C8">
        <w:rPr>
          <w:lang w:val="es-UY"/>
        </w:rPr>
        <w:t>.</w:t>
      </w:r>
    </w:p>
    <w:p w14:paraId="0C28F009" w14:textId="77777777" w:rsidR="000A3586" w:rsidRPr="004B44C8" w:rsidRDefault="00000000">
      <w:pPr>
        <w:spacing w:after="60"/>
        <w:ind w:left="794" w:hanging="283"/>
        <w:rPr>
          <w:lang w:val="es-UY"/>
        </w:rPr>
      </w:pPr>
      <w:r w:rsidRPr="004B44C8">
        <w:rPr>
          <w:color w:val="1E5F9E"/>
          <w:lang w:val="es-UY"/>
        </w:rPr>
        <w:t xml:space="preserve">•  </w:t>
      </w:r>
      <w:r w:rsidRPr="004B44C8">
        <w:rPr>
          <w:lang w:val="es-UY"/>
        </w:rPr>
        <w:t xml:space="preserve">Monitoreo de redes social con presupuesto: evaluar Brand24, </w:t>
      </w:r>
      <w:proofErr w:type="spellStart"/>
      <w:r w:rsidRPr="004B44C8">
        <w:rPr>
          <w:lang w:val="es-UY"/>
        </w:rPr>
        <w:t>Talkwalker</w:t>
      </w:r>
      <w:proofErr w:type="spellEnd"/>
      <w:r w:rsidRPr="004B44C8">
        <w:rPr>
          <w:lang w:val="es-UY"/>
        </w:rPr>
        <w:t xml:space="preserve"> o licencia X si CIGOB decide invertir.</w:t>
      </w:r>
    </w:p>
    <w:p w14:paraId="198D4AC2" w14:textId="77777777" w:rsidR="000A3586" w:rsidRPr="004B44C8" w:rsidRDefault="00000000">
      <w:pPr>
        <w:spacing w:after="60"/>
        <w:ind w:left="454" w:hanging="283"/>
        <w:rPr>
          <w:lang w:val="es-UY"/>
        </w:rPr>
      </w:pPr>
      <w:r w:rsidRPr="004B44C8">
        <w:rPr>
          <w:b/>
          <w:lang w:val="es-UY"/>
        </w:rPr>
        <w:t>5.  Mantener la disciplina del "dato público y automatizable".</w:t>
      </w:r>
      <w:r w:rsidRPr="004B44C8">
        <w:rPr>
          <w:lang w:val="es-UY"/>
        </w:rPr>
        <w:t xml:space="preserve"> Es lo que diferencia un monitor sostenible de un </w:t>
      </w:r>
      <w:proofErr w:type="spellStart"/>
      <w:r w:rsidRPr="004B44C8">
        <w:rPr>
          <w:lang w:val="es-UY"/>
        </w:rPr>
        <w:t>dashboard</w:t>
      </w:r>
      <w:proofErr w:type="spellEnd"/>
      <w:r w:rsidRPr="004B44C8">
        <w:rPr>
          <w:lang w:val="es-UY"/>
        </w:rPr>
        <w:t xml:space="preserve"> de demo. Cada decisión documentada en este informe sirve de criterio para futuras incorporaciones.</w:t>
      </w:r>
    </w:p>
    <w:p w14:paraId="5C79C4E0" w14:textId="77777777" w:rsidR="000A3586" w:rsidRPr="004B44C8" w:rsidRDefault="000A3586">
      <w:pPr>
        <w:pBdr>
          <w:bottom w:val="single" w:sz="6" w:space="4" w:color="3A8FC9"/>
        </w:pBdr>
        <w:spacing w:before="120"/>
        <w:rPr>
          <w:lang w:val="es-UY"/>
        </w:rPr>
      </w:pPr>
    </w:p>
    <w:p w14:paraId="46829B65" w14:textId="6DAC6D7C" w:rsidR="000A3586" w:rsidRPr="004B44C8" w:rsidRDefault="00000000">
      <w:pPr>
        <w:rPr>
          <w:lang w:val="es-UY"/>
        </w:rPr>
      </w:pPr>
      <w:r w:rsidRPr="004B44C8">
        <w:rPr>
          <w:i/>
          <w:lang w:val="es-UY"/>
        </w:rPr>
        <w:t>Documento técnico — Fundación CIGOB, 10 de mayo de 2026.</w:t>
      </w:r>
      <w:r w:rsidR="004B44C8">
        <w:rPr>
          <w:i/>
          <w:lang w:val="es-UY"/>
        </w:rPr>
        <w:br/>
      </w:r>
      <w:r w:rsidR="004B44C8">
        <w:rPr>
          <w:i/>
          <w:lang w:val="es-UY"/>
        </w:rPr>
        <w:br/>
        <w:t xml:space="preserve">NOTAS </w:t>
      </w:r>
      <w:r w:rsidR="004B44C8">
        <w:rPr>
          <w:i/>
          <w:lang w:val="es-UY"/>
        </w:rPr>
        <w:br/>
      </w:r>
      <w:r w:rsidR="004B44C8">
        <w:rPr>
          <w:i/>
          <w:lang w:val="es-UY"/>
        </w:rPr>
        <w:br/>
        <w:t xml:space="preserve">TRANSPORTE PUBLICO </w:t>
      </w:r>
      <w:r w:rsidR="004B44C8">
        <w:rPr>
          <w:i/>
          <w:lang w:val="es-UY"/>
        </w:rPr>
        <w:br/>
      </w:r>
      <w:r w:rsidR="00202B28">
        <w:rPr>
          <w:lang w:val="es-UY"/>
        </w:rPr>
        <w:t xml:space="preserve">INGRESO DISPONIBLE </w:t>
      </w:r>
      <w:r w:rsidR="00202B28">
        <w:rPr>
          <w:lang w:val="es-UY"/>
        </w:rPr>
        <w:br/>
      </w:r>
      <w:r w:rsidR="001C5D8C">
        <w:rPr>
          <w:lang w:val="es-UY"/>
        </w:rPr>
        <w:t xml:space="preserve">CORTES DE LUZ + AGUA + GAS </w:t>
      </w:r>
      <w:r w:rsidR="001C5D8C">
        <w:rPr>
          <w:lang w:val="es-UY"/>
        </w:rPr>
        <w:br/>
      </w:r>
    </w:p>
    <w:sectPr w:rsidR="000A3586" w:rsidRPr="004B44C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532560">
    <w:abstractNumId w:val="8"/>
  </w:num>
  <w:num w:numId="2" w16cid:durableId="1291672307">
    <w:abstractNumId w:val="6"/>
  </w:num>
  <w:num w:numId="3" w16cid:durableId="41906635">
    <w:abstractNumId w:val="5"/>
  </w:num>
  <w:num w:numId="4" w16cid:durableId="1955792805">
    <w:abstractNumId w:val="4"/>
  </w:num>
  <w:num w:numId="5" w16cid:durableId="1538736200">
    <w:abstractNumId w:val="7"/>
  </w:num>
  <w:num w:numId="6" w16cid:durableId="1506018387">
    <w:abstractNumId w:val="3"/>
  </w:num>
  <w:num w:numId="7" w16cid:durableId="188952024">
    <w:abstractNumId w:val="2"/>
  </w:num>
  <w:num w:numId="8" w16cid:durableId="1142770510">
    <w:abstractNumId w:val="1"/>
  </w:num>
  <w:num w:numId="9" w16cid:durableId="41235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586"/>
    <w:rsid w:val="0015074B"/>
    <w:rsid w:val="001C5D8C"/>
    <w:rsid w:val="00202B28"/>
    <w:rsid w:val="0029639D"/>
    <w:rsid w:val="002E707A"/>
    <w:rsid w:val="00326F90"/>
    <w:rsid w:val="00385E56"/>
    <w:rsid w:val="004B44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0B38346-6D22-43BF-8D2A-EF6EB8FB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33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2735</Words>
  <Characters>15044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Pintos</cp:lastModifiedBy>
  <cp:revision>5</cp:revision>
  <dcterms:created xsi:type="dcterms:W3CDTF">2013-12-23T23:15:00Z</dcterms:created>
  <dcterms:modified xsi:type="dcterms:W3CDTF">2026-05-12T13:36:00Z</dcterms:modified>
  <cp:category/>
</cp:coreProperties>
</file>