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pBdr>
          <w:bottom w:val="single" w:sz="12" w:space="4" w:color="1E5F9E"/>
        </w:pBdr>
      </w:pPr>
      <w:r>
        <w:rPr>
          <w:rFonts w:ascii="Calibri" w:hAnsi="Calibri"/>
          <w:b/>
          <w:color w:val="1A233A"/>
          <w:sz w:val="40"/>
        </w:rPr>
        <w:t>Cinturón CIGOB / Gestión — análisis matusiano</w:t>
      </w:r>
    </w:p>
    <w:p>
      <w:pPr>
        <w:spacing w:after="40" w:before="40"/>
        <w:ind w:left="680"/>
      </w:pPr>
      <w:r>
        <w:rPr>
          <w:rFonts w:ascii="Calibri" w:hAnsi="Calibri"/>
          <w:b w:val="0"/>
          <w:i/>
          <w:color w:val="606060"/>
          <w:sz w:val="21"/>
        </w:rPr>
        <w:t xml:space="preserve">Lectura del 4º cinturón del dashboard </w:t>
      </w:r>
      <w:r>
        <w:rPr>
          <w:rFonts w:ascii="Courier New" w:hAnsi="Courier New"/>
          <w:b w:val="0"/>
          <w:color w:val="606060"/>
          <w:sz w:val="19"/>
        </w:rPr>
        <w:t>https://cigob.k1t.eu/index.html</w:t>
      </w:r>
      <w:r>
        <w:rPr>
          <w:rFonts w:ascii="Calibri" w:hAnsi="Calibri"/>
          <w:b w:val="0"/>
          <w:i/>
          <w:color w:val="606060"/>
          <w:sz w:val="21"/>
        </w:rPr>
        <w:t xml:space="preserve"> contra el marco PES de Carlos Matus. Referencias: brief metodológico </w:t>
      </w:r>
      <w:r>
        <w:rPr>
          <w:rFonts w:ascii="Courier New" w:hAnsi="Courier New"/>
          <w:b w:val="0"/>
          <w:color w:val="606060"/>
          <w:sz w:val="19"/>
        </w:rPr>
        <w:t>_brief_matus.md</w:t>
      </w:r>
      <w:r>
        <w:rPr>
          <w:rFonts w:ascii="Calibri" w:hAnsi="Calibri"/>
          <w:b w:val="0"/>
          <w:i/>
          <w:color w:val="606060"/>
          <w:sz w:val="21"/>
        </w:rPr>
        <w:t xml:space="preserve"> (este directorio) y </w:t>
      </w:r>
      <w:r>
        <w:rPr>
          <w:rFonts w:ascii="Calibri" w:hAnsi="Calibri"/>
          <w:b w:val="0"/>
          <w:i/>
          <w:color w:val="606060"/>
          <w:sz w:val="21"/>
        </w:rPr>
        <w:t>Los Tres Cinturones del Gobierno</w:t>
      </w:r>
      <w:r>
        <w:rPr>
          <w:rFonts w:ascii="Calibri" w:hAnsi="Calibri"/>
          <w:b w:val="0"/>
          <w:i/>
          <w:color w:val="606060"/>
          <w:sz w:val="21"/>
        </w:rPr>
        <w:t xml:space="preserve"> (Matus 1997 / 2007).</w:t>
      </w:r>
    </w:p>
    <w:p>
      <w:pPr>
        <w:pBdr>
          <w:bottom w:val="single" w:sz="6" w:space="4" w:color="3A8FC9"/>
        </w:pBdr>
        <w:spacing w:before="120" w:after="120"/>
      </w:pPr>
    </w:p>
    <w:p>
      <w:pPr>
        <w:spacing w:before="200" w:after="120"/>
      </w:pPr>
      <w:r>
        <w:rPr>
          <w:rFonts w:ascii="Calibri" w:hAnsi="Calibri"/>
          <w:b/>
          <w:color w:val="1E5F9E"/>
          <w:sz w:val="30"/>
        </w:rPr>
        <w:t>Nota de encuadre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Este cinturón no figura en </w:t>
      </w:r>
      <w:r>
        <w:rPr>
          <w:rFonts w:ascii="Calibri" w:hAnsi="Calibri"/>
          <w:b w:val="0"/>
          <w:i/>
          <w:sz w:val="22"/>
        </w:rPr>
        <w:t>Los Tres Cinturones</w:t>
      </w:r>
      <w:r>
        <w:rPr>
          <w:rFonts w:ascii="Calibri" w:hAnsi="Calibri"/>
          <w:b w:val="0"/>
          <w:i w:val="0"/>
          <w:sz w:val="22"/>
        </w:rPr>
        <w:t xml:space="preserve"> original. Es asimilable al </w:t>
      </w:r>
      <w:r>
        <w:rPr>
          <w:rFonts w:ascii="Calibri" w:hAnsi="Calibri"/>
          <w:b/>
          <w:i w:val="0"/>
          <w:sz w:val="22"/>
        </w:rPr>
        <w:t>juego macroorganizativo</w:t>
      </w:r>
      <w:r>
        <w:rPr>
          <w:rFonts w:ascii="Calibri" w:hAnsi="Calibri"/>
          <w:b w:val="0"/>
          <w:i w:val="0"/>
          <w:sz w:val="22"/>
        </w:rPr>
        <w:t xml:space="preserve"> de Matus tardío, formalizado en su obra como </w:t>
      </w:r>
      <w:r>
        <w:rPr>
          <w:rFonts w:ascii="Calibri" w:hAnsi="Calibri"/>
          <w:b/>
          <w:i w:val="0"/>
          <w:sz w:val="22"/>
        </w:rPr>
        <w:t>triángulo de hierro macroorganizativo</w:t>
      </w:r>
      <w:r>
        <w:rPr>
          <w:rFonts w:ascii="Calibri" w:hAnsi="Calibri"/>
          <w:b w:val="0"/>
          <w:i w:val="0"/>
          <w:sz w:val="22"/>
        </w:rPr>
        <w:t xml:space="preserve"> (tres sistemas: agenda del dirigente / petición y prestación de cuentas por desempeño / gerencia por operaciones). Ver brief §4. Importante: la formulación de "cuatro juegos terminales" como tabla cerrada no aparece como canónica en Matus tardío; lo riguroso es hablar de los tres cinturones más el juego macroorganizativo en clave de triángulo de hierro. Agregarlo al dashboard es legítimo y bienvenido, pero la tradición empírica argentina no tiene casi indicadores públicos de productividad estatal o cumplimiento de planificación. Eso explica las dos limitaciones del cinturón en el dashboard: </w:t>
      </w:r>
      <w:r>
        <w:rPr>
          <w:rFonts w:ascii="Calibri" w:hAnsi="Calibri"/>
          <w:b/>
          <w:i w:val="0"/>
          <w:sz w:val="22"/>
        </w:rPr>
        <w:t>subponderación</w:t>
      </w:r>
      <w:r>
        <w:rPr>
          <w:rFonts w:ascii="Calibri" w:hAnsi="Calibri"/>
          <w:b w:val="0"/>
          <w:i w:val="0"/>
          <w:sz w:val="22"/>
        </w:rPr>
        <w:t xml:space="preserve"> (sólo 2 indicadores frente a 4–7 en los otros) y </w:t>
      </w:r>
      <w:r>
        <w:rPr>
          <w:rFonts w:ascii="Calibri" w:hAnsi="Calibri"/>
          <w:b/>
          <w:i w:val="0"/>
          <w:sz w:val="22"/>
        </w:rPr>
        <w:t>opacidad</w:t>
      </w:r>
      <w:r>
        <w:rPr>
          <w:rFonts w:ascii="Calibri" w:hAnsi="Calibri"/>
          <w:b w:val="0"/>
          <w:i w:val="0"/>
          <w:sz w:val="22"/>
        </w:rPr>
        <w:t xml:space="preserve"> (uno de los dos es un compuesto sin metodología publicada). A la vez, ese vacío es una oportunidad: el terreno donde CIGOB tiene espacio para construir IP propio. Esta nota orienta toda la lectura que sigue.</w:t>
      </w:r>
    </w:p>
    <w:p>
      <w:pPr>
        <w:pBdr>
          <w:bottom w:val="single" w:sz="6" w:space="4" w:color="3A8FC9"/>
        </w:pBdr>
        <w:spacing w:before="120" w:after="120"/>
      </w:pPr>
    </w:p>
    <w:p>
      <w:pPr>
        <w:spacing w:before="200" w:after="120"/>
      </w:pPr>
      <w:r>
        <w:rPr>
          <w:rFonts w:ascii="Calibri" w:hAnsi="Calibri"/>
          <w:b/>
          <w:color w:val="1E5F9E"/>
          <w:sz w:val="30"/>
        </w:rPr>
        <w:t>A. Indicadores presentes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Valor actual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Fuente declarada o probable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Fidelidad matusiana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Cumplimiento de proyectos estratégicos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64%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Probable: relevamiento propio sobre objetivos de Jefatura de Gabinete o ministerios (no se cita fuente pública)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Media-alta. Pertenece al juego macroorganizativo: mide brecha entre proyecto declarado y ejecución. Pero sin denominador transparente (¿qué proyectos? ¿con qué definición de "cumplido"?) es no auditable.</w:t>
            </w:r>
          </w:p>
        </w:tc>
      </w:tr>
      <w:tr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Productividad estatal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47/100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Compuesto sin metodología visible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Baja. Conceptualmente correcto que exista —Matus llamaba a esto "capacidad institucional"—, pero un score 47/100 sin descomposición es exactamente lo que Matus criticaba: indicador sintético opaco que reemplaza diagnóstico por número.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Score público del cinturón: </w:t>
      </w:r>
      <w:r>
        <w:rPr>
          <w:rFonts w:ascii="Calibri" w:hAnsi="Calibri"/>
          <w:b/>
          <w:i w:val="0"/>
          <w:sz w:val="22"/>
        </w:rPr>
        <w:t>no figura</w:t>
      </w:r>
      <w:r>
        <w:rPr>
          <w:rFonts w:ascii="Calibri" w:hAnsi="Calibri"/>
          <w:b w:val="0"/>
          <w:i w:val="0"/>
          <w:sz w:val="22"/>
        </w:rPr>
        <w:t xml:space="preserve"> en el dashboard. Esto, dado que los otros tres tienen score visible (Macro +57, Política 0, Vida cotidiana −20), refuerza la sensación de cinturón decorativo.</w:t>
      </w:r>
    </w:p>
    <w:p>
      <w:pPr>
        <w:pBdr>
          <w:bottom w:val="single" w:sz="6" w:space="4" w:color="3A8FC9"/>
        </w:pBdr>
        <w:spacing w:before="120" w:after="120"/>
      </w:pPr>
    </w:p>
    <w:p>
      <w:pPr>
        <w:spacing w:before="200" w:after="120"/>
      </w:pPr>
      <w:r>
        <w:rPr>
          <w:rFonts w:ascii="Calibri" w:hAnsi="Calibri"/>
          <w:b/>
          <w:color w:val="1E5F9E"/>
          <w:sz w:val="30"/>
        </w:rPr>
        <w:t>B. Indicadores faltantes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 capacidad estatal es difícil de medir, pero no imposible. Hay tres niveles de exigencia decreciente en costo de construcción.</w:t>
      </w:r>
    </w:p>
    <w:p>
      <w:pPr>
        <w:spacing w:before="120" w:after="120"/>
      </w:pPr>
      <w:r>
        <w:rPr>
          <w:rFonts w:ascii="Calibri" w:hAnsi="Calibri"/>
          <w:b/>
          <w:color w:val="3A8FC9"/>
          <w:sz w:val="26"/>
        </w:rPr>
        <w:t>Nivel 1 — capacidad estatal medible con datos públicos argentinos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 propuesto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Por qué importa para Matus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Fuente concreta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Tiempos promedio de tramitación TAD / expedientes electrónicos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Mide fricción de la maquinaria estatal — corazón del juego macroorganizativo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Plataforma TAD (GDE), datos abiertos Jefatura de Gabinete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Bajo</w:t>
            </w:r>
          </w:p>
        </w:tc>
      </w:tr>
      <w:tr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Ejecución presupuestaria por jurisdicción (% devengado / aprobado)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Brecha entre proyecto presupuestado y ejecución real — el indicador clásico de Matus de "proyecto vs hecho"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Open Budget Argentina, e-SIDIF, Secretaría de Hacienda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Bajo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Rotación de funcionarios de alto nivel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Inestabilidad organizacional → pérdida de capacidad acumulada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Boletín Oficial — decretos de designación / cese, scrapeable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Medio</w:t>
            </w:r>
          </w:p>
        </w:tc>
      </w:tr>
      <w:tr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Stock vs ejecución de obra pública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Distancia entre lo planificado y lo ejecutado en infraestructura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BAPIN (Banco de Proyectos), ENOHSA, Vialidad Nacional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Medio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Cumplimiento de objetivos del plan de gobierno publicado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El test directo del juego macroorganizativo: ¿lo que se prometió ejecutar se ejecuta?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Decreto de objetivos de gobierno, informes Jefatura de Gabinete al Congreso (Art. 101 CN)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Medio</w:t>
            </w:r>
          </w:p>
        </w:tc>
      </w:tr>
    </w:tbl>
    <w:p/>
    <w:p>
      <w:pPr>
        <w:spacing w:before="120" w:after="120"/>
      </w:pPr>
      <w:r>
        <w:rPr>
          <w:rFonts w:ascii="Calibri" w:hAnsi="Calibri"/>
          <w:b/>
          <w:color w:val="3A8FC9"/>
          <w:sz w:val="26"/>
        </w:rPr>
        <w:t>Nivel 2 — productos propios construibles por CIGOB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Estos no existen como dato público, pero son construibles y se alinean con la misión declarada de la fundación —</w:t>
      </w:r>
      <w:r>
        <w:rPr>
          <w:rFonts w:ascii="Calibri" w:hAnsi="Calibri"/>
          <w:b w:val="0"/>
          <w:i/>
          <w:sz w:val="22"/>
        </w:rPr>
        <w:t>transformar la gestión subnacional</w:t>
      </w:r>
      <w:r>
        <w:rPr>
          <w:rFonts w:ascii="Calibri" w:hAnsi="Calibri"/>
          <w:b w:val="0"/>
          <w:i w:val="0"/>
          <w:sz w:val="22"/>
        </w:rPr>
        <w:t xml:space="preserve">, ver </w:t>
      </w:r>
      <w:r>
        <w:rPr>
          <w:rFonts w:ascii="Courier New" w:hAnsi="Courier New"/>
          <w:b w:val="0"/>
          <w:sz w:val="20"/>
        </w:rPr>
        <w:t>CLAUDE.md</w:t>
      </w:r>
      <w:r>
        <w:rPr>
          <w:rFonts w:ascii="Calibri" w:hAnsi="Calibri"/>
          <w:b w:val="0"/>
          <w:i w:val="0"/>
          <w:sz w:val="22"/>
        </w:rPr>
        <w:t>— y con los tres centros de la propuesta estratégica 2026-2027 (Comunicación, Estudios/CECIG, Soluciones).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 propuesto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Por qué importa para Matus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Camino de construcción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Índice de calidad de planificación subnacional (provincias / municipios CIGOB)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El ámbito donde CIGOB ya opera. Mide diseño, monitoreo y rendición de cuentas del plan provincial. Convierte la pestaña en producto distintivo.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Encuesta + auditoría documental sobre las 23 provincias y municipios cliente; metodología tipo Open Budget Index adaptada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Alto</w:t>
            </w:r>
          </w:p>
        </w:tc>
      </w:tr>
      <w:tr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Índice "Estado con sensores" vs "Estado forense"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Concepto del propio CIGOB (CLAUDE.md): mide si el Estado detecta problemas en tiempo real o sólo cuando estallan. Operacionaliza una bandera conceptual de la fundación.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Inventario de sistemas de información en tiempo real por jurisdicción + estudio de tiempo medio entre evento adverso y respuesta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Alto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Índice de alineación proyecto-ejecución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Brecha entre plataforma electoral, presupuesto aprobado y ejecución real. Es el test matusiano por excelencia.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Cruce de tres bases ya existentes: plataformas ante CNE, presupuesto, devengado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Medio</w:t>
            </w:r>
          </w:p>
        </w:tc>
      </w:tr>
    </w:tbl>
    <w:p/>
    <w:p>
      <w:pPr>
        <w:spacing w:before="120" w:after="120"/>
      </w:pPr>
      <w:r>
        <w:rPr>
          <w:rFonts w:ascii="Calibri" w:hAnsi="Calibri"/>
          <w:b/>
          <w:color w:val="3A8FC9"/>
          <w:sz w:val="26"/>
        </w:rPr>
        <w:t>Nivel 3 — referencia internacional comparada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Por qué incluirlo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Government Effectiveness — WGI Banco Mundial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Punto de comparación regional / OCDE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Worldwide Governance Indicators, anual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Bajo (lookup)</w:t>
            </w:r>
          </w:p>
        </w:tc>
      </w:tr>
      <w:tr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Open Budget Index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Transparencia y participación presupuestaria — pieza del juego macroorganizativo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International Budget Partnership, bienal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Bajo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B-Ready (sucesor Doing Business)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Eficiencia regulatoria: trámites para empresas, indicador proxy de productividad estatal real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Banco Mundial, anual desde 2024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Bajo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Nota matusiana sobre Nivel 3: son referencia, no diagnóstico. Frecuencia anual y agregación nacional los hace inútiles para un dashboard de coyuntura. Sirven como "norte" comparativo.</w:t>
      </w:r>
    </w:p>
    <w:p>
      <w:pPr>
        <w:pBdr>
          <w:bottom w:val="single" w:sz="6" w:space="4" w:color="3A8FC9"/>
        </w:pBdr>
        <w:spacing w:before="120" w:after="120"/>
      </w:pPr>
    </w:p>
    <w:p>
      <w:pPr>
        <w:spacing w:before="200" w:after="120"/>
      </w:pPr>
      <w:r>
        <w:rPr>
          <w:rFonts w:ascii="Calibri" w:hAnsi="Calibri"/>
          <w:b/>
          <w:color w:val="1E5F9E"/>
          <w:sz w:val="30"/>
        </w:rPr>
        <w:t>C. Indicadores redundantes o débiles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 hay redundancia interna —con sólo dos indicadores difícilmente la haya—, pero sí debilidades graves:</w:t>
      </w:r>
    </w:p>
    <w:p>
      <w:pPr>
        <w:spacing w:after="60"/>
        <w:ind w:left="454" w:hanging="283"/>
      </w:pPr>
      <w:r>
        <w:rPr>
          <w:rFonts w:ascii="Calibri" w:hAnsi="Calibri"/>
          <w:b w:val="0"/>
          <w:color w:val="1E5F9E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"Productividad estatal 47/100" es un compuesto opaco</w:t>
      </w:r>
      <w:r>
        <w:rPr>
          <w:rFonts w:ascii="Calibri" w:hAnsi="Calibri"/>
          <w:b w:val="0"/>
          <w:i w:val="0"/>
          <w:sz w:val="22"/>
        </w:rPr>
        <w:t>. Sin descomposición publicada (¿qué subindicadores? ¿qué pesos? ¿qué fuentes? ¿qué frecuencia de actualización?) es inauditable. Matus reservaba críticas explícitas a los indicadores sintéticos sin transparencia metodológica: producen ilusión de medición y bloquean la conversación sustantiva. Recomendación: o se publica la cocina, o se reemplaza por dos o tres indicadores de Nivel 1 con fuente abierta.</w:t>
      </w:r>
    </w:p>
    <w:p>
      <w:pPr>
        <w:spacing w:after="60"/>
        <w:ind w:left="454" w:hanging="283"/>
      </w:pPr>
      <w:r>
        <w:rPr>
          <w:rFonts w:ascii="Calibri" w:hAnsi="Calibri"/>
          <w:b w:val="0"/>
          <w:color w:val="1E5F9E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"Cumplimiento de proyectos estratégicos 64%" carece de denominador</w:t>
      </w:r>
      <w:r>
        <w:rPr>
          <w:rFonts w:ascii="Calibri" w:hAnsi="Calibri"/>
          <w:b w:val="0"/>
          <w:i w:val="0"/>
          <w:sz w:val="22"/>
        </w:rPr>
        <w:t>. ¿Cuáles proyectos? ¿Definidos por quién? ¿"Cumplido" es entrega o avance ponderado? Sin esa información el 64% es un número decorativo.</w:t>
      </w:r>
    </w:p>
    <w:p>
      <w:pPr>
        <w:spacing w:after="60"/>
        <w:ind w:left="454" w:hanging="283"/>
      </w:pPr>
      <w:r>
        <w:rPr>
          <w:rFonts w:ascii="Calibri" w:hAnsi="Calibri"/>
          <w:b w:val="0"/>
          <w:color w:val="1E5F9E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Ausencia de score agregado del cinturón</w:t>
      </w:r>
      <w:r>
        <w:rPr>
          <w:rFonts w:ascii="Calibri" w:hAnsi="Calibri"/>
          <w:b w:val="0"/>
          <w:i w:val="0"/>
          <w:sz w:val="22"/>
        </w:rPr>
        <w:t>. Mientras los otros tres tienen score y umbrales (≥+30 holgado, 0 a +29 tensión moderada, &lt;0 tensionado), Gestión queda sin balance. El observador no sabe si está holgado o tensionado, y el sistema de alertas amarilla / roja del dashboard ignora este cinturón. Resultado: en la práctica, el dashboard sigue siendo de tres cinturones, no de cuatro.</w:t>
      </w:r>
    </w:p>
    <w:p>
      <w:pPr>
        <w:pBdr>
          <w:bottom w:val="single" w:sz="6" w:space="4" w:color="3A8FC9"/>
        </w:pBdr>
        <w:spacing w:before="120" w:after="120"/>
      </w:pPr>
    </w:p>
    <w:p>
      <w:pPr>
        <w:spacing w:before="200" w:after="120"/>
      </w:pPr>
      <w:r>
        <w:rPr>
          <w:rFonts w:ascii="Calibri" w:hAnsi="Calibri"/>
          <w:b/>
          <w:color w:val="1E5F9E"/>
          <w:sz w:val="30"/>
        </w:rPr>
        <w:t>D. Lectura matusiana del cinturón</w:t>
      </w:r>
    </w:p>
    <w:p>
      <w:pPr>
        <w:spacing w:before="120" w:after="120"/>
      </w:pPr>
      <w:r>
        <w:rPr>
          <w:rFonts w:ascii="Calibri" w:hAnsi="Calibri"/>
          <w:b/>
          <w:color w:val="3A8FC9"/>
          <w:sz w:val="26"/>
        </w:rPr>
        <w:t>Estado actual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Cinturón </w:t>
      </w:r>
      <w:r>
        <w:rPr>
          <w:rFonts w:ascii="Calibri" w:hAnsi="Calibri"/>
          <w:b/>
          <w:i w:val="0"/>
          <w:sz w:val="22"/>
        </w:rPr>
        <w:t>subdesarrollado y subponderado</w:t>
      </w:r>
      <w:r>
        <w:rPr>
          <w:rFonts w:ascii="Calibri" w:hAnsi="Calibri"/>
          <w:b w:val="0"/>
          <w:i w:val="0"/>
          <w:sz w:val="22"/>
        </w:rPr>
        <w:t>. Dos indicadores, uno opaco y uno sin denominador, sin score público, sin contribución al sistema de alertas. Es decorativo: figura en la interfaz pero no opera en la lógica del dashboard. Sobre los datos disponibles —64% de cumplimiento, 47/100 de productividad— no se puede emitir diagnóstico responsable; lo único decible es que ambos están en zona media-baja, lo que es consistente con un Estado argentino bajo tensión fiscal y rotación alta, pero no agrega información que un lector informado no tuviera ya.</w:t>
      </w:r>
    </w:p>
    <w:p>
      <w:pPr>
        <w:spacing w:before="120" w:after="120"/>
      </w:pPr>
      <w:r>
        <w:rPr>
          <w:rFonts w:ascii="Calibri" w:hAnsi="Calibri"/>
          <w:b/>
          <w:color w:val="3A8FC9"/>
          <w:sz w:val="26"/>
        </w:rPr>
        <w:t>Barbarismo al que expone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Aquí la lógica se invierte respecto de las otras tres pestañas. Mirar </w:t>
      </w:r>
      <w:r>
        <w:rPr>
          <w:rFonts w:ascii="Calibri" w:hAnsi="Calibri"/>
          <w:b/>
          <w:i w:val="0"/>
          <w:sz w:val="22"/>
        </w:rPr>
        <w:t>sólo</w:t>
      </w:r>
      <w:r>
        <w:rPr>
          <w:rFonts w:ascii="Calibri" w:hAnsi="Calibri"/>
          <w:b w:val="0"/>
          <w:i w:val="0"/>
          <w:sz w:val="22"/>
        </w:rPr>
        <w:t xml:space="preserve"> este cinturón llevaría al </w:t>
      </w:r>
      <w:r>
        <w:rPr>
          <w:rFonts w:ascii="Calibri" w:hAnsi="Calibri"/>
          <w:b/>
          <w:i w:val="0"/>
          <w:sz w:val="22"/>
        </w:rPr>
        <w:t>barbarismo gerencial-burocrático</w:t>
      </w:r>
      <w:r>
        <w:rPr>
          <w:rFonts w:ascii="Calibri" w:hAnsi="Calibri"/>
          <w:b w:val="0"/>
          <w:i w:val="0"/>
          <w:sz w:val="22"/>
        </w:rPr>
        <w:t xml:space="preserve"> (managerialista): gobernar mirando eficiencia operativa sin proyecto político ni lectura de gobernabilidad. Pero el problema real del dashboard es el opuesto: este cinturón está </w:t>
      </w:r>
      <w:r>
        <w:rPr>
          <w:rFonts w:ascii="Calibri" w:hAnsi="Calibri"/>
          <w:b/>
          <w:i w:val="0"/>
          <w:sz w:val="22"/>
        </w:rPr>
        <w:t>prácticamente vacío</w:t>
      </w:r>
      <w:r>
        <w:rPr>
          <w:rFonts w:ascii="Calibri" w:hAnsi="Calibri"/>
          <w:b w:val="0"/>
          <w:i w:val="0"/>
          <w:sz w:val="22"/>
        </w:rPr>
        <w:t>, y eso es lo que vuelve inestable a los otros tres.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Sin diagnóstico de capacidad estatal, los tres barbarismos canónicos (brief §3) quedan desprotegidos:</w:t>
      </w:r>
    </w:p>
    <w:p>
      <w:pPr>
        <w:spacing w:after="60"/>
        <w:ind w:left="454" w:hanging="283"/>
      </w:pPr>
      <w:r>
        <w:rPr>
          <w:rFonts w:ascii="Calibri" w:hAnsi="Calibri"/>
          <w:b w:val="0"/>
          <w:color w:val="1E5F9E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  <w:t xml:space="preserve">El </w:t>
      </w:r>
      <w:r>
        <w:rPr>
          <w:rFonts w:ascii="Calibri" w:hAnsi="Calibri"/>
          <w:b/>
          <w:i w:val="0"/>
          <w:sz w:val="22"/>
        </w:rPr>
        <w:t>tecnocrático</w:t>
      </w:r>
      <w:r>
        <w:rPr>
          <w:rFonts w:ascii="Calibri" w:hAnsi="Calibri"/>
          <w:b w:val="0"/>
          <w:i w:val="0"/>
          <w:sz w:val="22"/>
        </w:rPr>
        <w:t xml:space="preserve"> (mirar sólo macro) no se detecta hasta que la gestión se rompe.</w:t>
      </w:r>
    </w:p>
    <w:p>
      <w:pPr>
        <w:spacing w:after="60"/>
        <w:ind w:left="454" w:hanging="283"/>
      </w:pPr>
      <w:r>
        <w:rPr>
          <w:rFonts w:ascii="Calibri" w:hAnsi="Calibri"/>
          <w:b w:val="0"/>
          <w:color w:val="1E5F9E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  <w:t xml:space="preserve">El </w:t>
      </w:r>
      <w:r>
        <w:rPr>
          <w:rFonts w:ascii="Calibri" w:hAnsi="Calibri"/>
          <w:b/>
          <w:i w:val="0"/>
          <w:sz w:val="22"/>
        </w:rPr>
        <w:t>político</w:t>
      </w:r>
      <w:r>
        <w:rPr>
          <w:rFonts w:ascii="Calibri" w:hAnsi="Calibri"/>
          <w:b w:val="0"/>
          <w:i w:val="0"/>
          <w:sz w:val="22"/>
        </w:rPr>
        <w:t xml:space="preserve"> (también llamado demagógico-político: sólo política e imagen) se sostiene mientras nadie mida que el aparato no ejecuta.</w:t>
      </w:r>
    </w:p>
    <w:p>
      <w:pPr>
        <w:spacing w:after="60"/>
        <w:ind w:left="454" w:hanging="283"/>
      </w:pPr>
      <w:r>
        <w:rPr>
          <w:rFonts w:ascii="Calibri" w:hAnsi="Calibri"/>
          <w:b w:val="0"/>
          <w:color w:val="1E5F9E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  <w:t xml:space="preserve">El </w:t>
      </w:r>
      <w:r>
        <w:rPr>
          <w:rFonts w:ascii="Calibri" w:hAnsi="Calibri"/>
          <w:b/>
          <w:i w:val="0"/>
          <w:sz w:val="22"/>
        </w:rPr>
        <w:t>gerencial-burocrático</w:t>
      </w:r>
      <w:r>
        <w:rPr>
          <w:rFonts w:ascii="Calibri" w:hAnsi="Calibri"/>
          <w:b w:val="0"/>
          <w:i w:val="0"/>
          <w:sz w:val="22"/>
        </w:rPr>
        <w:t xml:space="preserve"> (sólo eficiencia interna) ni siquiera se vuelve visible como riesgo, porque no hay indicador que lo levante.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En síntesis: éste es justamente el cinturón que </w:t>
      </w:r>
      <w:r>
        <w:rPr>
          <w:rFonts w:ascii="Calibri" w:hAnsi="Calibri"/>
          <w:b/>
          <w:i w:val="0"/>
          <w:sz w:val="22"/>
        </w:rPr>
        <w:t>protege contra los otros tres barbarismos</w:t>
      </w:r>
      <w:r>
        <w:rPr>
          <w:rFonts w:ascii="Calibri" w:hAnsi="Calibri"/>
          <w:b w:val="0"/>
          <w:i w:val="0"/>
          <w:sz w:val="22"/>
        </w:rPr>
        <w:t xml:space="preserve">. Si está vacío, el observador tiene un dashboard que no es matusiano completo: es lectura del entorno (política, macro, vida cotidiana) sin lectura del </w:t>
      </w:r>
      <w:r>
        <w:rPr>
          <w:rFonts w:ascii="Calibri" w:hAnsi="Calibri"/>
          <w:b/>
          <w:i w:val="0"/>
          <w:sz w:val="22"/>
        </w:rPr>
        <w:t>sujeto</w:t>
      </w:r>
      <w:r>
        <w:rPr>
          <w:rFonts w:ascii="Calibri" w:hAnsi="Calibri"/>
          <w:b w:val="0"/>
          <w:i w:val="0"/>
          <w:sz w:val="22"/>
        </w:rPr>
        <w:t xml:space="preserve"> que debería gobernar ese entorno. Falta el espejo.</w:t>
      </w:r>
    </w:p>
    <w:p>
      <w:pPr>
        <w:spacing w:before="120" w:after="120"/>
      </w:pPr>
      <w:r>
        <w:rPr>
          <w:rFonts w:ascii="Calibri" w:hAnsi="Calibri"/>
          <w:b/>
          <w:color w:val="3A8FC9"/>
          <w:sz w:val="26"/>
        </w:rPr>
        <w:t>Recomendación de rediseño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Tres movimientos, en orden de prioridad:</w:t>
      </w:r>
    </w:p>
    <w:p>
      <w:pPr>
        <w:spacing w:after="60"/>
        <w:ind w:left="454" w:hanging="283"/>
      </w:pPr>
      <w:r>
        <w:rPr>
          <w:rFonts w:ascii="Calibri" w:hAnsi="Calibri"/>
          <w:b/>
          <w:color w:val="1A233A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Convertir esta pestaña en el producto distintivo de CIGOB</w:t>
      </w:r>
      <w:r>
        <w:rPr>
          <w:rFonts w:ascii="Calibri" w:hAnsi="Calibri"/>
          <w:b w:val="0"/>
          <w:i w:val="0"/>
          <w:sz w:val="22"/>
        </w:rPr>
        <w:t xml:space="preserve">. Es coherente con la misión fundacional ("transformar la gestión subnacional", </w:t>
      </w:r>
      <w:r>
        <w:rPr>
          <w:rFonts w:ascii="Courier New" w:hAnsi="Courier New"/>
          <w:b w:val="0"/>
          <w:sz w:val="20"/>
        </w:rPr>
        <w:t>CLAUDE.md</w:t>
      </w:r>
      <w:r>
        <w:rPr>
          <w:rFonts w:ascii="Calibri" w:hAnsi="Calibri"/>
          <w:b w:val="0"/>
          <w:i w:val="0"/>
          <w:sz w:val="22"/>
        </w:rPr>
        <w:t>), con la propuesta estratégica 2026-2027 (CECIG / Centro de Estudios) y con un nicho objetivo: ningún tablero político argentino mide capacidad estatal con seriedad. El espacio competitivo está vacío. Pasar de 2 indicadores opacos a 5–7 indicadores de Nivel 1 transparentes, con fuente y frecuencia declaradas, en seis meses.</w:t>
      </w:r>
    </w:p>
    <w:p>
      <w:pPr>
        <w:spacing w:after="60"/>
        <w:ind w:left="454" w:hanging="283"/>
      </w:pPr>
      <w:r>
        <w:rPr>
          <w:rFonts w:ascii="Calibri" w:hAnsi="Calibri"/>
          <w:b/>
          <w:color w:val="1A233A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Sumar al menos un indicador de Nivel 2 propio</w:t>
      </w:r>
      <w:r>
        <w:rPr>
          <w:rFonts w:ascii="Calibri" w:hAnsi="Calibri"/>
          <w:b w:val="0"/>
          <w:i w:val="0"/>
          <w:sz w:val="22"/>
        </w:rPr>
        <w:t>. El más maduro y barato es el "Índice de alineación proyecto-ejecución" (cruce de plataforma, presupuesto y devengado): se construye con bases ya existentes y opera como sello CIGOB. El "Estado con sensores vs Estado forense" es más caro pero traduce al lenguaje del dashboard un concepto ya acuñado en los documentos de la fundación.</w:t>
      </w:r>
    </w:p>
    <w:p>
      <w:pPr>
        <w:spacing w:after="60"/>
        <w:ind w:left="454" w:hanging="283"/>
      </w:pPr>
      <w:r>
        <w:rPr>
          <w:rFonts w:ascii="Calibri" w:hAnsi="Calibri"/>
          <w:b/>
          <w:color w:val="1A233A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Publicar score y umbrales del cinturón, e integrarlo al sistema de alertas</w:t>
      </w:r>
      <w:r>
        <w:rPr>
          <w:rFonts w:ascii="Calibri" w:hAnsi="Calibri"/>
          <w:b w:val="0"/>
          <w:i w:val="0"/>
          <w:sz w:val="22"/>
        </w:rPr>
        <w:t>. Hasta que esto pase, hablar de "Método CiGob-Matus" es excesivo: el método matusiano supone los cuatro juegos en simetría, y aquí uno está ornamental. La regla central de Matus —los tres (cuatro) cinturones no pueden estar apretados a la vez— sólo opera si todos están medidos.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 el rediseño se ejecuta, este cinturón deja de ser el más débil y pasa a ser el diferencial de la herramienta. Si no se ejecuta, conviene asumirlo y reformular la página: o se renombra al método como "tres cinturones más nota de gestión", o se asume que el 4º está en construcción y se publica una hoja de ruta. Ambas opciones son matusianamente honestas. Lo que no es honesto es seguir mostrando un score 47/100 como si fuera diagnóstico.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3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