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val="0"/>
          <w:i w:val="0"/>
          <w:sz w:val="22"/>
        </w:rPr>
        <w:t>Inflación mensual (IPC)</w:t>
      </w:r>
    </w:p>
    <w:p>
      <w:pPr>
        <w:spacing w:after="120"/>
      </w:pPr>
      <w:r>
        <w:rPr>
          <w:rFonts w:ascii="Calibri" w:hAnsi="Calibri"/>
          <w:b w:val="0"/>
          <w:i w:val="0"/>
          <w:sz w:val="22"/>
        </w:rPr>
        <w:t>El termómetro más inmediato del humor social. En Argentina opera como indicador emocional de primer orden: cada punto de inflación mensual tiene impacto directo en la percepción de bienestar y en la confianza en el gobierno.</w:t>
      </w:r>
    </w:p>
    <w:p>
      <w:pPr>
        <w:spacing w:after="120"/>
      </w:pPr>
      <w:r>
        <w:rPr>
          <w:rFonts w:ascii="Calibri" w:hAnsi="Calibri"/>
          <w:b w:val="0"/>
          <w:i w:val="0"/>
          <w:sz w:val="22"/>
        </w:rPr>
        <w:t>Fuentes</w:t>
      </w:r>
    </w:p>
    <w:p>
      <w:pPr>
        <w:spacing w:after="120"/>
      </w:pPr>
      <w:r>
        <w:rPr>
          <w:rFonts w:ascii="Calibri" w:hAnsi="Calibri"/>
          <w:b w:val="0"/>
          <w:i w:val="0"/>
          <w:sz w:val="22"/>
        </w:rPr>
        <w:t>Oficial INDEC — Índice de Precios al Consumidor (IPC Nacional)</w:t>
      </w:r>
    </w:p>
    <w:p>
      <w:pPr>
        <w:spacing w:after="120"/>
      </w:pPr>
      <w:r>
        <w:rPr>
          <w:rFonts w:ascii="Calibri" w:hAnsi="Calibri"/>
          <w:b w:val="0"/>
          <w:i w:val="0"/>
          <w:sz w:val="22"/>
        </w:rPr>
        <w:t>Cobertura nacional, desagregado por división y por región. Publicación mensual.</w:t>
      </w:r>
    </w:p>
    <w:p>
      <w:pPr>
        <w:spacing w:after="120"/>
      </w:pPr>
      <w:r>
        <w:rPr>
          <w:rFonts w:ascii="Calibri" w:hAnsi="Calibri"/>
          <w:b w:val="0"/>
          <w:i w:val="0"/>
          <w:sz w:val="22"/>
        </w:rPr>
        <w:t>Oficial Estadísticas provinciales (DGEyC) CABA, Córdoba, San Luis y otras provincias publican IPC propio con mayor desagregación local.</w:t>
      </w:r>
    </w:p>
    <w:p>
      <w:pPr>
        <w:spacing w:after="120"/>
      </w:pPr>
      <w:r>
        <w:rPr>
          <w:rFonts w:ascii="Calibri" w:hAnsi="Calibri"/>
          <w:b w:val="0"/>
          <w:i w:val="0"/>
          <w:sz w:val="22"/>
        </w:rPr>
        <w:t>AcadémicaUTDT — Índice de Precios al Consumidor</w:t>
      </w:r>
    </w:p>
    <w:p>
      <w:pPr>
        <w:spacing w:after="120"/>
      </w:pPr>
      <w:r>
        <w:rPr>
          <w:rFonts w:ascii="Calibri" w:hAnsi="Calibri"/>
          <w:b w:val="0"/>
          <w:i w:val="0"/>
          <w:sz w:val="22"/>
        </w:rPr>
        <w:t>Serie alternativa con metodología independiente para contraste.</w:t>
      </w:r>
    </w:p>
    <w:p>
      <w:pPr>
        <w:spacing w:after="120"/>
      </w:pPr>
      <w:r>
        <w:rPr>
          <w:rFonts w:ascii="Calibri" w:hAnsi="Calibri"/>
          <w:b w:val="0"/>
          <w:i w:val="0"/>
          <w:sz w:val="22"/>
        </w:rPr>
        <w:t>Mensual — dato de alto impacto mediático inmediato</w:t>
      </w:r>
    </w:p>
    <w:p>
      <w:pPr>
        <w:spacing w:after="120"/>
      </w:pPr>
      <w:r>
        <w:rPr>
          <w:rFonts w:ascii="Calibri" w:hAnsi="Calibri"/>
          <w:b w:val="0"/>
          <w:i w:val="0"/>
          <w:sz w:val="22"/>
        </w:rPr>
        <w:t>2 Salario real (índice de salarios vs. IPC)</w:t>
      </w:r>
    </w:p>
    <w:p>
      <w:pPr>
        <w:spacing w:after="120"/>
      </w:pPr>
      <w:r>
        <w:rPr>
          <w:rFonts w:ascii="Calibri" w:hAnsi="Calibri"/>
          <w:b w:val="0"/>
          <w:i w:val="0"/>
          <w:sz w:val="22"/>
        </w:rPr>
        <w:t>No alcanza con saber si el salario sube: lo que la gente siente es si puede comprar más o menos que el mes anterior. La brecha entre salario nominal e inflación es el indicador más potente de sensación de empobrecimiento o recuperación.</w:t>
      </w:r>
    </w:p>
    <w:p>
      <w:pPr>
        <w:spacing w:after="120"/>
      </w:pPr>
      <w:r>
        <w:rPr>
          <w:rFonts w:ascii="Calibri" w:hAnsi="Calibri"/>
          <w:b w:val="0"/>
          <w:i w:val="0"/>
          <w:sz w:val="22"/>
        </w:rPr>
        <w:t>Fuentes</w:t>
      </w:r>
    </w:p>
    <w:p>
      <w:pPr>
        <w:spacing w:after="120"/>
      </w:pPr>
      <w:r>
        <w:rPr>
          <w:rFonts w:ascii="Calibri" w:hAnsi="Calibri"/>
          <w:b w:val="0"/>
          <w:i w:val="0"/>
          <w:sz w:val="22"/>
        </w:rPr>
        <w:t>Oficial INDEC — Índice de Salarios</w:t>
      </w:r>
    </w:p>
    <w:p>
      <w:pPr>
        <w:spacing w:after="120"/>
      </w:pPr>
      <w:r>
        <w:rPr>
          <w:rFonts w:ascii="Calibri" w:hAnsi="Calibri"/>
          <w:b w:val="0"/>
          <w:i w:val="0"/>
          <w:sz w:val="22"/>
        </w:rPr>
        <w:t>Desagregado por sector privado registrado, administración pública e informal. Publicación mensual.</w:t>
      </w:r>
    </w:p>
    <w:p>
      <w:pPr>
        <w:spacing w:after="120"/>
      </w:pPr>
      <w:r>
        <w:rPr>
          <w:rFonts w:ascii="Calibri" w:hAnsi="Calibri"/>
          <w:b w:val="0"/>
          <w:i w:val="0"/>
          <w:sz w:val="22"/>
        </w:rPr>
        <w:t>Oficial Ministerio de Trabajo — RIPTE</w:t>
      </w:r>
    </w:p>
    <w:p>
      <w:pPr>
        <w:spacing w:after="120"/>
      </w:pPr>
      <w:r>
        <w:rPr>
          <w:rFonts w:ascii="Calibri" w:hAnsi="Calibri"/>
          <w:b w:val="0"/>
          <w:i w:val="0"/>
          <w:sz w:val="22"/>
        </w:rPr>
        <w:t>Remuneración imponible promedio de los trabajadores estables. Alta frecuencia, mensual.</w:t>
      </w:r>
    </w:p>
    <w:p>
      <w:pPr>
        <w:spacing w:after="120"/>
      </w:pPr>
      <w:r>
        <w:rPr>
          <w:rFonts w:ascii="Calibri" w:hAnsi="Calibri"/>
          <w:b w:val="0"/>
          <w:i w:val="0"/>
          <w:sz w:val="22"/>
        </w:rPr>
        <w:t>Think tank CEPA — Informe mensual de salario real</w:t>
      </w:r>
    </w:p>
    <w:p>
      <w:pPr>
        <w:spacing w:after="120"/>
      </w:pPr>
      <w:r>
        <w:rPr>
          <w:rFonts w:ascii="Calibri" w:hAnsi="Calibri"/>
          <w:b w:val="0"/>
          <w:i w:val="0"/>
          <w:sz w:val="22"/>
        </w:rPr>
        <w:t>Mayor desagregación sectorial y análisis de dispersión salarial entre sectores.</w:t>
      </w:r>
    </w:p>
    <w:p>
      <w:pPr>
        <w:spacing w:after="120"/>
      </w:pPr>
      <w:r>
        <w:rPr>
          <w:rFonts w:ascii="Calibri" w:hAnsi="Calibri"/>
          <w:b w:val="0"/>
          <w:i w:val="0"/>
          <w:sz w:val="22"/>
        </w:rPr>
        <w:t>Think tank IERAL / Fundación Mediterránea</w:t>
      </w:r>
    </w:p>
    <w:p>
      <w:pPr>
        <w:spacing w:after="120"/>
      </w:pPr>
      <w:r>
        <w:rPr>
          <w:rFonts w:ascii="Calibri" w:hAnsi="Calibri"/>
          <w:b w:val="0"/>
          <w:i w:val="0"/>
          <w:sz w:val="22"/>
        </w:rPr>
        <w:t>Análisis del poder adquisitivo real con serie histórica larga para contexto electoral.</w:t>
      </w:r>
    </w:p>
    <w:p>
      <w:pPr>
        <w:spacing w:after="120"/>
      </w:pPr>
      <w:r>
        <w:rPr>
          <w:rFonts w:ascii="Calibri" w:hAnsi="Calibri"/>
          <w:b w:val="0"/>
          <w:i w:val="0"/>
          <w:sz w:val="22"/>
        </w:rPr>
        <w:t>Mensual — cruza automáticamente con IPC para calcular variación real</w:t>
      </w:r>
    </w:p>
    <w:p>
      <w:pPr>
        <w:spacing w:after="120"/>
      </w:pPr>
      <w:r>
        <w:rPr>
          <w:rFonts w:ascii="Calibri" w:hAnsi="Calibri"/>
          <w:b w:val="0"/>
          <w:i w:val="0"/>
          <w:sz w:val="22"/>
        </w:rPr>
        <w:t>3 Tasa de desempleo y empleo informal</w:t>
      </w:r>
    </w:p>
    <w:p>
      <w:pPr>
        <w:spacing w:after="120"/>
      </w:pPr>
      <w:r>
        <w:rPr>
          <w:rFonts w:ascii="Calibri" w:hAnsi="Calibri"/>
          <w:b w:val="0"/>
          <w:i w:val="0"/>
          <w:sz w:val="22"/>
        </w:rPr>
        <w:t>El desempleo afecta directamente el humor social, pero en Argentina el indicador más sensible es la informalidad: trabajar en negro implica ausencia de obra social, vacaciones, indemnización y estabilidad. El empleo informal es desempleo encubierto en términos de calidad de vida.</w:t>
      </w:r>
    </w:p>
    <w:p>
      <w:pPr>
        <w:spacing w:after="120"/>
      </w:pPr>
      <w:r>
        <w:rPr>
          <w:rFonts w:ascii="Calibri" w:hAnsi="Calibri"/>
          <w:b w:val="0"/>
          <w:i w:val="0"/>
          <w:sz w:val="22"/>
        </w:rPr>
        <w:t>Fuentes</w:t>
      </w:r>
    </w:p>
    <w:p>
      <w:pPr>
        <w:spacing w:after="120"/>
      </w:pPr>
      <w:r>
        <w:rPr>
          <w:rFonts w:ascii="Calibri" w:hAnsi="Calibri"/>
          <w:b w:val="0"/>
          <w:i w:val="0"/>
          <w:sz w:val="22"/>
        </w:rPr>
        <w:t>Oficial INDEC — EPH (Encuesta Permanente de Hogares)</w:t>
      </w:r>
    </w:p>
    <w:p>
      <w:pPr>
        <w:spacing w:after="120"/>
      </w:pPr>
      <w:r>
        <w:rPr>
          <w:rFonts w:ascii="Calibri" w:hAnsi="Calibri"/>
          <w:b w:val="0"/>
          <w:i w:val="0"/>
          <w:sz w:val="22"/>
        </w:rPr>
        <w:t>Tasa de desocupación, subocupación e informalidad para 31 aglomerados. Frecuencia trimestral.</w:t>
      </w:r>
    </w:p>
    <w:p>
      <w:pPr>
        <w:spacing w:after="120"/>
      </w:pPr>
      <w:r>
        <w:rPr>
          <w:rFonts w:ascii="Calibri" w:hAnsi="Calibri"/>
          <w:b w:val="0"/>
          <w:i w:val="0"/>
          <w:sz w:val="22"/>
        </w:rPr>
        <w:t>Oficial Ministerio de Trabajo — SIPA</w:t>
      </w:r>
    </w:p>
    <w:p>
      <w:pPr>
        <w:spacing w:after="120"/>
      </w:pPr>
      <w:r>
        <w:rPr>
          <w:rFonts w:ascii="Calibri" w:hAnsi="Calibri"/>
          <w:b w:val="0"/>
          <w:i w:val="0"/>
          <w:sz w:val="22"/>
        </w:rPr>
        <w:t>Sistema Integrado Previsional Argentino: empleo registrado por sector, mensual.</w:t>
      </w:r>
    </w:p>
    <w:p>
      <w:pPr>
        <w:spacing w:after="120"/>
      </w:pPr>
      <w:r>
        <w:rPr>
          <w:rFonts w:ascii="Calibri" w:hAnsi="Calibri"/>
          <w:b w:val="0"/>
          <w:i w:val="0"/>
          <w:sz w:val="22"/>
        </w:rPr>
        <w:t>Académica ODSA-UCA — Barómetro de la Deuda Social</w:t>
      </w:r>
    </w:p>
    <w:p>
      <w:pPr>
        <w:spacing w:after="120"/>
      </w:pPr>
      <w:r>
        <w:rPr>
          <w:rFonts w:ascii="Calibri" w:hAnsi="Calibri"/>
          <w:b w:val="0"/>
          <w:i w:val="0"/>
          <w:sz w:val="22"/>
        </w:rPr>
        <w:t>Mide calidad del empleo, informalidad y precariedad laboral con desagregación por estrato.</w:t>
      </w:r>
    </w:p>
    <w:p>
      <w:pPr>
        <w:spacing w:after="120"/>
      </w:pPr>
      <w:r>
        <w:rPr>
          <w:rFonts w:ascii="Calibri" w:hAnsi="Calibri"/>
          <w:b w:val="0"/>
          <w:i w:val="0"/>
          <w:sz w:val="22"/>
        </w:rPr>
        <w:t>Trimestral (EPH) / Mensual (SIPA empleo registrado)</w:t>
      </w:r>
    </w:p>
    <w:p>
      <w:pPr>
        <w:spacing w:after="120"/>
      </w:pPr>
      <w:r>
        <w:rPr>
          <w:rFonts w:ascii="Calibri" w:hAnsi="Calibri"/>
          <w:b w:val="0"/>
          <w:i w:val="0"/>
          <w:sz w:val="22"/>
        </w:rPr>
        <w:t>4 Índice de confianza del consumidor (ICC)</w:t>
      </w:r>
    </w:p>
    <w:p>
      <w:pPr>
        <w:spacing w:after="120"/>
      </w:pPr>
      <w:r>
        <w:rPr>
          <w:rFonts w:ascii="Calibri" w:hAnsi="Calibri"/>
          <w:b w:val="0"/>
          <w:i w:val="0"/>
          <w:sz w:val="22"/>
        </w:rPr>
        <w:t>Es el indicador más directo de humor social porque mide exactamente eso: cómo se siente la gente respecto a su situación económica personal y del país. A diferencia del PBI o la inflación, que son datos objetivos, el ICC captura la percepción subjetiva que es lo que mueve la intención de voto.</w:t>
      </w:r>
    </w:p>
    <w:p>
      <w:pPr>
        <w:spacing w:after="120"/>
      </w:pPr>
      <w:r>
        <w:rPr>
          <w:rFonts w:ascii="Calibri" w:hAnsi="Calibri"/>
          <w:b w:val="0"/>
          <w:i w:val="0"/>
          <w:sz w:val="22"/>
        </w:rPr>
        <w:t>Fuentes</w:t>
      </w:r>
    </w:p>
    <w:p>
      <w:pPr>
        <w:spacing w:after="120"/>
      </w:pPr>
      <w:r>
        <w:rPr>
          <w:rFonts w:ascii="Calibri" w:hAnsi="Calibri"/>
          <w:b w:val="0"/>
          <w:i w:val="0"/>
          <w:sz w:val="22"/>
        </w:rPr>
        <w:t>Académica UTDT — Índice de Confianza del Consumidor</w:t>
      </w:r>
    </w:p>
    <w:p>
      <w:pPr>
        <w:spacing w:after="120"/>
      </w:pPr>
      <w:r>
        <w:rPr>
          <w:rFonts w:ascii="Calibri" w:hAnsi="Calibri"/>
          <w:b w:val="0"/>
          <w:i w:val="0"/>
          <w:sz w:val="22"/>
        </w:rPr>
        <w:t>Serie mensual desde 2001. Mide situación personal actual, perspectiva futura y clima macro. Es la referencia de mayor continuidad histórica en Argentina.</w:t>
      </w:r>
    </w:p>
    <w:p>
      <w:pPr>
        <w:spacing w:after="120"/>
      </w:pPr>
      <w:r>
        <w:rPr>
          <w:rFonts w:ascii="Calibri" w:hAnsi="Calibri"/>
          <w:b w:val="0"/>
          <w:i w:val="0"/>
          <w:sz w:val="22"/>
        </w:rPr>
        <w:t>Académica INDEC — Encuesta de Expectativas de los Consumidores</w:t>
      </w:r>
    </w:p>
    <w:p>
      <w:pPr>
        <w:spacing w:after="120"/>
      </w:pPr>
      <w:r>
        <w:rPr>
          <w:rFonts w:ascii="Calibri" w:hAnsi="Calibri"/>
          <w:b w:val="0"/>
          <w:i w:val="0"/>
          <w:sz w:val="22"/>
        </w:rPr>
        <w:t>Módulo dentro de la EPH que releva perspectivas sobre el hogar y la situación general.</w:t>
      </w:r>
    </w:p>
    <w:p>
      <w:pPr>
        <w:spacing w:after="120"/>
      </w:pPr>
      <w:r>
        <w:rPr>
          <w:rFonts w:ascii="Calibri" w:hAnsi="Calibri"/>
          <w:b w:val="0"/>
          <w:i w:val="0"/>
          <w:sz w:val="22"/>
        </w:rPr>
        <w:t>Privada</w:t>
      </w:r>
    </w:p>
    <w:p>
      <w:pPr>
        <w:spacing w:after="120"/>
      </w:pPr>
      <w:r>
        <w:rPr>
          <w:rFonts w:ascii="Calibri" w:hAnsi="Calibri"/>
          <w:b w:val="0"/>
          <w:i w:val="0"/>
          <w:sz w:val="22"/>
        </w:rPr>
        <w:t>5 Pobreza e indigencia</w:t>
      </w:r>
    </w:p>
    <w:p>
      <w:pPr>
        <w:spacing w:after="120"/>
      </w:pPr>
      <w:r>
        <w:rPr>
          <w:rFonts w:ascii="Calibri" w:hAnsi="Calibri"/>
          <w:b w:val="0"/>
          <w:i w:val="0"/>
          <w:sz w:val="22"/>
        </w:rPr>
        <w:t>Es el indicador de mayor impacto simbólico y político en Argentina. Aunque se publica con baja frecuencia, cada dato genera un ciclo de debate público que impacta directamente la imagen gubernamental. En países con alta pobreza estructural, este número es el más cargado políticamente de todos.</w:t>
      </w:r>
    </w:p>
    <w:p>
      <w:pPr>
        <w:spacing w:after="120"/>
      </w:pPr>
      <w:r>
        <w:rPr>
          <w:rFonts w:ascii="Calibri" w:hAnsi="Calibri"/>
          <w:b w:val="0"/>
          <w:i w:val="0"/>
          <w:sz w:val="22"/>
        </w:rPr>
        <w:t>Fuentes</w:t>
      </w:r>
    </w:p>
    <w:p>
      <w:pPr>
        <w:spacing w:after="120"/>
      </w:pPr>
      <w:r>
        <w:rPr>
          <w:rFonts w:ascii="Calibri" w:hAnsi="Calibri"/>
          <w:b w:val="0"/>
          <w:i w:val="0"/>
          <w:sz w:val="22"/>
        </w:rPr>
        <w:t>Oficial INDEC — EPH (incidencia pobreza e indigencia)</w:t>
      </w:r>
    </w:p>
    <w:p>
      <w:pPr>
        <w:spacing w:after="120"/>
      </w:pPr>
      <w:r>
        <w:rPr>
          <w:rFonts w:ascii="Calibri" w:hAnsi="Calibri"/>
          <w:b w:val="0"/>
          <w:i w:val="0"/>
          <w:sz w:val="22"/>
        </w:rPr>
        <w:t>Comparación del ingreso del hogar con la Canasta Básica Total y Alimentaria. Frecuencia semestral.</w:t>
      </w:r>
    </w:p>
    <w:p>
      <w:pPr>
        <w:spacing w:after="120"/>
      </w:pPr>
      <w:r>
        <w:rPr>
          <w:rFonts w:ascii="Calibri" w:hAnsi="Calibri"/>
          <w:b w:val="0"/>
          <w:i w:val="0"/>
          <w:sz w:val="22"/>
        </w:rPr>
        <w:t>Académica ODSA-UCA — Barómetro de la Deuda Social Argentina</w:t>
      </w:r>
    </w:p>
    <w:p>
      <w:pPr>
        <w:spacing w:after="120"/>
      </w:pPr>
      <w:r>
        <w:rPr>
          <w:rFonts w:ascii="Calibri" w:hAnsi="Calibri"/>
          <w:b w:val="0"/>
          <w:i w:val="0"/>
          <w:sz w:val="22"/>
        </w:rPr>
        <w:t>Metodología propia con serie histórica desde 2004. Produce estimaciones trimestrales alternativas y mide pobreza multidimensional.</w:t>
      </w:r>
    </w:p>
    <w:p>
      <w:pPr>
        <w:spacing w:after="120"/>
      </w:pPr>
      <w:r>
        <w:rPr>
          <w:rFonts w:ascii="Calibri" w:hAnsi="Calibri"/>
          <w:b w:val="0"/>
          <w:i w:val="0"/>
          <w:sz w:val="22"/>
        </w:rPr>
        <w:t>Think tank CESO / CIFRA-CTA</w:t>
      </w:r>
    </w:p>
    <w:p>
      <w:pPr>
        <w:spacing w:after="120"/>
      </w:pPr>
      <w:r>
        <w:rPr>
          <w:rFonts w:ascii="Calibri" w:hAnsi="Calibri"/>
          <w:b w:val="0"/>
          <w:i w:val="0"/>
          <w:sz w:val="22"/>
        </w:rPr>
        <w:t>Estimaciones mensuales de pobreza basadas en canastas propias, permiten mayor frecuencia que el INDEC.</w:t>
      </w:r>
    </w:p>
    <w:p>
      <w:pPr>
        <w:spacing w:after="120"/>
      </w:pPr>
      <w:r>
        <w:rPr>
          <w:rFonts w:ascii="Calibri" w:hAnsi="Calibri"/>
          <w:b w:val="0"/>
          <w:i w:val="0"/>
          <w:sz w:val="22"/>
        </w:rPr>
        <w:t>Semestral (INDEC) — pero de altísimo impacto político en cada publicación</w:t>
      </w:r>
    </w:p>
    <w:p>
      <w:pPr>
        <w:spacing w:after="60"/>
        <w:ind w:left="454" w:hanging="283"/>
      </w:pPr>
      <w:r>
        <w:rPr>
          <w:rFonts w:ascii="Calibri" w:hAnsi="Calibri"/>
          <w:b/>
          <w:color w:val="1A233A"/>
          <w:sz w:val="22"/>
        </w:rPr>
        <w:t xml:space="preserve">1.  </w:t>
      </w:r>
      <w:r>
        <w:rPr>
          <w:rFonts w:ascii="Calibri" w:hAnsi="Calibri"/>
          <w:b w:val="0"/>
          <w:i w:val="0"/>
          <w:sz w:val="22"/>
        </w:rPr>
        <w:t>Despachos de cemento</w:t>
      </w:r>
    </w:p>
    <w:p>
      <w:pPr>
        <w:spacing w:after="120"/>
      </w:pPr>
      <w:r>
        <w:rPr>
          <w:rFonts w:ascii="Calibri" w:hAnsi="Calibri"/>
          <w:b w:val="0"/>
          <w:i w:val="0"/>
          <w:sz w:val="22"/>
        </w:rPr>
        <w:t>La fuente primaria y exclusiva es la Asociación de Fabricantes de Cemento Portland (AFCP), que publica mensualmente los datos de despachos al mercado interno en toneladas, con desagregación por tipo de cemento y comparativo interanual. Es un indicador adelantado de la construcción privada y pública, y tiene la ventaja de publicarse con muy poca demora respecto al mes de referencia.</w:t>
      </w:r>
    </w:p>
    <w:p>
      <w:pPr>
        <w:spacing w:after="120"/>
      </w:pPr>
      <w:r>
        <w:rPr>
          <w:rFonts w:ascii="Calibri" w:hAnsi="Calibri"/>
          <w:b w:val="0"/>
          <w:i w:val="0"/>
          <w:sz w:val="22"/>
        </w:rPr>
        <w:t>Como fuente complementaria, el INDEC incorpora los despachos de cemento dentro del Índice Sintético de Actividad de la Construcción (ISAC), junto con otros insumos como asfalto y ladrillos, lo que permite contextualizar el dato dentro de la dinámica sectorial más amplia.</w:t>
      </w:r>
    </w:p>
    <w:p>
      <w:pPr>
        <w:spacing w:after="60"/>
        <w:ind w:left="454" w:hanging="283"/>
      </w:pPr>
      <w:r>
        <w:rPr>
          <w:rFonts w:ascii="Calibri" w:hAnsi="Calibri"/>
          <w:b/>
          <w:color w:val="1A233A"/>
          <w:sz w:val="22"/>
        </w:rPr>
        <w:t xml:space="preserve">2.  </w:t>
      </w:r>
      <w:r>
        <w:rPr>
          <w:rFonts w:ascii="Calibri" w:hAnsi="Calibri"/>
          <w:b w:val="0"/>
          <w:i w:val="0"/>
          <w:sz w:val="22"/>
        </w:rPr>
        <w:t>Producción automotriz</w:t>
      </w:r>
    </w:p>
    <w:p>
      <w:pPr>
        <w:spacing w:after="120"/>
      </w:pPr>
      <w:r>
        <w:rPr>
          <w:rFonts w:ascii="Calibri" w:hAnsi="Calibri"/>
          <w:b w:val="0"/>
          <w:i w:val="0"/>
          <w:sz w:val="22"/>
        </w:rPr>
        <w:t>La fuente de referencia es la Asociación de Fábricas de Automotores (ADEFA), que publica mensualmente la producción por unidades con desagregación por empresa, modelo y destino (mercado interno vs. exportación). Los datos se publican con frecuencia mensual y tienen apertura por tipo de vehículo (autos, utilitarios, camiones, buses).</w:t>
      </w:r>
    </w:p>
    <w:p>
      <w:pPr>
        <w:spacing w:after="120"/>
      </w:pPr>
      <w:r>
        <w:rPr>
          <w:rFonts w:ascii="Calibri" w:hAnsi="Calibri"/>
          <w:b w:val="0"/>
          <w:i w:val="0"/>
          <w:sz w:val="22"/>
        </w:rPr>
        <w:t>El INDEC también releva producción industrial automotriz dentro del Índice de Producción Industrial Manufacturero (IPI Manufacturero), que permite comparar la evolución sectorial con el resto de la industria. Para exportaciones del sector, el INDEC cruza con datos de comercio exterior y la ADEFA publica el dato de unidades exportadas por destino.</w:t>
      </w:r>
    </w:p>
    <w:p>
      <w:pPr>
        <w:spacing w:after="60"/>
        <w:ind w:left="454" w:hanging="283"/>
      </w:pPr>
      <w:r>
        <w:rPr>
          <w:rFonts w:ascii="Calibri" w:hAnsi="Calibri"/>
          <w:b/>
          <w:color w:val="1A233A"/>
          <w:sz w:val="22"/>
        </w:rPr>
        <w:t xml:space="preserve">3.  </w:t>
      </w:r>
      <w:r>
        <w:rPr>
          <w:rFonts w:ascii="Calibri" w:hAnsi="Calibri"/>
          <w:b w:val="0"/>
          <w:i w:val="0"/>
          <w:sz w:val="22"/>
        </w:rPr>
        <w:t>Patentamiento de autos y motos</w:t>
      </w:r>
    </w:p>
    <w:p>
      <w:pPr>
        <w:spacing w:after="120"/>
      </w:pPr>
      <w:r>
        <w:rPr>
          <w:rFonts w:ascii="Calibri" w:hAnsi="Calibri"/>
          <w:b w:val="0"/>
          <w:i w:val="0"/>
          <w:sz w:val="22"/>
        </w:rPr>
        <w:t>Para automóviles y vehículos comerciales, la fuente es la Asociación de Concesionarios de Automotores de la República Argentina (ACARA), que publica mensualmente las transferencias de unidades 0km por marca, modelo y provincia. Es el indicador más usado como proxy de consumo durable y confianza del consumidor de clase media.</w:t>
      </w:r>
    </w:p>
    <w:p>
      <w:pPr>
        <w:spacing w:after="120"/>
      </w:pPr>
      <w:r>
        <w:rPr>
          <w:rFonts w:ascii="Calibri" w:hAnsi="Calibri"/>
          <w:b w:val="0"/>
          <w:i w:val="0"/>
          <w:sz w:val="22"/>
        </w:rPr>
        <w:t>Para motovehículos, la fuente específica es la Cámara de la Industria Argentina de Motovehículos (CIAM), que publica el patentamiento mensual de motos y ciclomotores. Las motos son un indicador especialmente relevante en Argentina porque su dinámica responde a segmentos de ingreso distintos a los del auto, capturando consumo popular y laboral informal (delivery, transporte).</w:t>
      </w:r>
    </w:p>
    <w:p>
      <w:pPr>
        <w:spacing w:after="120"/>
      </w:pPr>
      <w:r>
        <w:rPr>
          <w:rFonts w:ascii="Calibri" w:hAnsi="Calibri"/>
          <w:b w:val="0"/>
          <w:i w:val="0"/>
          <w:sz w:val="22"/>
        </w:rPr>
        <w:t>Ambos datos son compilados también por la Dirección Nacional de los Registros Nacionales de la Propiedad del Automotor (DNRNPA) del Ministerio de Justicia, que es la fuente registral oficial, aunque ACARA y CIAM son más ágiles en la difusión.</w:t>
      </w:r>
    </w:p>
    <w:p>
      <w:pPr>
        <w:spacing w:after="60"/>
        <w:ind w:left="454" w:hanging="283"/>
      </w:pPr>
      <w:r>
        <w:rPr>
          <w:rFonts w:ascii="Calibri" w:hAnsi="Calibri"/>
          <w:b/>
          <w:color w:val="1A233A"/>
          <w:sz w:val="22"/>
        </w:rPr>
        <w:t xml:space="preserve">4.  </w:t>
      </w:r>
      <w:r>
        <w:rPr>
          <w:rFonts w:ascii="Calibri" w:hAnsi="Calibri"/>
          <w:b w:val="0"/>
          <w:i w:val="0"/>
          <w:sz w:val="22"/>
        </w:rPr>
        <w:t>Créditos bancarios privados</w:t>
      </w:r>
    </w:p>
    <w:p>
      <w:pPr>
        <w:spacing w:after="120"/>
      </w:pPr>
      <w:r>
        <w:rPr>
          <w:rFonts w:ascii="Calibri" w:hAnsi="Calibri"/>
          <w:b w:val="0"/>
          <w:i w:val="0"/>
          <w:sz w:val="22"/>
        </w:rPr>
        <w:t>La fuente primaria es el Banco Central de la República Argentina (BCRA), que publica dos series complementarias. El Informe sobre Bancos mensual incluye el stock de préstamos al sector privado con desagregación por tipo (personales, hipotecarios, prendarios, tarjetas, comerciales) y por moneda (pesos y dólares). El Informe de Política Monetaria contextualiza la evolución crediticia dentro del marco macro.</w:t>
      </w:r>
    </w:p>
    <w:p>
      <w:pPr>
        <w:spacing w:after="120"/>
      </w:pPr>
      <w:r>
        <w:rPr>
          <w:rFonts w:ascii="Calibri" w:hAnsi="Calibri"/>
          <w:b w:val="0"/>
          <w:i w:val="0"/>
          <w:sz w:val="22"/>
        </w:rPr>
        <w:t>Para seguimiento de alta frecuencia, el BCRA publica también datos semanales de préstamos al sector privado en su sección de estadísticas monetarias y financieras, lo que permite detectar tendencias antes de la publicación mensual.</w:t>
      </w:r>
    </w:p>
    <w:p>
      <w:pPr>
        <w:spacing w:after="120"/>
      </w:pPr>
      <w:r>
        <w:rPr>
          <w:rFonts w:ascii="Calibri" w:hAnsi="Calibri"/>
          <w:b w:val="0"/>
          <w:i w:val="0"/>
          <w:sz w:val="22"/>
        </w:rPr>
        <w:t>Síntesis: periodicidad y organismo</w:t>
      </w:r>
    </w:p>
    <w:p>
      <w:pPr>
        <w:spacing w:after="120"/>
      </w:pPr>
      <w:r>
        <w:rPr>
          <w:rFonts w:ascii="Calibri" w:hAnsi="Calibri"/>
          <w:b w:val="0"/>
          <w:i w:val="0"/>
          <w:sz w:val="22"/>
        </w:rPr>
        <w:t>Indicador</w:t>
        <w:tab/>
        <w:t>Fuente principal</w:t>
        <w:tab/>
        <w:t>Periodicidad</w:t>
        <w:tab/>
        <w:t>Complemento</w:t>
      </w:r>
    </w:p>
    <w:p>
      <w:pPr>
        <w:spacing w:after="120"/>
      </w:pPr>
      <w:r>
        <w:rPr>
          <w:rFonts w:ascii="Calibri" w:hAnsi="Calibri"/>
          <w:b w:val="0"/>
          <w:i w:val="0"/>
          <w:sz w:val="22"/>
        </w:rPr>
        <w:t>Despachos de cemento</w:t>
        <w:tab/>
        <w:t>AFCP</w:t>
        <w:tab/>
        <w:t>Mensual</w:t>
        <w:tab/>
        <w:t>INDEC – ISAC</w:t>
      </w:r>
    </w:p>
    <w:p>
      <w:pPr>
        <w:spacing w:after="120"/>
      </w:pPr>
      <w:r>
        <w:rPr>
          <w:rFonts w:ascii="Calibri" w:hAnsi="Calibri"/>
          <w:b w:val="0"/>
          <w:i w:val="0"/>
          <w:sz w:val="22"/>
        </w:rPr>
        <w:t>Producción automotriz</w:t>
        <w:tab/>
        <w:t>ADEFA</w:t>
        <w:tab/>
        <w:t>Mensual</w:t>
        <w:tab/>
        <w:t>INDEC – IPI Manufacturero</w:t>
      </w:r>
    </w:p>
    <w:p>
      <w:pPr>
        <w:spacing w:after="120"/>
      </w:pPr>
      <w:r>
        <w:rPr>
          <w:rFonts w:ascii="Calibri" w:hAnsi="Calibri"/>
          <w:b w:val="0"/>
          <w:i w:val="0"/>
          <w:sz w:val="22"/>
        </w:rPr>
        <w:t>Patentamiento autos</w:t>
        <w:tab/>
        <w:t>ACARA</w:t>
        <w:tab/>
        <w:t>Mensual</w:t>
        <w:tab/>
        <w:t>DNRNPA</w:t>
      </w:r>
    </w:p>
    <w:p>
      <w:pPr>
        <w:spacing w:after="120"/>
      </w:pPr>
      <w:r>
        <w:rPr>
          <w:rFonts w:ascii="Calibri" w:hAnsi="Calibri"/>
          <w:b w:val="0"/>
          <w:i w:val="0"/>
          <w:sz w:val="22"/>
        </w:rPr>
        <w:t>Patentamiento motos</w:t>
        <w:tab/>
        <w:t>CIAM</w:t>
        <w:tab/>
        <w:t>Mensual</w:t>
        <w:tab/>
        <w:t>DNRNPA</w:t>
      </w:r>
    </w:p>
    <w:p>
      <w:pPr>
        <w:spacing w:after="120"/>
      </w:pPr>
      <w:r>
        <w:rPr>
          <w:rFonts w:ascii="Calibri" w:hAnsi="Calibri"/>
          <w:b w:val="0"/>
          <w:i w:val="0"/>
          <w:sz w:val="22"/>
        </w:rPr>
        <w:t>Créditos bancarios privados</w:t>
        <w:tab/>
        <w:t>BCRA – Informe sobre Bancos</w:t>
        <w:tab/>
        <w:t>Mensual / Semanal</w:t>
        <w:tab/>
        <w:t>IERAL / BCRA – Inf. Política Monetaria</w:t>
      </w:r>
    </w:p>
    <w:p>
      <w:pPr>
        <w:spacing w:after="120"/>
      </w:pPr>
      <w:r>
        <w:rPr>
          <w:rFonts w:ascii="Calibri" w:hAnsi="Calibri"/>
          <w:b w:val="0"/>
          <w:i w:val="0"/>
          <w:sz w:val="22"/>
        </w:rPr>
        <w:t>Estos cuatro indicadores en conjunto forman un monitor de ciclo económico de alta frecuencia: cemento y crédito anticipan inversión y consumo; patentamiento refleja confianza y capacidad de gasto durable; producción automotriz combina demanda interna con exportaciones. Usados de forma conjunta son un proxy robusto del humor económico que alimenta el cinturón de la vida cotidiana de Matus.</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23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