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Fichas</w:t>
      </w:r>
      <w:r>
        <w:t xml:space="preserve"> </w:t>
      </w:r>
      <w:r>
        <w:t xml:space="preserve">metodológicas</w:t>
      </w:r>
      <w:r>
        <w:t xml:space="preserve"> </w:t>
      </w:r>
      <w:r>
        <w:t xml:space="preserve">·</w:t>
      </w:r>
      <w:r>
        <w:t xml:space="preserve"> </w:t>
      </w:r>
      <w:r>
        <w:t xml:space="preserve">Cinturón</w:t>
      </w:r>
      <w:r>
        <w:t xml:space="preserve"> </w:t>
      </w:r>
      <w:r>
        <w:t xml:space="preserve">Vida</w:t>
      </w:r>
      <w:r>
        <w:t xml:space="preserve"> </w:t>
      </w:r>
      <w:r>
        <w:t xml:space="preserve">cotidiana</w:t>
      </w:r>
    </w:p>
    <w:p>
      <w:pPr>
        <w:pStyle w:val="Subtitle"/>
      </w:pPr>
      <w:r>
        <w:t xml:space="preserve">Informe</w:t>
      </w:r>
      <w:r>
        <w:t xml:space="preserve"> </w:t>
      </w:r>
      <w:r>
        <w:t xml:space="preserve">de</w:t>
      </w:r>
      <w:r>
        <w:t xml:space="preserve"> </w:t>
      </w:r>
      <w:r>
        <w:t xml:space="preserve">Coyuntura</w:t>
      </w:r>
      <w:r>
        <w:t xml:space="preserve"> </w:t>
      </w:r>
      <w:r>
        <w:t xml:space="preserve">·</w:t>
      </w:r>
      <w:r>
        <w:t xml:space="preserve"> </w:t>
      </w:r>
      <w:r>
        <w:t xml:space="preserve">Capa</w:t>
      </w:r>
      <w:r>
        <w:t xml:space="preserve"> </w:t>
      </w:r>
      <w:r>
        <w:t xml:space="preserve">de</w:t>
      </w:r>
      <w:r>
        <w:t xml:space="preserve"> </w:t>
      </w:r>
      <w:r>
        <w:t xml:space="preserve">semáforo</w:t>
      </w:r>
      <w:r>
        <w:t xml:space="preserve"> </w:t>
      </w:r>
      <w:r>
        <w:t xml:space="preserve">(4</w:t>
      </w:r>
      <w:r>
        <w:t xml:space="preserve"> </w:t>
      </w:r>
      <w:r>
        <w:t xml:space="preserve">colores)</w:t>
      </w:r>
    </w:p>
    <w:p>
      <w:pPr>
        <w:pStyle w:val="Author"/>
      </w:pPr>
      <w:r>
        <w:t xml:space="preserve">Fundación</w:t>
      </w:r>
      <w:r>
        <w:t xml:space="preserve"> </w:t>
      </w:r>
      <w:r>
        <w:t xml:space="preserve">CIGOB</w:t>
      </w:r>
    </w:p>
    <w:p>
      <w:pPr>
        <w:pStyle w:val="FirstParagraph"/>
      </w:pPr>
      <w:r>
        <w:rPr>
          <w:bCs/>
          <w:b/>
        </w:rPr>
        <w:t xml:space="preserve">CIGOB · INFORME DE COYUNTURA</w:t>
      </w:r>
    </w:p>
    <w:bookmarkStart w:id="23" w:name="cinturón-vida-cotidiana-resumen"/>
    <w:p>
      <w:pPr>
        <w:pStyle w:val="Heading1"/>
        <w:keepNext/>
      </w:pPr>
      <w:r>
        <w:t xml:space="preserve">Cinturón Vida cotidiana — resumen</w:t>
      </w:r>
    </w:p>
    <w:p>
      <w:pPr>
        <w:pStyle w:val="FirstParagraph"/>
      </w:pPr>
      <w:r>
        <w:t xml:space="preserve">Este documento tiene una ficha por indicador — son 16 en total, y cada una arranca en página nueva. Antes de las fichas, el cinturón completo de un vistazo.</w:t>
      </w:r>
    </w:p>
    <w:bookmarkStart w:id="20" w:name="itvc-el-índice-del-cinturón"/>
    <w:p>
      <w:pPr>
        <w:pStyle w:val="Heading2"/>
        <w:keepNext/>
      </w:pPr>
      <w:r>
        <w:t xml:space="preserve">ITVC — el índice del cinturón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ITVC: 90,3</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Deterioro moderado vs 4T-2023</w:t>
            </w:r>
          </w:p>
        </w:tc>
        <w:tc>
          <w:p>
            <w:pPr>
              <w:pStyle w:val="Compact"/>
              <w:jc w:val="left"/>
            </w:pPr>
            <w:r>
              <w:rPr>
                <w:sz w:val="18"/>
              </w:rPr>
              <w:t xml:space="preserve">16 indicadores: 5 en verde · 3 en amarillo · 4 en naranja · 4 en rojo</w:t>
            </w:r>
          </w:p>
        </w:tc>
      </w:tr>
    </w:tbl>
    <w:bookmarkEnd w:id="20"/>
    <w:bookmarkStart w:id="21" w:name="dimensiones"/>
    <w:p>
      <w:pPr>
        <w:pStyle w:val="Heading2"/>
        <w:keepNext/>
      </w:pPr>
      <w:r>
        <w:t xml:space="preserve">Dimensiones</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584"/>
        <w:gridCol w:w="1584"/>
        <w:gridCol w:w="1584"/>
        <w:gridCol w:w="1584"/>
        <w:gridCol w:w="1584"/>
      </w:tblGrid>
      <w:tr>
        <w:trPr>
          <w:cantSplit/>
          <w:tblHeader/>
        </w:trPr>
        <w:tc>
          <w:tcPr>
            <w:shd w:val="clear" w:color="auto" w:fill="1F3A34"/>
          </w:tcPr>
          <w:p>
            <w:pPr>
              <w:pStyle w:val="Compact"/>
              <w:jc w:val="left"/>
            </w:pPr>
            <w:r>
              <w:rPr>
                <w:b/>
                <w:sz w:val="18"/>
                <w:color w:val="FFFFFF"/>
              </w:rPr>
              <w:t xml:space="preserve">Dimensión</w:t>
            </w:r>
          </w:p>
        </w:tc>
        <w:tc>
          <w:tcPr>
            <w:shd w:val="clear" w:color="auto" w:fill="1F3A34"/>
          </w:tcPr>
          <w:p>
            <w:pPr>
              <w:pStyle w:val="Compact"/>
              <w:jc w:val="left"/>
            </w:pPr>
            <w:r>
              <w:rPr>
                <w:b/>
                <w:sz w:val="18"/>
                <w:color w:val="FFFFFF"/>
              </w:rPr>
              <w:t xml:space="preserve">Qué mide</w:t>
            </w:r>
          </w:p>
        </w:tc>
        <w:tc>
          <w:tcPr>
            <w:shd w:val="clear" w:color="auto" w:fill="1F3A34"/>
          </w:tcPr>
          <w:p>
            <w:pPr>
              <w:pStyle w:val="Compact"/>
              <w:jc w:val="left"/>
            </w:pPr>
            <w:r>
              <w:rPr>
                <w:b/>
                <w:sz w:val="18"/>
                <w:color w:val="FFFFFF"/>
              </w:rPr>
              <w:t xml:space="preserve">Índice</w:t>
            </w:r>
          </w:p>
        </w:tc>
        <w:tc>
          <w:tcPr>
            <w:shd w:val="clear" w:color="auto" w:fill="1F3A34"/>
          </w:tcPr>
          <w:p>
            <w:pPr>
              <w:pStyle w:val="Compact"/>
              <w:jc w:val="left"/>
            </w:pPr>
            <w:r>
              <w:rPr>
                <w:b/>
                <w:sz w:val="18"/>
                <w:color w:val="FFFFFF"/>
              </w:rPr>
              <w:t xml:space="preserve">Color</w:t>
            </w:r>
          </w:p>
        </w:tc>
        <w:tc>
          <w:tcPr>
            <w:shd w:val="clear" w:color="auto" w:fill="1F3A34"/>
          </w:tcPr>
          <w:p>
            <w:pPr>
              <w:pStyle w:val="Compact"/>
              <w:jc w:val="left"/>
            </w:pPr>
            <w:r>
              <w:rPr>
                <w:b/>
                <w:sz w:val="18"/>
                <w:color w:val="FFFFFF"/>
              </w:rPr>
              <w:t xml:space="preserve">Peso</w:t>
            </w:r>
          </w:p>
        </w:tc>
      </w:tr>
      <w:tr>
        <w:trPr>
          <w:cantSplit/>
        </w:trPr>
        <w:tc>
          <w:p>
            <w:pPr>
              <w:pStyle w:val="Compact"/>
              <w:jc w:val="left"/>
            </w:pPr>
            <w:r>
              <w:rPr>
                <w:sz w:val="18"/>
              </w:rPr>
              <w:t xml:space="preserve">Ingresos y consumo</w:t>
            </w:r>
          </w:p>
        </w:tc>
        <w:tc>
          <w:p>
            <w:pPr>
              <w:pStyle w:val="Compact"/>
              <w:jc w:val="left"/>
            </w:pPr>
            <w:r>
              <w:rPr>
                <w:sz w:val="18"/>
              </w:rPr>
              <w:t xml:space="preserve">Si el sueldo alcanza y qué compra.</w:t>
            </w:r>
          </w:p>
        </w:tc>
        <w:tc>
          <w:p>
            <w:pPr>
              <w:pStyle w:val="Compact"/>
              <w:jc w:val="left"/>
            </w:pPr>
            <w:r>
              <w:rPr>
                <w:sz w:val="18"/>
              </w:rPr>
              <w:t xml:space="preserve">110,5</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37,2 %</w:t>
            </w:r>
          </w:p>
        </w:tc>
      </w:tr>
      <w:tr>
        <w:trPr>
          <w:cantSplit/>
        </w:trPr>
        <w:tc>
          <w:tcPr>
            <w:shd w:val="clear" w:color="auto" w:fill="F6F8F7"/>
          </w:tcPr>
          <w:p>
            <w:pPr>
              <w:pStyle w:val="Compact"/>
              <w:jc w:val="left"/>
            </w:pPr>
            <w:r>
              <w:rPr>
                <w:sz w:val="18"/>
              </w:rPr>
              <w:t xml:space="preserve">Presión de precios</w:t>
            </w:r>
          </w:p>
        </w:tc>
        <w:tc>
          <w:tcPr>
            <w:shd w:val="clear" w:color="auto" w:fill="F6F8F7"/>
          </w:tcPr>
          <w:p>
            <w:pPr>
              <w:pStyle w:val="Compact"/>
              <w:jc w:val="left"/>
            </w:pPr>
            <w:r>
              <w:rPr>
                <w:sz w:val="18"/>
              </w:rPr>
              <w:t xml:space="preserve">Lo que más duele en la compra de todos los días: alimentos y tarifas, medidos contra los salarios (no contra la inflación general).</w:t>
            </w:r>
          </w:p>
        </w:tc>
        <w:tc>
          <w:tcPr>
            <w:shd w:val="clear" w:color="auto" w:fill="F6F8F7"/>
          </w:tcPr>
          <w:p>
            <w:pPr>
              <w:pStyle w:val="Compact"/>
              <w:jc w:val="left"/>
            </w:pPr>
            <w:r>
              <w:rPr>
                <w:sz w:val="18"/>
              </w:rPr>
              <w:t xml:space="preserve">82,7</w:t>
            </w:r>
          </w:p>
        </w:tc>
        <w:tc>
          <w:tcPr>
            <w:shd w:val="clear" w:color="auto" w:fill="FEE2E2"/>
          </w:tcPr>
          <w:p>
            <w:pPr>
              <w:pStyle w:val="Compact"/>
              <w:jc w:val="center"/>
            </w:pPr>
            <w:r>
              <w:rPr>
                <w:b/>
                <w:sz w:val="18"/>
                <w:color w:val="7F1D1D"/>
              </w:rPr>
              <w:t xml:space="preserve">ROJO</w:t>
            </w:r>
          </w:p>
        </w:tc>
        <w:tc>
          <w:tcPr>
            <w:shd w:val="clear" w:color="auto" w:fill="F6F8F7"/>
          </w:tcPr>
          <w:p>
            <w:pPr>
              <w:pStyle w:val="Compact"/>
              <w:jc w:val="left"/>
            </w:pPr>
            <w:r>
              <w:rPr>
                <w:sz w:val="18"/>
              </w:rPr>
              <w:t xml:space="preserve">25,0 %</w:t>
            </w:r>
          </w:p>
        </w:tc>
      </w:tr>
      <w:tr>
        <w:trPr>
          <w:cantSplit/>
        </w:trPr>
        <w:tc>
          <w:p>
            <w:pPr>
              <w:pStyle w:val="Compact"/>
              <w:jc w:val="left"/>
            </w:pPr>
            <w:r>
              <w:rPr>
                <w:sz w:val="18"/>
              </w:rPr>
              <w:t xml:space="preserve">Prospectivas de empleo</w:t>
            </w:r>
          </w:p>
        </w:tc>
        <w:tc>
          <w:p>
            <w:pPr>
              <w:pStyle w:val="Compact"/>
              <w:jc w:val="left"/>
            </w:pPr>
            <w:r>
              <w:rPr>
                <w:sz w:val="18"/>
              </w:rPr>
              <w:t xml:space="preserve">Las perspectivas de trabajo: mortalidad de pymes (empleadores), construcción (cemento, el sector más intensivo en mano de obra) y pluriempleo.</w:t>
            </w:r>
          </w:p>
        </w:tc>
        <w:tc>
          <w:p>
            <w:pPr>
              <w:pStyle w:val="Compact"/>
              <w:jc w:val="left"/>
            </w:pPr>
            <w:r>
              <w:rPr>
                <w:sz w:val="18"/>
              </w:rPr>
              <w:t xml:space="preserve">92,6</w:t>
            </w:r>
          </w:p>
        </w:tc>
        <w:tc>
          <w:tcPr>
            <w:shd w:val="clear" w:color="auto" w:fill="FFEDD5"/>
          </w:tcPr>
          <w:p>
            <w:pPr>
              <w:pStyle w:val="Compact"/>
              <w:jc w:val="center"/>
            </w:pPr>
            <w:r>
              <w:rPr>
                <w:b/>
                <w:sz w:val="18"/>
                <w:color w:val="7C2D12"/>
              </w:rPr>
              <w:t xml:space="preserve">NARANJA</w:t>
            </w:r>
          </w:p>
        </w:tc>
        <w:tc>
          <w:p>
            <w:pPr>
              <w:pStyle w:val="Compact"/>
              <w:jc w:val="left"/>
            </w:pPr>
            <w:r>
              <w:rPr>
                <w:sz w:val="18"/>
              </w:rPr>
              <w:t xml:space="preserve">15,0 %</w:t>
            </w:r>
          </w:p>
        </w:tc>
      </w:tr>
      <w:tr>
        <w:trPr>
          <w:cantSplit/>
        </w:trPr>
        <w:tc>
          <w:tcPr>
            <w:shd w:val="clear" w:color="auto" w:fill="F6F8F7"/>
          </w:tcPr>
          <w:p>
            <w:pPr>
              <w:pStyle w:val="Compact"/>
              <w:jc w:val="left"/>
            </w:pPr>
            <w:r>
              <w:rPr>
                <w:sz w:val="18"/>
              </w:rPr>
              <w:t xml:space="preserve">Vulnerabilidad financiera</w:t>
            </w:r>
          </w:p>
        </w:tc>
        <w:tc>
          <w:tcPr>
            <w:shd w:val="clear" w:color="auto" w:fill="F6F8F7"/>
          </w:tcPr>
          <w:p>
            <w:pPr>
              <w:pStyle w:val="Compact"/>
              <w:jc w:val="left"/>
            </w:pPr>
            <w:r>
              <w:rPr>
                <w:sz w:val="18"/>
              </w:rPr>
              <w:t xml:space="preserve">Cuán expuestas están las familias por su deuda de consumo, en dos señales.</w:t>
            </w:r>
          </w:p>
        </w:tc>
        <w:tc>
          <w:tcPr>
            <w:shd w:val="clear" w:color="auto" w:fill="F6F8F7"/>
          </w:tcPr>
          <w:p>
            <w:pPr>
              <w:pStyle w:val="Compact"/>
              <w:jc w:val="left"/>
            </w:pPr>
            <w:r>
              <w:rPr>
                <w:sz w:val="18"/>
              </w:rPr>
              <w:t xml:space="preserve">17,2</w:t>
            </w:r>
          </w:p>
        </w:tc>
        <w:tc>
          <w:tcPr>
            <w:shd w:val="clear" w:color="auto" w:fill="FEE2E2"/>
          </w:tcPr>
          <w:p>
            <w:pPr>
              <w:pStyle w:val="Compact"/>
              <w:jc w:val="center"/>
            </w:pPr>
            <w:r>
              <w:rPr>
                <w:b/>
                <w:sz w:val="18"/>
                <w:color w:val="7F1D1D"/>
              </w:rPr>
              <w:t xml:space="preserve">ROJO</w:t>
            </w:r>
          </w:p>
        </w:tc>
        <w:tc>
          <w:tcPr>
            <w:shd w:val="clear" w:color="auto" w:fill="F6F8F7"/>
          </w:tcPr>
          <w:p>
            <w:pPr>
              <w:pStyle w:val="Compact"/>
              <w:jc w:val="left"/>
            </w:pPr>
            <w:r>
              <w:rPr>
                <w:sz w:val="18"/>
              </w:rPr>
              <w:t xml:space="preserve">10,0 %</w:t>
            </w:r>
          </w:p>
        </w:tc>
      </w:tr>
      <w:tr>
        <w:trPr>
          <w:cantSplit/>
        </w:trPr>
        <w:tc>
          <w:p>
            <w:pPr>
              <w:pStyle w:val="Compact"/>
              <w:jc w:val="left"/>
            </w:pPr>
            <w:r>
              <w:rPr>
                <w:sz w:val="18"/>
              </w:rPr>
              <w:t xml:space="preserve">Confianza y percepción</w:t>
            </w:r>
          </w:p>
        </w:tc>
        <w:tc>
          <w:p>
            <w:pPr>
              <w:pStyle w:val="Compact"/>
              <w:jc w:val="left"/>
            </w:pPr>
            <w:r>
              <w:rPr>
                <w:sz w:val="18"/>
              </w:rPr>
              <w:t xml:space="preserve">El ánimo con que se vive el momento, medido de dos maneras.</w:t>
            </w:r>
          </w:p>
        </w:tc>
        <w:tc>
          <w:p>
            <w:pPr>
              <w:pStyle w:val="Compact"/>
              <w:jc w:val="left"/>
            </w:pPr>
            <w:r>
              <w:rPr>
                <w:sz w:val="18"/>
              </w:rPr>
              <w:t xml:space="preserve">99,8</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8,2 %</w:t>
            </w:r>
          </w:p>
        </w:tc>
      </w:tr>
      <w:tr>
        <w:trPr>
          <w:cantSplit/>
        </w:trPr>
        <w:tc>
          <w:tcPr>
            <w:shd w:val="clear" w:color="auto" w:fill="F6F8F7"/>
          </w:tcPr>
          <w:p>
            <w:pPr>
              <w:pStyle w:val="Compact"/>
              <w:jc w:val="left"/>
            </w:pPr>
            <w:r>
              <w:rPr>
                <w:sz w:val="18"/>
              </w:rPr>
              <w:t xml:space="preserve">Seguridad</w:t>
            </w:r>
          </w:p>
        </w:tc>
        <w:tc>
          <w:tcPr>
            <w:shd w:val="clear" w:color="auto" w:fill="F6F8F7"/>
          </w:tcPr>
          <w:p>
            <w:pPr>
              <w:pStyle w:val="Compact"/>
              <w:jc w:val="left"/>
            </w:pPr>
            <w:r>
              <w:rPr>
                <w:sz w:val="18"/>
              </w:rPr>
              <w:t xml:space="preserve">Qué proporción de los hogares fue víctima de un delito.</w:t>
            </w:r>
          </w:p>
        </w:tc>
        <w:tc>
          <w:tcPr>
            <w:shd w:val="clear" w:color="auto" w:fill="F6F8F7"/>
          </w:tcPr>
          <w:p>
            <w:pPr>
              <w:pStyle w:val="Compact"/>
              <w:jc w:val="left"/>
            </w:pPr>
            <w:r>
              <w:rPr>
                <w:sz w:val="18"/>
              </w:rPr>
              <w:t xml:space="preserve">102,1</w:t>
            </w:r>
          </w:p>
        </w:tc>
        <w:tc>
          <w:tcPr>
            <w:shd w:val="clear" w:color="auto" w:fill="FEF3C7"/>
          </w:tcPr>
          <w:p>
            <w:pPr>
              <w:pStyle w:val="Compact"/>
              <w:jc w:val="center"/>
            </w:pPr>
            <w:r>
              <w:rPr>
                <w:b/>
                <w:sz w:val="18"/>
                <w:color w:val="713F12"/>
              </w:rPr>
              <w:t xml:space="preserve">AMARILLO</w:t>
            </w:r>
          </w:p>
        </w:tc>
        <w:tc>
          <w:tcPr>
            <w:shd w:val="clear" w:color="auto" w:fill="F6F8F7"/>
          </w:tcPr>
          <w:p>
            <w:pPr>
              <w:pStyle w:val="Compact"/>
              <w:jc w:val="left"/>
            </w:pPr>
            <w:r>
              <w:rPr>
                <w:sz w:val="18"/>
              </w:rPr>
              <w:t xml:space="preserve">4,5 %</w:t>
            </w:r>
          </w:p>
        </w:tc>
      </w:tr>
    </w:tbl>
    <w:p>
      <w:r>
        <w:br w:type="page"/>
      </w:r>
    </w:p>
    <w:p>
      <w:pPr>
        <w:pStyle w:val="BodyText"/>
      </w:pPr>
      <w:r>
        <w:rPr>
          <w:bCs/>
          <w:b/>
        </w:rPr>
        <w:t xml:space="preserve">CIGOB · INFORME DE COYUNTURA</w:t>
      </w:r>
    </w:p>
    <w:bookmarkEnd w:id="21"/>
    <w:bookmarkStart w:id="22" w:name="todos-los-indicadores"/>
    <w:p>
      <w:pPr>
        <w:pStyle w:val="Heading2"/>
        <w:keepNext/>
      </w:pPr>
      <w:r>
        <w:t xml:space="preserve">Todos los indicadores</w:t>
      </w:r>
    </w:p>
    <w:p>
      <w:pPr>
        <w:pStyle w:val="FirstParagraph"/>
      </w:pPr>
      <w:r>
        <w:t xml:space="preserve">Agrupados por dimensión. La columna de peso dice cuánto mueve cada indicador el índice del cinturón; el color es el del semáforo de este mes.</w:t>
      </w:r>
    </w:p>
    <w:tbl>
      <w:tblPr>
        <w:tblStyle w:val="Table"/>
        <w:tblW w:type="pct" w:w="500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584"/>
        <w:gridCol w:w="1584"/>
        <w:gridCol w:w="1584"/>
        <w:gridCol w:w="1584"/>
        <w:gridCol w:w="1584"/>
      </w:tblGrid>
      <w:tr>
        <w:trPr>
          <w:cantSplit/>
          <w:tblHeader/>
        </w:trPr>
        <w:tc>
          <w:tcPr>
            <w:shd w:val="clear" w:color="auto" w:fill="1F3A34"/>
          </w:tcPr>
          <w:p>
            <w:pPr>
              <w:pStyle w:val="Compact"/>
              <w:jc w:val="left"/>
            </w:pPr>
            <w:r>
              <w:rPr>
                <w:b/>
                <w:sz w:val="18"/>
                <w:color w:val="FFFFFF"/>
              </w:rPr>
              <w:t xml:space="preserve">Indicador</w:t>
            </w:r>
          </w:p>
        </w:tc>
        <w:tc>
          <w:tcPr>
            <w:shd w:val="clear" w:color="auto" w:fill="1F3A34"/>
          </w:tcPr>
          <w:p>
            <w:pPr>
              <w:pStyle w:val="Compact"/>
              <w:jc w:val="left"/>
            </w:pPr>
            <w:r>
              <w:rPr>
                <w:b/>
                <w:sz w:val="18"/>
                <w:color w:val="FFFFFF"/>
              </w:rPr>
              <w:t xml:space="preserve">Qué mide</w:t>
            </w:r>
          </w:p>
        </w:tc>
        <w:tc>
          <w:tcPr>
            <w:shd w:val="clear" w:color="auto" w:fill="1F3A34"/>
          </w:tcPr>
          <w:p>
            <w:pPr>
              <w:pStyle w:val="Compact"/>
              <w:jc w:val="left"/>
            </w:pPr>
            <w:r>
              <w:rPr>
                <w:b/>
                <w:sz w:val="18"/>
                <w:color w:val="FFFFFF"/>
              </w:rPr>
              <w:t xml:space="preserve">Hoy</w:t>
            </w:r>
          </w:p>
        </w:tc>
        <w:tc>
          <w:tcPr>
            <w:shd w:val="clear" w:color="auto" w:fill="1F3A34"/>
          </w:tcPr>
          <w:p>
            <w:pPr>
              <w:pStyle w:val="Compact"/>
              <w:jc w:val="left"/>
            </w:pPr>
            <w:r>
              <w:rPr>
                <w:b/>
                <w:sz w:val="18"/>
                <w:color w:val="FFFFFF"/>
              </w:rPr>
              <w:t xml:space="preserve">Color</w:t>
            </w:r>
          </w:p>
        </w:tc>
        <w:tc>
          <w:tcPr>
            <w:shd w:val="clear" w:color="auto" w:fill="1F3A34"/>
          </w:tcPr>
          <w:p>
            <w:pPr>
              <w:pStyle w:val="Compact"/>
              <w:jc w:val="left"/>
            </w:pPr>
            <w:r>
              <w:rPr>
                <w:b/>
                <w:sz w:val="18"/>
                <w:color w:val="FFFFFF"/>
              </w:rPr>
              <w:t xml:space="preserve">Peso en el ITVC</w:t>
            </w:r>
          </w:p>
        </w:tc>
      </w:tr>
      <w:tr>
        <w:trPr>
          <w:cantSplit/>
        </w:trPr>
        <w:tc>
          <w:tcPr>
            <w:gridSpan w:val="5"/>
            <w:shd w:val="clear" w:color="auto" w:fill="E8EDEB"/>
          </w:tcPr>
          <w:p>
            <w:pPr>
              <w:pStyle w:val="Compact"/>
              <w:jc w:val="left"/>
              <w:keepNext/>
            </w:pPr>
            <w:r>
              <w:rPr>
                <w:b/>
                <w:sz w:val="18"/>
              </w:rPr>
              <w:t>Ingresos y consumo</w:t>
            </w:r>
          </w:p>
        </w:tc>
      </w:tr>
      <w:tr>
        <w:trPr>
          <w:cantSplit/>
        </w:trPr>
        <w:tc>
          <w:tcPr>
            <w:shd w:val="clear" w:color="auto" w:fill="F6F8F7"/>
          </w:tcPr>
          <w:p>
            <w:pPr>
              <w:pStyle w:val="Compact"/>
              <w:jc w:val="left"/>
            </w:pPr>
            <w:r>
              <w:rPr>
                <w:sz w:val="18"/>
              </w:rPr>
              <w:t xml:space="preserve">Salario real vs. canasta</w:t>
            </w:r>
          </w:p>
        </w:tc>
        <w:tc>
          <w:tcPr>
            <w:shd w:val="clear" w:color="auto" w:fill="F6F8F7"/>
          </w:tcPr>
          <w:p>
            <w:pPr>
              <w:pStyle w:val="Compact"/>
              <w:jc w:val="left"/>
            </w:pPr>
            <w:r>
              <w:rPr>
                <w:sz w:val="18"/>
              </w:rPr>
              <w:t xml:space="preserve">Cuántas canastas básicas totales alcanza a cubrir el salario formal promedio.</w:t>
            </w:r>
          </w:p>
        </w:tc>
        <w:tc>
          <w:tcPr>
            <w:shd w:val="clear" w:color="auto" w:fill="F6F8F7"/>
          </w:tcPr>
          <w:p>
            <w:pPr>
              <w:pStyle w:val="Compact"/>
              <w:jc w:val="left"/>
            </w:pPr>
            <w:r>
              <w:rPr>
                <w:sz w:val="18"/>
              </w:rPr>
              <w:t xml:space="preserve">3,81 canastas (RIPTE/CBT)</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17,1 %</w:t>
            </w:r>
          </w:p>
        </w:tc>
      </w:tr>
      <w:tr>
        <w:trPr>
          <w:cantSplit/>
        </w:trPr>
        <w:tc>
          <w:p>
            <w:pPr>
              <w:pStyle w:val="Compact"/>
              <w:jc w:val="left"/>
            </w:pPr>
            <w:r>
              <w:rPr>
                <w:sz w:val="18"/>
              </w:rPr>
              <w:t xml:space="preserve">Consumo de carne per cápita</w:t>
            </w:r>
          </w:p>
        </w:tc>
        <w:tc>
          <w:p>
            <w:pPr>
              <w:pStyle w:val="Compact"/>
              <w:jc w:val="left"/>
            </w:pPr>
            <w:r>
              <w:rPr>
                <w:sz w:val="18"/>
              </w:rPr>
              <w:t xml:space="preserve">Cuántos kilos de carne vacuna consume por año cada habitante.</w:t>
            </w:r>
          </w:p>
        </w:tc>
        <w:tc>
          <w:p>
            <w:pPr>
              <w:pStyle w:val="Compact"/>
              <w:jc w:val="left"/>
            </w:pPr>
            <w:r>
              <w:rPr>
                <w:sz w:val="18"/>
              </w:rPr>
              <w:t xml:space="preserve">47,5 kg/hab/año</w:t>
            </w:r>
          </w:p>
        </w:tc>
        <w:tc>
          <w:tcPr>
            <w:shd w:val="clear" w:color="auto" w:fill="FFEDD5"/>
          </w:tcPr>
          <w:p>
            <w:pPr>
              <w:pStyle w:val="Compact"/>
              <w:jc w:val="center"/>
            </w:pPr>
            <w:r>
              <w:rPr>
                <w:b/>
                <w:sz w:val="18"/>
                <w:color w:val="7C2D12"/>
              </w:rPr>
              <w:t xml:space="preserve">NARANJA</w:t>
            </w:r>
          </w:p>
        </w:tc>
        <w:tc>
          <w:p>
            <w:pPr>
              <w:pStyle w:val="Compact"/>
              <w:jc w:val="left"/>
            </w:pPr>
            <w:r>
              <w:rPr>
                <w:sz w:val="18"/>
              </w:rPr>
              <w:t xml:space="preserve">1,1 %</w:t>
            </w:r>
          </w:p>
        </w:tc>
      </w:tr>
      <w:tr>
        <w:trPr>
          <w:cantSplit/>
        </w:trPr>
        <w:tc>
          <w:tcPr>
            <w:shd w:val="clear" w:color="auto" w:fill="F6F8F7"/>
          </w:tcPr>
          <w:p>
            <w:pPr>
              <w:pStyle w:val="Compact"/>
              <w:jc w:val="left"/>
            </w:pPr>
            <w:r>
              <w:rPr>
                <w:sz w:val="18"/>
              </w:rPr>
              <w:t xml:space="preserve">Informalidad laboral</w:t>
            </w:r>
          </w:p>
        </w:tc>
        <w:tc>
          <w:tcPr>
            <w:shd w:val="clear" w:color="auto" w:fill="F6F8F7"/>
          </w:tcPr>
          <w:p>
            <w:pPr>
              <w:pStyle w:val="Compact"/>
              <w:jc w:val="left"/>
            </w:pPr>
            <w:r>
              <w:rPr>
                <w:sz w:val="18"/>
              </w:rPr>
              <w:t xml:space="preserve">Qué porcentaje de los asalariados trabaja sin aportes jubilatorios (empleo en negro), según la EPH trimestral del INDEC.</w:t>
            </w:r>
          </w:p>
        </w:tc>
        <w:tc>
          <w:tcPr>
            <w:shd w:val="clear" w:color="auto" w:fill="F6F8F7"/>
          </w:tcPr>
          <w:p>
            <w:pPr>
              <w:pStyle w:val="Compact"/>
              <w:jc w:val="left"/>
            </w:pPr>
            <w:r>
              <w:rPr>
                <w:sz w:val="18"/>
              </w:rPr>
              <w:t xml:space="preserve">37,9 %</w:t>
            </w:r>
          </w:p>
        </w:tc>
        <w:tc>
          <w:tcPr>
            <w:shd w:val="clear" w:color="auto" w:fill="FFEDD5"/>
          </w:tcPr>
          <w:p>
            <w:pPr>
              <w:pStyle w:val="Compact"/>
              <w:jc w:val="center"/>
            </w:pPr>
            <w:r>
              <w:rPr>
                <w:b/>
                <w:sz w:val="18"/>
                <w:color w:val="7C2D12"/>
              </w:rPr>
              <w:t xml:space="preserve">NARANJA</w:t>
            </w:r>
          </w:p>
        </w:tc>
        <w:tc>
          <w:tcPr>
            <w:shd w:val="clear" w:color="auto" w:fill="F6F8F7"/>
          </w:tcPr>
          <w:p>
            <w:pPr>
              <w:pStyle w:val="Compact"/>
              <w:jc w:val="left"/>
            </w:pPr>
            <w:r>
              <w:rPr>
                <w:sz w:val="18"/>
              </w:rPr>
              <w:t xml:space="preserve">9,2 %</w:t>
            </w:r>
          </w:p>
        </w:tc>
      </w:tr>
      <w:tr>
        <w:trPr>
          <w:cantSplit/>
        </w:trPr>
        <w:tc>
          <w:p>
            <w:pPr>
              <w:pStyle w:val="Compact"/>
              <w:jc w:val="left"/>
            </w:pPr>
            <w:r>
              <w:rPr>
                <w:sz w:val="18"/>
              </w:rPr>
              <w:t xml:space="preserve">Pobreza (estimación mensual)</w:t>
            </w:r>
          </w:p>
        </w:tc>
        <w:tc>
          <w:p>
            <w:pPr>
              <w:pStyle w:val="Compact"/>
              <w:jc w:val="left"/>
            </w:pPr>
            <w:r>
              <w:rPr>
                <w:sz w:val="18"/>
              </w:rPr>
              <w:t xml:space="preserve">El porcentaje de personas que viven en hogares urbanos pobres, estimado para el semestre móvil que termina en el mes…</w:t>
            </w:r>
          </w:p>
        </w:tc>
        <w:tc>
          <w:p>
            <w:pPr>
              <w:pStyle w:val="Compact"/>
              <w:jc w:val="left"/>
            </w:pPr>
            <w:r>
              <w:rPr>
                <w:sz w:val="18"/>
              </w:rPr>
              <w:t xml:space="preserve">31,6 % de personas</w:t>
            </w:r>
          </w:p>
        </w:tc>
        <w:tc>
          <w:tcPr>
            <w:shd w:val="clear" w:color="auto" w:fill="DCFCE7"/>
          </w:tcPr>
          <w:p>
            <w:pPr>
              <w:pStyle w:val="Compact"/>
              <w:jc w:val="center"/>
            </w:pPr>
            <w:r>
              <w:rPr>
                <w:b/>
                <w:sz w:val="18"/>
                <w:color w:val="14532D"/>
              </w:rPr>
              <w:t xml:space="preserve">VERDE</w:t>
            </w:r>
          </w:p>
        </w:tc>
        <w:tc>
          <w:p>
            <w:pPr>
              <w:pStyle w:val="Compact"/>
              <w:jc w:val="left"/>
            </w:pPr>
            <w:r>
              <w:rPr>
                <w:sz w:val="18"/>
              </w:rPr>
              <w:t xml:space="preserve">9,3 %</w:t>
            </w:r>
          </w:p>
        </w:tc>
      </w:tr>
      <w:tr>
        <w:trPr>
          <w:cantSplit/>
        </w:trPr>
        <w:tc>
          <w:tcPr>
            <w:shd w:val="clear" w:color="auto" w:fill="F6F8F7"/>
          </w:tcPr>
          <w:p>
            <w:pPr>
              <w:pStyle w:val="Compact"/>
              <w:jc w:val="left"/>
            </w:pPr>
            <w:r>
              <w:rPr>
                <w:sz w:val="18"/>
              </w:rPr>
              <w:t xml:space="preserve">Patentamiento de motos</w:t>
            </w:r>
          </w:p>
        </w:tc>
        <w:tc>
          <w:tcPr>
            <w:shd w:val="clear" w:color="auto" w:fill="F6F8F7"/>
          </w:tcPr>
          <w:p>
            <w:pPr>
              <w:pStyle w:val="Compact"/>
              <w:jc w:val="left"/>
            </w:pPr>
            <w:r>
              <w:rPr>
                <w:sz w:val="18"/>
              </w:rPr>
              <w:t xml:space="preserve">Cuántas motos se patentan en el mes.</w:t>
            </w:r>
          </w:p>
        </w:tc>
        <w:tc>
          <w:tcPr>
            <w:shd w:val="clear" w:color="auto" w:fill="F6F8F7"/>
          </w:tcPr>
          <w:p>
            <w:pPr>
              <w:pStyle w:val="Compact"/>
              <w:jc w:val="left"/>
            </w:pPr>
            <w:r>
              <w:rPr>
                <w:sz w:val="18"/>
              </w:rPr>
              <w:t xml:space="preserve">72.533 unidades</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0,6 %</w:t>
            </w:r>
          </w:p>
        </w:tc>
      </w:tr>
      <w:tr>
        <w:trPr>
          <w:cantSplit/>
        </w:trPr>
        <w:tc>
          <w:tcPr>
            <w:gridSpan w:val="5"/>
            <w:shd w:val="clear" w:color="auto" w:fill="E8EDEB"/>
          </w:tcPr>
          <w:p>
            <w:pPr>
              <w:pStyle w:val="Compact"/>
              <w:jc w:val="left"/>
              <w:keepNext/>
            </w:pPr>
            <w:r>
              <w:rPr>
                <w:b/>
                <w:sz w:val="18"/>
              </w:rPr>
              <w:t>Presión de precios</w:t>
            </w:r>
          </w:p>
        </w:tc>
      </w:tr>
      <w:tr>
        <w:trPr>
          <w:cantSplit/>
        </w:trPr>
        <w:tc>
          <w:tcPr>
            <w:shd w:val="clear" w:color="auto" w:fill="F6F8F7"/>
          </w:tcPr>
          <w:p>
            <w:pPr>
              <w:pStyle w:val="Compact"/>
              <w:jc w:val="left"/>
            </w:pPr>
            <w:r>
              <w:rPr>
                <w:sz w:val="18"/>
              </w:rPr>
              <w:t xml:space="preserve">Inflación de alimentos</w:t>
            </w:r>
          </w:p>
        </w:tc>
        <w:tc>
          <w:tcPr>
            <w:shd w:val="clear" w:color="auto" w:fill="F6F8F7"/>
          </w:tcPr>
          <w:p>
            <w:pPr>
              <w:pStyle w:val="Compact"/>
              <w:jc w:val="left"/>
            </w:pPr>
            <w:r>
              <w:rPr>
                <w:sz w:val="18"/>
              </w:rPr>
              <w:t xml:space="preserve">Cuánto suben en el mes los precios de alimentos y bebidas.</w:t>
            </w:r>
          </w:p>
        </w:tc>
        <w:tc>
          <w:tcPr>
            <w:shd w:val="clear" w:color="auto" w:fill="F6F8F7"/>
          </w:tcPr>
          <w:p>
            <w:pPr>
              <w:pStyle w:val="Compact"/>
              <w:jc w:val="left"/>
            </w:pPr>
            <w:r>
              <w:rPr>
                <w:sz w:val="18"/>
              </w:rPr>
              <w:t xml:space="preserve">1,3 % m/m</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8,8 %</w:t>
            </w:r>
          </w:p>
        </w:tc>
      </w:tr>
      <w:tr>
        <w:trPr>
          <w:cantSplit/>
        </w:trPr>
        <w:tc>
          <w:p>
            <w:pPr>
              <w:pStyle w:val="Compact"/>
              <w:jc w:val="left"/>
            </w:pPr>
            <w:r>
              <w:rPr>
                <w:sz w:val="18"/>
              </w:rPr>
              <w:t xml:space="preserve">Peso de tarifas (regulados)</w:t>
            </w:r>
          </w:p>
        </w:tc>
        <w:tc>
          <w:p>
            <w:pPr>
              <w:pStyle w:val="Compact"/>
              <w:jc w:val="left"/>
            </w:pPr>
            <w:r>
              <w:rPr>
                <w:sz w:val="18"/>
              </w:rPr>
              <w:t xml:space="preserve">Cuánto suben en el mes los precios regulados: luz, gas, agua y transporte.</w:t>
            </w:r>
          </w:p>
        </w:tc>
        <w:tc>
          <w:p>
            <w:pPr>
              <w:pStyle w:val="Compact"/>
              <w:jc w:val="left"/>
            </w:pPr>
            <w:r>
              <w:rPr>
                <w:sz w:val="18"/>
              </w:rPr>
              <w:t xml:space="preserve">2,3 % m/m regulados</w:t>
            </w:r>
          </w:p>
        </w:tc>
        <w:tc>
          <w:tcPr>
            <w:shd w:val="clear" w:color="auto" w:fill="FEE2E2"/>
          </w:tcPr>
          <w:p>
            <w:pPr>
              <w:pStyle w:val="Compact"/>
              <w:jc w:val="center"/>
            </w:pPr>
            <w:r>
              <w:rPr>
                <w:b/>
                <w:sz w:val="18"/>
                <w:color w:val="7F1D1D"/>
              </w:rPr>
              <w:t xml:space="preserve">ROJO</w:t>
            </w:r>
          </w:p>
        </w:tc>
        <w:tc>
          <w:p>
            <w:pPr>
              <w:pStyle w:val="Compact"/>
              <w:jc w:val="left"/>
            </w:pPr>
            <w:r>
              <w:rPr>
                <w:sz w:val="18"/>
              </w:rPr>
              <w:t xml:space="preserve">11,2 %</w:t>
            </w:r>
          </w:p>
        </w:tc>
      </w:tr>
      <w:tr>
        <w:trPr>
          <w:cantSplit/>
        </w:trPr>
        <w:tc>
          <w:tcPr>
            <w:shd w:val="clear" w:color="auto" w:fill="F6F8F7"/>
          </w:tcPr>
          <w:p>
            <w:pPr>
              <w:pStyle w:val="Compact"/>
              <w:jc w:val="left"/>
            </w:pPr>
            <w:r>
              <w:rPr>
                <w:sz w:val="18"/>
              </w:rPr>
              <w:t xml:space="preserve">Costo real del alquiler</w:t>
            </w:r>
          </w:p>
        </w:tc>
        <w:tc>
          <w:tcPr>
            <w:shd w:val="clear" w:color="auto" w:fill="F6F8F7"/>
          </w:tcPr>
          <w:p>
            <w:pPr>
              <w:pStyle w:val="Compact"/>
              <w:jc w:val="left"/>
            </w:pPr>
            <w:r>
              <w:rPr>
                <w:sz w:val="18"/>
              </w:rPr>
              <w:t xml:space="preserve">Cuánto se encareció el alquiler de la vivienda por encima del resto de los precios.</w:t>
            </w:r>
          </w:p>
        </w:tc>
        <w:tc>
          <w:tcPr>
            <w:shd w:val="clear" w:color="auto" w:fill="F6F8F7"/>
          </w:tcPr>
          <w:p>
            <w:pPr>
              <w:pStyle w:val="Compact"/>
              <w:jc w:val="left"/>
            </w:pPr>
            <w:r>
              <w:rPr>
                <w:sz w:val="18"/>
              </w:rPr>
              <w:t xml:space="preserve">3,87 % m/m alquileres</w:t>
            </w:r>
          </w:p>
        </w:tc>
        <w:tc>
          <w:tcPr>
            <w:shd w:val="clear" w:color="auto" w:fill="FEE2E2"/>
          </w:tcPr>
          <w:p>
            <w:pPr>
              <w:pStyle w:val="Compact"/>
              <w:jc w:val="center"/>
            </w:pPr>
            <w:r>
              <w:rPr>
                <w:b/>
                <w:sz w:val="18"/>
                <w:color w:val="7F1D1D"/>
              </w:rPr>
              <w:t xml:space="preserve">ROJO</w:t>
            </w:r>
          </w:p>
        </w:tc>
        <w:tc>
          <w:tcPr>
            <w:shd w:val="clear" w:color="auto" w:fill="F6F8F7"/>
          </w:tcPr>
          <w:p>
            <w:pPr>
              <w:pStyle w:val="Compact"/>
              <w:jc w:val="left"/>
            </w:pPr>
            <w:r>
              <w:rPr>
                <w:sz w:val="18"/>
              </w:rPr>
              <w:t xml:space="preserve">5,0 %</w:t>
            </w:r>
          </w:p>
        </w:tc>
      </w:tr>
      <w:tr>
        <w:trPr>
          <w:cantSplit/>
        </w:trPr>
        <w:tc>
          <w:tcPr>
            <w:gridSpan w:val="5"/>
            <w:shd w:val="clear" w:color="auto" w:fill="E8EDEB"/>
          </w:tcPr>
          <w:p>
            <w:pPr>
              <w:pStyle w:val="Compact"/>
              <w:jc w:val="left"/>
              <w:keepNext/>
            </w:pPr>
            <w:r>
              <w:rPr>
                <w:b/>
                <w:sz w:val="18"/>
              </w:rPr>
              <w:t>Prospectivas de empleo</w:t>
            </w:r>
          </w:p>
        </w:tc>
      </w:tr>
      <w:tr>
        <w:trPr>
          <w:cantSplit/>
        </w:trPr>
        <w:tc>
          <w:tcPr>
            <w:shd w:val="clear" w:color="auto" w:fill="F6F8F7"/>
          </w:tcPr>
          <w:p>
            <w:pPr>
              <w:pStyle w:val="Compact"/>
              <w:jc w:val="left"/>
            </w:pPr>
            <w:r>
              <w:rPr>
                <w:sz w:val="18"/>
              </w:rPr>
              <w:t xml:space="preserve">Actividad industrial (IPI)</w:t>
            </w:r>
          </w:p>
        </w:tc>
        <w:tc>
          <w:tcPr>
            <w:shd w:val="clear" w:color="auto" w:fill="F6F8F7"/>
          </w:tcPr>
          <w:p>
            <w:pPr>
              <w:pStyle w:val="Compact"/>
              <w:jc w:val="left"/>
            </w:pPr>
            <w:r>
              <w:rPr>
                <w:sz w:val="18"/>
              </w:rPr>
              <w:t xml:space="preserve">La salud del entramado productivo y del empleo PyME, aproximada por la actividad industrial manufacturera.</w:t>
            </w:r>
          </w:p>
        </w:tc>
        <w:tc>
          <w:tcPr>
            <w:shd w:val="clear" w:color="auto" w:fill="F6F8F7"/>
          </w:tcPr>
          <w:p>
            <w:pPr>
              <w:pStyle w:val="Compact"/>
              <w:jc w:val="left"/>
            </w:pPr>
            <w:r>
              <w:rPr>
                <w:sz w:val="18"/>
              </w:rPr>
              <w:t xml:space="preserve">0,94 % m/m (IPI desest.)</w:t>
            </w:r>
          </w:p>
        </w:tc>
        <w:tc>
          <w:tcPr>
            <w:shd w:val="clear" w:color="auto" w:fill="FEF3C7"/>
          </w:tcPr>
          <w:p>
            <w:pPr>
              <w:pStyle w:val="Compact"/>
              <w:jc w:val="center"/>
            </w:pPr>
            <w:r>
              <w:rPr>
                <w:b/>
                <w:sz w:val="18"/>
                <w:color w:val="713F12"/>
              </w:rPr>
              <w:t xml:space="preserve">AMARILLO</w:t>
            </w:r>
          </w:p>
        </w:tc>
        <w:tc>
          <w:tcPr>
            <w:shd w:val="clear" w:color="auto" w:fill="F6F8F7"/>
          </w:tcPr>
          <w:p>
            <w:pPr>
              <w:pStyle w:val="Compact"/>
              <w:jc w:val="left"/>
            </w:pPr>
            <w:r>
              <w:rPr>
                <w:sz w:val="18"/>
              </w:rPr>
              <w:t xml:space="preserve">4,0 %</w:t>
            </w:r>
          </w:p>
        </w:tc>
      </w:tr>
      <w:tr>
        <w:trPr>
          <w:cantSplit/>
        </w:trPr>
        <w:tc>
          <w:p>
            <w:pPr>
              <w:pStyle w:val="Compact"/>
              <w:jc w:val="left"/>
            </w:pPr>
            <w:r>
              <w:rPr>
                <w:sz w:val="18"/>
              </w:rPr>
              <w:t xml:space="preserve">Construcción (ISAC)</w:t>
            </w:r>
          </w:p>
        </w:tc>
        <w:tc>
          <w:p>
            <w:pPr>
              <w:pStyle w:val="Compact"/>
              <w:jc w:val="left"/>
            </w:pPr>
            <w:r>
              <w:rPr>
                <w:sz w:val="18"/>
              </w:rPr>
              <w:t xml:space="preserve">El nivel de actividad de la construcción, gran motor de empleo de baja calificación.</w:t>
            </w:r>
          </w:p>
        </w:tc>
        <w:tc>
          <w:p>
            <w:pPr>
              <w:pStyle w:val="Compact"/>
              <w:jc w:val="left"/>
            </w:pPr>
            <w:r>
              <w:rPr>
                <w:sz w:val="18"/>
              </w:rPr>
              <w:t xml:space="preserve">148,1 índice ISAC</w:t>
            </w:r>
          </w:p>
        </w:tc>
        <w:tc>
          <w:tcPr>
            <w:shd w:val="clear" w:color="auto" w:fill="FEE2E2"/>
          </w:tcPr>
          <w:p>
            <w:pPr>
              <w:pStyle w:val="Compact"/>
              <w:jc w:val="center"/>
            </w:pPr>
            <w:r>
              <w:rPr>
                <w:b/>
                <w:sz w:val="18"/>
                <w:color w:val="7F1D1D"/>
              </w:rPr>
              <w:t xml:space="preserve">ROJO</w:t>
            </w:r>
          </w:p>
        </w:tc>
        <w:tc>
          <w:p>
            <w:pPr>
              <w:pStyle w:val="Compact"/>
              <w:jc w:val="left"/>
            </w:pPr>
            <w:r>
              <w:rPr>
                <w:sz w:val="18"/>
              </w:rPr>
              <w:t xml:space="preserve">3,6 %</w:t>
            </w:r>
          </w:p>
        </w:tc>
      </w:tr>
      <w:tr>
        <w:trPr>
          <w:cantSplit/>
        </w:trPr>
        <w:tc>
          <w:tcPr>
            <w:shd w:val="clear" w:color="auto" w:fill="F6F8F7"/>
          </w:tcPr>
          <w:p>
            <w:pPr>
              <w:pStyle w:val="Compact"/>
              <w:jc w:val="left"/>
            </w:pPr>
            <w:r>
              <w:rPr>
                <w:sz w:val="18"/>
              </w:rPr>
              <w:t xml:space="preserve">Subocupación demandante</w:t>
            </w:r>
          </w:p>
        </w:tc>
        <w:tc>
          <w:tcPr>
            <w:shd w:val="clear" w:color="auto" w:fill="F6F8F7"/>
          </w:tcPr>
          <w:p>
            <w:pPr>
              <w:pStyle w:val="Compact"/>
              <w:jc w:val="left"/>
            </w:pPr>
            <w:r>
              <w:rPr>
                <w:sz w:val="18"/>
              </w:rPr>
              <w:t xml:space="preserve">Qué porcentaje de los ocupados busca trabajar más horas porque su empleo no le alcanza.</w:t>
            </w:r>
          </w:p>
        </w:tc>
        <w:tc>
          <w:tcPr>
            <w:shd w:val="clear" w:color="auto" w:fill="F6F8F7"/>
          </w:tcPr>
          <w:p>
            <w:pPr>
              <w:pStyle w:val="Compact"/>
              <w:jc w:val="left"/>
            </w:pPr>
            <w:r>
              <w:rPr>
                <w:sz w:val="18"/>
              </w:rPr>
              <w:t xml:space="preserve">7,5 %</w:t>
            </w:r>
          </w:p>
        </w:tc>
        <w:tc>
          <w:tcPr>
            <w:shd w:val="clear" w:color="auto" w:fill="FFEDD5"/>
          </w:tcPr>
          <w:p>
            <w:pPr>
              <w:pStyle w:val="Compact"/>
              <w:jc w:val="center"/>
            </w:pPr>
            <w:r>
              <w:rPr>
                <w:b/>
                <w:sz w:val="18"/>
                <w:color w:val="7C2D12"/>
              </w:rPr>
              <w:t xml:space="preserve">NARANJA</w:t>
            </w:r>
          </w:p>
        </w:tc>
        <w:tc>
          <w:tcPr>
            <w:shd w:val="clear" w:color="auto" w:fill="F6F8F7"/>
          </w:tcPr>
          <w:p>
            <w:pPr>
              <w:pStyle w:val="Compact"/>
              <w:jc w:val="left"/>
            </w:pPr>
            <w:r>
              <w:rPr>
                <w:sz w:val="18"/>
              </w:rPr>
              <w:t xml:space="preserve">1,4 %</w:t>
            </w:r>
          </w:p>
        </w:tc>
      </w:tr>
      <w:tr>
        <w:trPr>
          <w:cantSplit/>
        </w:trPr>
        <w:tc>
          <w:p>
            <w:pPr>
              <w:pStyle w:val="Compact"/>
              <w:jc w:val="left"/>
            </w:pPr>
            <w:r>
              <w:rPr>
                <w:sz w:val="18"/>
              </w:rPr>
              <w:t xml:space="preserve">Empleo registrado privado</w:t>
            </w:r>
          </w:p>
        </w:tc>
        <w:tc>
          <w:p>
            <w:pPr>
              <w:pStyle w:val="Compact"/>
              <w:jc w:val="left"/>
            </w:pPr>
            <w:r>
              <w:rPr>
                <w:sz w:val="18"/>
              </w:rPr>
              <w:t xml:space="preserve">Cuántos asalariados del sector privado están registrados ante la seguridad social.</w:t>
            </w:r>
          </w:p>
        </w:tc>
        <w:tc>
          <w:p>
            <w:pPr>
              <w:pStyle w:val="Compact"/>
              <w:jc w:val="left"/>
            </w:pPr>
            <w:r>
              <w:rPr>
                <w:sz w:val="18"/>
              </w:rPr>
              <w:t xml:space="preserve">6.130,15 miles de puestos</w:t>
            </w:r>
          </w:p>
        </w:tc>
        <w:tc>
          <w:tcPr>
            <w:shd w:val="clear" w:color="auto" w:fill="FEF3C7"/>
          </w:tcPr>
          <w:p>
            <w:pPr>
              <w:pStyle w:val="Compact"/>
              <w:jc w:val="center"/>
            </w:pPr>
            <w:r>
              <w:rPr>
                <w:b/>
                <w:sz w:val="18"/>
                <w:color w:val="713F12"/>
              </w:rPr>
              <w:t xml:space="preserve">AMARILLO</w:t>
            </w:r>
          </w:p>
        </w:tc>
        <w:tc>
          <w:p>
            <w:pPr>
              <w:pStyle w:val="Compact"/>
              <w:jc w:val="left"/>
            </w:pPr>
            <w:r>
              <w:rPr>
                <w:sz w:val="18"/>
              </w:rPr>
              <w:t xml:space="preserve">6,0 %</w:t>
            </w:r>
          </w:p>
        </w:tc>
      </w:tr>
      <w:tr>
        <w:trPr>
          <w:cantSplit/>
        </w:trPr>
        <w:tc>
          <w:tcPr>
            <w:gridSpan w:val="5"/>
            <w:shd w:val="clear" w:color="auto" w:fill="E8EDEB"/>
          </w:tcPr>
          <w:p>
            <w:pPr>
              <w:pStyle w:val="Compact"/>
              <w:jc w:val="left"/>
              <w:keepNext/>
            </w:pPr>
            <w:r>
              <w:rPr>
                <w:b/>
                <w:sz w:val="18"/>
              </w:rPr>
              <w:t>Vulnerabilidad financiera</w:t>
            </w:r>
          </w:p>
        </w:tc>
      </w:tr>
      <w:tr>
        <w:trPr>
          <w:cantSplit/>
        </w:trPr>
        <w:tc>
          <w:p>
            <w:pPr>
              <w:pStyle w:val="Compact"/>
              <w:jc w:val="left"/>
            </w:pPr>
            <w:r>
              <w:rPr>
                <w:sz w:val="18"/>
              </w:rPr>
              <w:t xml:space="preserve">Mora de las familias</w:t>
            </w:r>
          </w:p>
        </w:tc>
        <w:tc>
          <w:p>
            <w:pPr>
              <w:pStyle w:val="Compact"/>
              <w:jc w:val="left"/>
            </w:pPr>
            <w:r>
              <w:rPr>
                <w:sz w:val="18"/>
              </w:rPr>
              <w:t xml:space="preserve">Qué porcentaje del crédito de consumo de las familias (préstamos personales y tarjetas) está en situación irregular —…</w:t>
            </w:r>
          </w:p>
        </w:tc>
        <w:tc>
          <w:p>
            <w:pPr>
              <w:pStyle w:val="Compact"/>
              <w:jc w:val="left"/>
            </w:pPr>
            <w:r>
              <w:rPr>
                <w:sz w:val="18"/>
              </w:rPr>
              <w:t xml:space="preserve">14,52 % de la cartera en situación irregular</w:t>
            </w:r>
          </w:p>
        </w:tc>
        <w:tc>
          <w:tcPr>
            <w:shd w:val="clear" w:color="auto" w:fill="FEE2E2"/>
          </w:tcPr>
          <w:p>
            <w:pPr>
              <w:pStyle w:val="Compact"/>
              <w:jc w:val="center"/>
            </w:pPr>
            <w:r>
              <w:rPr>
                <w:b/>
                <w:sz w:val="18"/>
                <w:color w:val="7F1D1D"/>
              </w:rPr>
              <w:t xml:space="preserve">ROJO</w:t>
            </w:r>
          </w:p>
        </w:tc>
        <w:tc>
          <w:p>
            <w:pPr>
              <w:pStyle w:val="Compact"/>
              <w:jc w:val="left"/>
            </w:pPr>
            <w:r>
              <w:rPr>
                <w:sz w:val="18"/>
              </w:rPr>
              <w:t xml:space="preserve">10,0 %</w:t>
            </w:r>
          </w:p>
        </w:tc>
      </w:tr>
      <w:tr>
        <w:trPr>
          <w:cantSplit/>
        </w:trPr>
        <w:tc>
          <w:tcPr>
            <w:gridSpan w:val="5"/>
            <w:shd w:val="clear" w:color="auto" w:fill="E8EDEB"/>
          </w:tcPr>
          <w:p>
            <w:pPr>
              <w:pStyle w:val="Compact"/>
              <w:jc w:val="left"/>
              <w:keepNext/>
            </w:pPr>
            <w:r>
              <w:rPr>
                <w:b/>
                <w:sz w:val="18"/>
              </w:rPr>
              <w:t>Confianza y percepción</w:t>
            </w:r>
          </w:p>
        </w:tc>
      </w:tr>
      <w:tr>
        <w:trPr>
          <w:cantSplit/>
        </w:trPr>
        <w:tc>
          <w:p>
            <w:pPr>
              <w:pStyle w:val="Compact"/>
              <w:jc w:val="left"/>
            </w:pPr>
            <w:r>
              <w:rPr>
                <w:sz w:val="18"/>
              </w:rPr>
              <w:t xml:space="preserve">Confianza del consumidor (ICC)</w:t>
            </w:r>
          </w:p>
        </w:tc>
        <w:tc>
          <w:p>
            <w:pPr>
              <w:pStyle w:val="Compact"/>
              <w:jc w:val="left"/>
            </w:pPr>
            <w:r>
              <w:rPr>
                <w:sz w:val="18"/>
              </w:rPr>
              <w:t xml:space="preserve">El optimismo de la gente sobre la economía y sus finanzas personales (Índice de Confianza del Consumidor).</w:t>
            </w:r>
          </w:p>
        </w:tc>
        <w:tc>
          <w:p>
            <w:pPr>
              <w:pStyle w:val="Compact"/>
              <w:jc w:val="left"/>
            </w:pPr>
            <w:r>
              <w:rPr>
                <w:sz w:val="18"/>
              </w:rPr>
              <w:t xml:space="preserve">39,8 índice</w:t>
            </w:r>
          </w:p>
        </w:tc>
        <w:tc>
          <w:tcPr>
            <w:shd w:val="clear" w:color="auto" w:fill="FFEDD5"/>
          </w:tcPr>
          <w:p>
            <w:pPr>
              <w:pStyle w:val="Compact"/>
              <w:jc w:val="center"/>
            </w:pPr>
            <w:r>
              <w:rPr>
                <w:b/>
                <w:sz w:val="18"/>
                <w:color w:val="7C2D12"/>
              </w:rPr>
              <w:t xml:space="preserve">NARANJA</w:t>
            </w:r>
          </w:p>
        </w:tc>
        <w:tc>
          <w:p>
            <w:pPr>
              <w:pStyle w:val="Compact"/>
              <w:jc w:val="left"/>
            </w:pPr>
            <w:r>
              <w:rPr>
                <w:sz w:val="18"/>
              </w:rPr>
              <w:t xml:space="preserve">6,8 %</w:t>
            </w:r>
          </w:p>
        </w:tc>
      </w:tr>
      <w:tr>
        <w:trPr>
          <w:cantSplit/>
        </w:trPr>
        <w:tc>
          <w:tcPr>
            <w:shd w:val="clear" w:color="auto" w:fill="F6F8F7"/>
          </w:tcPr>
          <w:p>
            <w:pPr>
              <w:pStyle w:val="Compact"/>
              <w:jc w:val="left"/>
            </w:pPr>
            <w:r>
              <w:rPr>
                <w:sz w:val="18"/>
              </w:rPr>
              <w:t xml:space="preserve">Sentimiento digital (Trends)</w:t>
            </w:r>
          </w:p>
        </w:tc>
        <w:tc>
          <w:tcPr>
            <w:shd w:val="clear" w:color="auto" w:fill="F6F8F7"/>
          </w:tcPr>
          <w:p>
            <w:pPr>
              <w:pStyle w:val="Compact"/>
              <w:jc w:val="left"/>
            </w:pPr>
            <w:r>
              <w:rPr>
                <w:sz w:val="18"/>
              </w:rPr>
              <w:t xml:space="preserve">La urgencia económica que percibe la sociedad, medida por cuánto se busca en internet sobre inflación, precios…</w:t>
            </w:r>
          </w:p>
        </w:tc>
        <w:tc>
          <w:tcPr>
            <w:shd w:val="clear" w:color="auto" w:fill="F6F8F7"/>
          </w:tcPr>
          <w:p>
            <w:pPr>
              <w:pStyle w:val="Compact"/>
              <w:jc w:val="left"/>
            </w:pPr>
            <w:r>
              <w:rPr>
                <w:sz w:val="18"/>
              </w:rPr>
              <w:t xml:space="preserve">25,4 interés 0–100</w:t>
            </w:r>
          </w:p>
        </w:tc>
        <w:tc>
          <w:tcPr>
            <w:shd w:val="clear" w:color="auto" w:fill="DCFCE7"/>
          </w:tcPr>
          <w:p>
            <w:pPr>
              <w:pStyle w:val="Compact"/>
              <w:jc w:val="center"/>
            </w:pPr>
            <w:r>
              <w:rPr>
                <w:b/>
                <w:sz w:val="18"/>
                <w:color w:val="14532D"/>
              </w:rPr>
              <w:t xml:space="preserve">VERDE</w:t>
            </w:r>
          </w:p>
        </w:tc>
        <w:tc>
          <w:tcPr>
            <w:shd w:val="clear" w:color="auto" w:fill="F6F8F7"/>
          </w:tcPr>
          <w:p>
            <w:pPr>
              <w:pStyle w:val="Compact"/>
              <w:jc w:val="left"/>
            </w:pPr>
            <w:r>
              <w:rPr>
                <w:sz w:val="18"/>
              </w:rPr>
              <w:t xml:space="preserve">1,5 %</w:t>
            </w:r>
          </w:p>
        </w:tc>
      </w:tr>
      <w:tr>
        <w:trPr>
          <w:cantSplit/>
        </w:trPr>
        <w:tc>
          <w:tcPr>
            <w:gridSpan w:val="5"/>
            <w:shd w:val="clear" w:color="auto" w:fill="E8EDEB"/>
          </w:tcPr>
          <w:p>
            <w:pPr>
              <w:pStyle w:val="Compact"/>
              <w:jc w:val="left"/>
              <w:keepNext/>
            </w:pPr>
            <w:r>
              <w:rPr>
                <w:b/>
                <w:sz w:val="18"/>
              </w:rPr>
              <w:t>Seguridad</w:t>
            </w:r>
          </w:p>
        </w:tc>
      </w:tr>
      <w:tr>
        <w:trPr>
          <w:cantSplit/>
        </w:trPr>
        <w:tc>
          <w:tcPr>
            <w:shd w:val="clear" w:color="auto" w:fill="F6F8F7"/>
          </w:tcPr>
          <w:p>
            <w:pPr>
              <w:pStyle w:val="Compact"/>
              <w:jc w:val="left"/>
            </w:pPr>
            <w:r>
              <w:rPr>
                <w:sz w:val="18"/>
              </w:rPr>
              <w:t xml:space="preserve">Victimización (IVI)</w:t>
            </w:r>
          </w:p>
        </w:tc>
        <w:tc>
          <w:tcPr>
            <w:shd w:val="clear" w:color="auto" w:fill="F6F8F7"/>
          </w:tcPr>
          <w:p>
            <w:pPr>
              <w:pStyle w:val="Compact"/>
              <w:jc w:val="left"/>
            </w:pPr>
            <w:r>
              <w:rPr>
                <w:sz w:val="18"/>
              </w:rPr>
              <w:t xml:space="preserve">Qué porcentaje de los hogares sufrió al menos un delito en los últimos 12 meses, según la encuesta mensual de…</w:t>
            </w:r>
          </w:p>
        </w:tc>
        <w:tc>
          <w:tcPr>
            <w:shd w:val="clear" w:color="auto" w:fill="F6F8F7"/>
          </w:tcPr>
          <w:p>
            <w:pPr>
              <w:pStyle w:val="Compact"/>
              <w:jc w:val="left"/>
            </w:pPr>
            <w:r>
              <w:rPr>
                <w:sz w:val="18"/>
              </w:rPr>
              <w:t xml:space="preserve">28 % de hogares víctimas (últimos 12 meses)</w:t>
            </w:r>
          </w:p>
        </w:tc>
        <w:tc>
          <w:tcPr>
            <w:shd w:val="clear" w:color="auto" w:fill="FEF3C7"/>
          </w:tcPr>
          <w:p>
            <w:pPr>
              <w:pStyle w:val="Compact"/>
              <w:jc w:val="center"/>
            </w:pPr>
            <w:r>
              <w:rPr>
                <w:b/>
                <w:sz w:val="18"/>
                <w:color w:val="713F12"/>
              </w:rPr>
              <w:t xml:space="preserve">AMARILLO</w:t>
            </w:r>
          </w:p>
        </w:tc>
        <w:tc>
          <w:tcPr>
            <w:shd w:val="clear" w:color="auto" w:fill="F6F8F7"/>
          </w:tcPr>
          <w:p>
            <w:pPr>
              <w:pStyle w:val="Compact"/>
              <w:jc w:val="left"/>
            </w:pPr>
            <w:r>
              <w:rPr>
                <w:sz w:val="18"/>
              </w:rPr>
              <w:t xml:space="preserve">4,5 %</w:t>
            </w:r>
          </w:p>
        </w:tc>
      </w:tr>
    </w:tbl>
    <w:p>
      <w:pPr>
        <w:pStyle w:val="BodyText"/>
      </w:pPr>
      <w:r>
        <w:rPr>
          <w:iCs/>
          <w:i/>
        </w:rPr>
        <w:t xml:space="preserve">Datos al 2026-08-09.</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22"/>
    <w:bookmarkEnd w:id="23"/>
    <w:bookmarkStart w:id="33" w:name="salario-real-vs.-canasta"/>
    <w:p>
      <w:pPr>
        <w:pStyle w:val="Heading1"/>
        <w:keepNext/>
      </w:pPr>
      <w:r>
        <w:t xml:space="preserve">Salario real vs. canasta</w:t>
      </w:r>
    </w:p>
    <w:p>
      <w:pPr>
        <w:pStyle w:val="FirstParagraph"/>
      </w:pPr>
      <w:r>
        <w:t xml:space="preserve">Cuántas canastas básicas totales alcanza a cubrir el salario formal promedio.</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3,81 canastas (RIPTE/CBT)</w:t>
            </w:r>
            <w:r>
              <w:rPr>
                <w:sz w:val="18"/>
              </w:rPr>
              <w:t xml:space="preserve"> </w:t>
            </w:r>
            <w:r>
              <w:rPr>
                <w:sz w:val="18"/>
              </w:rPr>
              <w:t xml:space="preserve">(2026-05)</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17,1 % del ITVC</w:t>
            </w:r>
          </w:p>
        </w:tc>
        <w:tc>
          <w:p>
            <w:pPr>
              <w:pStyle w:val="Compact"/>
              <w:jc w:val="left"/>
            </w:pPr>
            <w:r>
              <w:rPr>
                <w:sz w:val="18"/>
              </w:rPr>
              <w:t xml:space="preserve">Cinturón Vida cotidiana</w:t>
            </w:r>
          </w:p>
        </w:tc>
      </w:tr>
    </w:tbl>
    <w:bookmarkStart w:id="24" w:name="identificación"/>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brecha_salario_cbt</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Ingresos y consumo</w:t>
            </w:r>
          </w:p>
        </w:tc>
        <w:tc>
          <w:p>
            <w:pPr>
              <w:pStyle w:val="Compact"/>
              <w:jc w:val="left"/>
            </w:pPr>
            <w:r>
              <w:rPr>
                <w:bCs/>
                <w:b/>
                <w:sz w:val="18"/>
              </w:rPr>
              <w:t xml:space="preserve">UNIDAD DE MEDIDA</w:t>
            </w:r>
          </w:p>
        </w:tc>
        <w:tc>
          <w:p>
            <w:pPr>
              <w:pStyle w:val="Compact"/>
              <w:jc w:val="left"/>
            </w:pPr>
            <w:r>
              <w:rPr>
                <w:sz w:val="18"/>
              </w:rPr>
              <w:t xml:space="preserve">canastas (RIPTE/CBT)</w:t>
            </w:r>
          </w:p>
        </w:tc>
      </w:tr>
      <w:tr>
        <w:trPr>
          <w:cantSplit/>
        </w:trPr>
        <w:tc>
          <w:p>
            <w:pPr>
              <w:pStyle w:val="Compact"/>
              <w:jc w:val="left"/>
            </w:pPr>
            <w:r>
              <w:rPr>
                <w:bCs/>
                <w:b/>
                <w:sz w:val="18"/>
              </w:rPr>
              <w:t xml:space="preserve">SERIE DISPONIBLE</w:t>
            </w:r>
          </w:p>
        </w:tc>
        <w:tc>
          <w:p>
            <w:pPr>
              <w:pStyle w:val="Compact"/>
              <w:jc w:val="left"/>
            </w:pPr>
            <w:r>
              <w:rPr>
                <w:sz w:val="18"/>
              </w:rPr>
              <w:t xml:space="preserve">2021-07 → 2026-05 (59 puntos)</w:t>
            </w:r>
          </w:p>
        </w:tc>
        <w:tc>
          <w:p>
            <w:pPr>
              <w:pStyle w:val="Compact"/>
              <w:jc w:val="left"/>
            </w:pPr>
            <w:r>
              <w:rPr>
                <w:bCs/>
                <w:b/>
                <w:sz w:val="18"/>
              </w:rPr>
              <w:t xml:space="preserve">REZAGO DE PUBLICACIÓN</w:t>
            </w:r>
          </w:p>
        </w:tc>
        <w:tc>
          <w:p>
            <w:pPr>
              <w:pStyle w:val="Compact"/>
              <w:jc w:val="left"/>
            </w:pPr>
            <w:r>
              <w:rPr>
                <w:sz w:val="18"/>
              </w:rPr>
              <w:t xml:space="preserve">El salario formal (RIPTE) corre un mes detrás de la canasta: el par común queda ~2 meses atrás del calendario.</w:t>
            </w:r>
          </w:p>
        </w:tc>
      </w:tr>
      <w:tr>
        <w:trPr>
          <w:cantSplit/>
        </w:trPr>
        <w:tc>
          <w:p>
            <w:pPr>
              <w:pStyle w:val="Compact"/>
              <w:jc w:val="left"/>
            </w:pPr>
            <w:r>
              <w:rPr>
                <w:bCs/>
                <w:b/>
                <w:sz w:val="18"/>
              </w:rPr>
              <w:t xml:space="preserve">PRODUCTOR DEL DATO</w:t>
            </w:r>
          </w:p>
        </w:tc>
        <w:tc>
          <w:p>
            <w:pPr>
              <w:pStyle w:val="Compact"/>
              <w:jc w:val="left"/>
            </w:pPr>
            <w:r>
              <w:rPr>
                <w:sz w:val="18"/>
              </w:rPr>
              <w:t xml:space="preserve">Secretaría de Trabajo (RIPTE) + INDEC (Canasta Básica Total)</w:t>
            </w:r>
          </w:p>
        </w:tc>
        <w:tc>
          <w:p>
            <w:pPr>
              <w:pStyle w:val="Compact"/>
              <w:jc w:val="left"/>
            </w:pPr>
            <w:r>
              <w:rPr>
                <w:bCs/>
                <w:b/>
                <w:sz w:val="18"/>
              </w:rPr>
              <w:t xml:space="preserve">OPERACIÓN ESTADÍSTICA</w:t>
            </w:r>
          </w:p>
        </w:tc>
        <w:tc>
          <w:p>
            <w:pPr>
              <w:pStyle w:val="Compact"/>
              <w:jc w:val="left"/>
            </w:pPr>
            <w:r>
              <w:rPr>
                <w:sz w:val="18"/>
              </w:rPr>
              <w:t xml:space="preserve">RIPTE — remuneración imponible promedio de los trabajadores estables ÷ Canasta Básica Total por adulto equivalente</w:t>
            </w:r>
          </w:p>
        </w:tc>
      </w:tr>
      <w:tr>
        <w:trPr>
          <w:cantSplit/>
        </w:trPr>
        <w:tc>
          <w:p>
            <w:pPr>
              <w:pStyle w:val="Compact"/>
              <w:jc w:val="left"/>
            </w:pPr>
            <w:r>
              <w:rPr>
                <w:bCs/>
                <w:b/>
                <w:sz w:val="18"/>
              </w:rPr>
              <w:t xml:space="preserve">MODO DE ACCESO</w:t>
            </w:r>
          </w:p>
        </w:tc>
        <w:tc>
          <w:p>
            <w:pPr>
              <w:pStyle w:val="Compact"/>
              <w:jc w:val="left"/>
            </w:pPr>
            <w:r>
              <w:rPr>
                <w:sz w:val="18"/>
              </w:rPr>
              <w:t xml:space="preserve">Automático: descarga de la planilla oficial del RIPTE y API de series para la canasta; el cociente se calcula alineando por mes común.</w:t>
            </w:r>
          </w:p>
        </w:tc>
        <w:tc>
          <w:p>
            <w:pPr>
              <w:pStyle w:val="Compact"/>
              <w:jc w:val="left"/>
            </w:pPr>
            <w:r>
              <w:rPr>
                <w:bCs/>
                <w:b/>
                <w:sz w:val="18"/>
              </w:rPr>
              <w:t xml:space="preserve">ÚLTIMA ACTUALIZACIÓN</w:t>
            </w:r>
          </w:p>
        </w:tc>
        <w:tc>
          <w:p>
            <w:pPr>
              <w:pStyle w:val="Compact"/>
              <w:jc w:val="left"/>
            </w:pPr>
            <w:r>
              <w:rPr>
                <w:sz w:val="18"/>
              </w:rPr>
              <w:t xml:space="preserve">Dato a 2026-05 · informe generado el 2026-08-09</w:t>
            </w:r>
          </w:p>
        </w:tc>
      </w:tr>
    </w:tbl>
    <w:bookmarkEnd w:id="24"/>
    <w:bookmarkStart w:id="25" w:name="definición-qué-mide-y-por-qué-importa"/>
    <w:p>
      <w:pPr>
        <w:pStyle w:val="Heading2"/>
        <w:keepNext/>
      </w:pPr>
      <w:r>
        <w:t xml:space="preserve">Definición — qué mide y por qué importa</w:t>
      </w:r>
    </w:p>
    <w:p>
      <w:pPr>
        <w:pStyle w:val="FirstParagraph"/>
      </w:pPr>
      <w:r>
        <w:t xml:space="preserve">Cuántas canastas básicas totales alcanza a cubrir el salario formal promedio.</w:t>
      </w:r>
    </w:p>
    <w:p>
      <w:pPr>
        <w:pStyle w:val="BodyText"/>
      </w:pPr>
      <w:r>
        <w:t xml:space="preserve">Mide el poder adquisitivo real del ingreso, lo que la gente siente en el bolsillo.</w:t>
      </w:r>
    </w:p>
    <w:p>
      <w:pPr>
        <w:pStyle w:val="BodyText"/>
      </w:pPr>
      <w:r>
        <w:rPr>
          <w:bCs/>
          <w:b/>
        </w:rPr>
        <w:t xml:space="preserve">Dimensión que integra — Ingresos y consumo.</w:t>
      </w:r>
      <w:r>
        <w:t xml:space="preserve"> </w:t>
      </w:r>
      <w:r>
        <w:t xml:space="preserve">Si el sueldo alcanza y qué compra: la brecha entre el salario y la canasta de pobreza, cuánta gente trabaja en la informalidad, y dos termómetros de bolsillo —el consumo de carne y el patentamiento de motos— que se mueven con el poder de compra.</w:t>
      </w:r>
    </w:p>
    <w:bookmarkEnd w:id="25"/>
    <w:bookmarkStart w:id="26" w:name="método-de-cómputo"/>
    <w:p>
      <w:pPr>
        <w:pStyle w:val="Heading2"/>
        <w:keepNext/>
      </w:pPr>
      <w:r>
        <w:t xml:space="preserve">Método de cómputo</w:t>
      </w:r>
    </w:p>
    <w:p>
      <w:pPr>
        <w:numPr>
          <w:ilvl w:val="0"/>
          <w:numId w:val="1001"/>
        </w:numPr>
        <w:pStyle w:val="Compact"/>
      </w:pPr>
      <w:r>
        <w:t xml:space="preserve">Canastas cubiertas = salario formal promedio ÷ canasta básica total del mismo mes.</w:t>
      </w:r>
    </w:p>
    <w:p>
      <w:pPr>
        <w:numPr>
          <w:ilvl w:val="0"/>
          <w:numId w:val="1001"/>
        </w:numPr>
        <w:pStyle w:val="Compact"/>
      </w:pPr>
      <w:r>
        <w:t xml:space="preserve">Componente del índice: el cociente rebaseado a 100 = promedio del 4º trimestre de 2023 (más canastas = mejora).</w:t>
      </w:r>
    </w:p>
    <w:bookmarkEnd w:id="26"/>
    <w:bookmarkStart w:id="27" w:name="semáforo-valores-que-determinan-el-color"/>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110,8</w:t>
      </w:r>
      <w:r>
        <w:t xml:space="preserve">.</w:t>
      </w:r>
    </w:p>
    <w:bookmarkEnd w:id="27"/>
    <w:bookmarkStart w:id="28" w:name="datos-concretos-detrás-del-valor"/>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2"/>
        </w:numPr>
        <w:pStyle w:val="Compact"/>
      </w:pPr>
      <w:r>
        <w:t xml:space="preserve">RIPTE / CBT del mismo mes (2026-05): canastas cubiertas por el salario imponible promedio — CBT de 2026-06 ya publicada ($495,622): esa brecha queda provisoria hasta que salga el RIPTE</w:t>
      </w:r>
    </w:p>
    <w:bookmarkEnd w:id="28"/>
    <w:bookmarkStart w:id="29" w:name="color-vigente-y-por-qué"/>
    <w:p>
      <w:pPr>
        <w:pStyle w:val="Heading2"/>
        <w:keepNext/>
      </w:pPr>
      <w:r>
        <w:t xml:space="preserve">Color vigente y por qué</w:t>
      </w:r>
    </w:p>
    <w:p>
      <w:pPr>
        <w:pStyle w:val="FirstParagraph"/>
      </w:pPr>
      <w:r>
        <w:t xml:space="preserve">Dato vigente: 3,81 canastas (RIPTE/CBT) (2026-05).</w:t>
      </w:r>
    </w:p>
    <w:p>
      <w:pPr>
        <w:pStyle w:val="BodyText"/>
      </w:pPr>
      <w:r>
        <w:t xml:space="preserve">El componente está en 110,8 sobre la base 100 del 4º trimestre de 2023 — 105 o más —, que es el tramo VERDE.</w:t>
      </w:r>
    </w:p>
    <w:p>
      <w:pPr>
        <w:pStyle w:val="BodyText"/>
      </w:pPr>
      <w:r>
        <w:rPr>
          <w:bCs/>
          <w:b/>
        </w:rPr>
        <w:t xml:space="preserve">Color vigente: VERDE</w:t>
      </w:r>
    </w:p>
    <w:p>
      <w:pPr>
        <w:pStyle w:val="BodyText"/>
      </w:pPr>
      <w:r>
        <w:t xml:space="preserve">Ponderación vigente en el ITVC: 17,1 % efectivo. El color es una lectura adicional — no reemplaza ni cambia esta ponderación.</w:t>
      </w:r>
    </w:p>
    <w:bookmarkEnd w:id="29"/>
    <w:bookmarkStart w:id="30" w:name="transparencia-limitaciones-declaradas"/>
    <w:p>
      <w:pPr>
        <w:pStyle w:val="Heading2"/>
        <w:keepNext/>
      </w:pPr>
      <w:r>
        <w:t xml:space="preserve">Transparencia — limitaciones declaradas</w:t>
      </w:r>
    </w:p>
    <w:p>
      <w:pPr>
        <w:numPr>
          <w:ilvl w:val="0"/>
          <w:numId w:val="1003"/>
        </w:numPr>
        <w:pStyle w:val="Compact"/>
      </w:pPr>
      <w:r>
        <w:t xml:space="preserve">El RIPTE cubre solo asalariados formales estables: deja afuera a informales y cuentapropistas; la canasta es por adulto equivalente.</w:t>
      </w:r>
    </w:p>
    <w:p>
      <w:pPr>
        <w:numPr>
          <w:ilvl w:val="0"/>
          <w:numId w:val="1003"/>
        </w:numPr>
        <w:pStyle w:val="Compact"/>
      </w:pPr>
      <w:r>
        <w:t xml:space="preserve">El peso del componente (22,75% del índice) es una discusión abierta declarada del diseño.</w:t>
      </w:r>
    </w:p>
    <w:p>
      <w:pPr>
        <w:numPr>
          <w:ilvl w:val="0"/>
          <w:numId w:val="1003"/>
        </w:numPr>
        <w:pStyle w:val="Compact"/>
      </w:pPr>
      <w:r>
        <w:t xml:space="preserve">Efecto base auditado: parte de la mejora contra el 4º trimestre de 2023 es rebote de la devaluación de diciembre.</w:t>
      </w:r>
    </w:p>
    <w:bookmarkEnd w:id="30"/>
    <w:bookmarkStart w:id="31" w:name="si-falta-el-dato-política-de-revisiones"/>
    <w:p>
      <w:pPr>
        <w:pStyle w:val="Heading2"/>
        <w:keepNext/>
      </w:pPr>
      <w:r>
        <w:t xml:space="preserve">Si falta el dato / Política de revisiones</w:t>
      </w:r>
    </w:p>
    <w:p>
      <w:pPr>
        <w:numPr>
          <w:ilvl w:val="0"/>
          <w:numId w:val="1004"/>
        </w:numPr>
      </w:pPr>
      <w:r>
        <w:rPr>
          <w:bCs/>
          <w:b/>
        </w:rPr>
        <w:t xml:space="preserve">Si falta el dato:</w:t>
      </w:r>
      <w:r>
        <w:t xml:space="preserve"> </w:t>
      </w:r>
      <w:r>
        <w:t xml:space="preserve">Si una fuente falla, se mantiene el último valor publicado (marcado como desactualizado); si el componente no calcula, los pesos del índice se renormalizan.</w:t>
      </w:r>
    </w:p>
    <w:p>
      <w:pPr>
        <w:numPr>
          <w:ilvl w:val="0"/>
          <w:numId w:val="1004"/>
        </w:numPr>
      </w:pPr>
      <w:r>
        <w:rPr>
          <w:bCs/>
          <w:b/>
        </w:rPr>
        <w:t xml:space="preserve">Política de revisiones:</w:t>
      </w:r>
      <w:r>
        <w:t xml:space="preserve"> </w:t>
      </w:r>
      <w:r>
        <w:t xml:space="preserve">Cada actualización re-descarga las series completas y adopta las revisiones de las fuentes; con canasta fresca sin salario, el par se declara provisorio.</w:t>
      </w:r>
    </w:p>
    <w:bookmarkEnd w:id="31"/>
    <w:bookmarkStart w:id="32" w:name="Xa4c99cad3d412932a0237e958bf70f8f0cdbe7e"/>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base-100 como rebase directo del cociente, con 22,75% de peso efectivo.</w:t>
      </w:r>
    </w:p>
    <w:p>
      <w:pPr>
        <w:pStyle w:val="BodyText"/>
      </w:pPr>
      <w:r>
        <w:rPr>
          <w:bCs/>
          <w:b/>
        </w:rPr>
        <w:t xml:space="preserve">2026-07-04</w:t>
      </w:r>
      <w:r>
        <w:t xml:space="preserve"> </w:t>
      </w:r>
      <w:r>
        <w:t xml:space="preserve">— Alineación estricta por mes común: antes podía mezclar el salario de un mes con la canasta de otro. Además queda como única medición del ratio ingresos/comida del índice.</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32"/>
    <w:bookmarkEnd w:id="33"/>
    <w:bookmarkStart w:id="43" w:name="inflación-de-alimentos"/>
    <w:p>
      <w:pPr>
        <w:pStyle w:val="Heading1"/>
        <w:keepNext/>
      </w:pPr>
      <w:r>
        <w:t xml:space="preserve">Inflación de alimentos</w:t>
      </w:r>
    </w:p>
    <w:p>
      <w:pPr>
        <w:pStyle w:val="FirstParagraph"/>
      </w:pPr>
      <w:r>
        <w:t xml:space="preserve">Cuánto suben en el mes los precios de alimentos y bebidas. En el ITVC puntúa por el NIVEL acumulado del índice de alimentos relativo al IPC general, rebaseado a 100 = 4T-2023: si supera 100, la comida subió menos que el resto de los precios desde el arranque del mandato (alivio relativo); si queda debajo, encarece por encima del promedio.</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1,3 % m/m</w:t>
            </w:r>
            <w:r>
              <w:rPr>
                <w:sz w:val="18"/>
              </w:rPr>
              <w:t xml:space="preserve"> </w:t>
            </w:r>
            <w:r>
              <w:rPr>
                <w:sz w:val="18"/>
              </w:rPr>
              <w:t xml:space="preserve">(2026-06)</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8,8 % del ITVC</w:t>
            </w:r>
          </w:p>
        </w:tc>
        <w:tc>
          <w:p>
            <w:pPr>
              <w:pStyle w:val="Compact"/>
              <w:jc w:val="left"/>
            </w:pPr>
            <w:r>
              <w:rPr>
                <w:sz w:val="18"/>
              </w:rPr>
              <w:t xml:space="preserve">Cinturón Vida cotidiana</w:t>
            </w:r>
          </w:p>
        </w:tc>
      </w:tr>
    </w:tbl>
    <w:bookmarkStart w:id="34" w:name="identificación-1"/>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ipc_alimentos</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Presión de precios</w:t>
            </w:r>
          </w:p>
        </w:tc>
        <w:tc>
          <w:p>
            <w:pPr>
              <w:pStyle w:val="Compact"/>
              <w:jc w:val="left"/>
            </w:pPr>
            <w:r>
              <w:rPr>
                <w:bCs/>
                <w:b/>
                <w:sz w:val="18"/>
              </w:rPr>
              <w:t xml:space="preserve">UNIDAD DE MEDIDA</w:t>
            </w:r>
          </w:p>
        </w:tc>
        <w:tc>
          <w:p>
            <w:pPr>
              <w:pStyle w:val="Compact"/>
              <w:jc w:val="left"/>
            </w:pPr>
            <w:r>
              <w:rPr>
                <w:sz w:val="18"/>
              </w:rPr>
              <w:t xml:space="preserve">% m/m</w:t>
            </w:r>
          </w:p>
        </w:tc>
      </w:tr>
      <w:tr>
        <w:trPr>
          <w:cantSplit/>
        </w:trPr>
        <w:tc>
          <w:p>
            <w:pPr>
              <w:pStyle w:val="Compact"/>
              <w:jc w:val="left"/>
            </w:pPr>
            <w:r>
              <w:rPr>
                <w:bCs/>
                <w:b/>
                <w:sz w:val="18"/>
              </w:rPr>
              <w:t xml:space="preserve">SERIE DISPONIBLE</w:t>
            </w:r>
          </w:p>
        </w:tc>
        <w:tc>
          <w:p>
            <w:pPr>
              <w:pStyle w:val="Compact"/>
              <w:jc w:val="left"/>
            </w:pPr>
            <w:r>
              <w:rPr>
                <w:sz w:val="18"/>
              </w:rPr>
              <w:t xml:space="preserve">2022-08 → 2026-06 (47 puntos)</w:t>
            </w:r>
          </w:p>
        </w:tc>
        <w:tc>
          <w:p>
            <w:pPr>
              <w:pStyle w:val="Compact"/>
              <w:jc w:val="left"/>
            </w:pPr>
            <w:r>
              <w:rPr>
                <w:bCs/>
                <w:b/>
                <w:sz w:val="18"/>
              </w:rPr>
              <w:t xml:space="preserve">REZAGO DE PUBLICACIÓN</w:t>
            </w:r>
          </w:p>
        </w:tc>
        <w:tc>
          <w:p>
            <w:pPr>
              <w:pStyle w:val="Compact"/>
              <w:jc w:val="left"/>
            </w:pPr>
            <w:r>
              <w:rPr>
                <w:sz w:val="18"/>
              </w:rPr>
              <w:t xml:space="preserve">El IPC se publica a mediados del mes siguiente.</w:t>
            </w:r>
          </w:p>
        </w:tc>
      </w:tr>
      <w:tr>
        <w:trPr>
          <w:cantSplit/>
        </w:trPr>
        <w:tc>
          <w:p>
            <w:pPr>
              <w:pStyle w:val="Compact"/>
              <w:jc w:val="left"/>
            </w:pPr>
            <w:r>
              <w:rPr>
                <w:bCs/>
                <w:b/>
                <w:sz w:val="18"/>
              </w:rPr>
              <w:t xml:space="preserve">PRODUCTOR DEL DATO</w:t>
            </w:r>
          </w:p>
        </w:tc>
        <w:tc>
          <w:p>
            <w:pPr>
              <w:pStyle w:val="Compact"/>
              <w:jc w:val="left"/>
            </w:pPr>
            <w:r>
              <w:rPr>
                <w:sz w:val="18"/>
              </w:rPr>
              <w:t xml:space="preserve">INDEC</w:t>
            </w:r>
          </w:p>
        </w:tc>
        <w:tc>
          <w:p>
            <w:pPr>
              <w:pStyle w:val="Compact"/>
              <w:jc w:val="left"/>
            </w:pPr>
            <w:r>
              <w:rPr>
                <w:bCs/>
                <w:b/>
                <w:sz w:val="18"/>
              </w:rPr>
              <w:t xml:space="preserve">OPERACIÓN ESTADÍSTICA</w:t>
            </w:r>
          </w:p>
        </w:tc>
        <w:tc>
          <w:p>
            <w:pPr>
              <w:pStyle w:val="Compact"/>
              <w:jc w:val="left"/>
            </w:pPr>
            <w:r>
              <w:rPr>
                <w:sz w:val="18"/>
              </w:rPr>
              <w:t xml:space="preserve">IPC — Alimentos y bebidas no alcohólicas, nivel nacional; el componente lo compara contra el IPC general</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34"/>
    <w:bookmarkStart w:id="35" w:name="definición-qué-mide-y-por-qué-importa-1"/>
    <w:p>
      <w:pPr>
        <w:pStyle w:val="Heading2"/>
        <w:keepNext/>
      </w:pPr>
      <w:r>
        <w:t xml:space="preserve">Definición — qué mide y por qué importa</w:t>
      </w:r>
    </w:p>
    <w:p>
      <w:pPr>
        <w:pStyle w:val="FirstParagraph"/>
      </w:pPr>
      <w:r>
        <w:t xml:space="preserve">Cuánto suben en el mes los precios de alimentos y bebidas. En el ITVC puntúa por el NIVEL acumulado del índice de alimentos relativo al IPC general, rebaseado a 100 = 4T-2023: si supera 100, la comida subió menos que el resto de los precios desde el arranque del mandato (alivio relativo); si queda debajo, encarece por encima del promedio.</w:t>
      </w:r>
    </w:p>
    <w:p>
      <w:pPr>
        <w:pStyle w:val="BodyText"/>
      </w:pPr>
      <w:r>
        <w:t xml:space="preserve">Es la inflación más sensible socialmente: pega directo en la mesa de cada hogar, y castiga la canasta de los hogares de menores ingresos aunque la inflación general baje. Es una pregunta de precios pura, independiente del salario — el poder de compra lo mide la brecha salario/canasta, en Ingresos.</w:t>
      </w:r>
    </w:p>
    <w:p>
      <w:pPr>
        <w:pStyle w:val="BodyText"/>
      </w:pPr>
      <w:r>
        <w:rPr>
          <w:bCs/>
          <w:b/>
        </w:rPr>
        <w:t xml:space="preserve">Dimensión que integra — Presión de precios.</w:t>
      </w:r>
      <w:r>
        <w:t xml:space="preserve"> </w:t>
      </w:r>
      <w:r>
        <w:t xml:space="preserve">Lo que más duele en la compra de todos los días: alimentos y tarifas, medidos contra los salarios (no contra la inflación general).</w:t>
      </w:r>
    </w:p>
    <w:bookmarkEnd w:id="35"/>
    <w:bookmarkStart w:id="36" w:name="método-de-cómputo-1"/>
    <w:p>
      <w:pPr>
        <w:pStyle w:val="Heading2"/>
        <w:keepNext/>
      </w:pPr>
      <w:r>
        <w:t xml:space="preserve">Método de cómputo</w:t>
      </w:r>
    </w:p>
    <w:p>
      <w:pPr>
        <w:numPr>
          <w:ilvl w:val="0"/>
          <w:numId w:val="1005"/>
        </w:numPr>
        <w:pStyle w:val="Compact"/>
      </w:pPr>
      <w:r>
        <w:t xml:space="preserve">La card muestra la variación mensual de los alimentos.</w:t>
      </w:r>
    </w:p>
    <w:p>
      <w:pPr>
        <w:numPr>
          <w:ilvl w:val="0"/>
          <w:numId w:val="1005"/>
        </w:numPr>
        <w:pStyle w:val="Compact"/>
      </w:pPr>
      <w:r>
        <w:t xml:space="preserve">El componente del índice mide el encarecimiento RELATIVO de la comida: el nivel de alimentos contra el nivel general de precios, rebaseado a 100 = 4º trimestre de 2023. Por encima de 100, la comida sube menos que el resto de los precios.</w:t>
      </w:r>
    </w:p>
    <w:bookmarkEnd w:id="36"/>
    <w:bookmarkStart w:id="37" w:name="Xb12ddc46376972206f8477b880174f9cd0b3196"/>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107,5</w:t>
      </w:r>
      <w:r>
        <w:t xml:space="preserve">.</w:t>
      </w:r>
    </w:p>
    <w:bookmarkEnd w:id="37"/>
    <w:bookmarkStart w:id="38" w:name="datos-concretos-detrás-del-valor-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06"/>
        </w:numPr>
        <w:pStyle w:val="Compact"/>
      </w:pPr>
      <w:r>
        <w:t xml:space="preserve">El informe publica el valor (1,3 % m/m) pero no los números que lo componen: la fuente entrega la serie ya calculada. Para auditar el dato hay que ir a la operación estadística citada más arriba.</w:t>
      </w:r>
    </w:p>
    <w:bookmarkEnd w:id="38"/>
    <w:bookmarkStart w:id="39" w:name="color-vigente-y-por-qué-1"/>
    <w:p>
      <w:pPr>
        <w:pStyle w:val="Heading2"/>
        <w:keepNext/>
      </w:pPr>
      <w:r>
        <w:t xml:space="preserve">Color vigente y por qué</w:t>
      </w:r>
    </w:p>
    <w:p>
      <w:pPr>
        <w:pStyle w:val="FirstParagraph"/>
      </w:pPr>
      <w:r>
        <w:t xml:space="preserve">Dato vigente: 1,3 % m/m (2026-06).</w:t>
      </w:r>
    </w:p>
    <w:p>
      <w:pPr>
        <w:pStyle w:val="BodyText"/>
      </w:pPr>
      <w:r>
        <w:t xml:space="preserve">El componente está en 107,5 sobre la base 100 del 4º trimestre de 2023 — 105 o más —, que es el tramo VERDE.</w:t>
      </w:r>
    </w:p>
    <w:p>
      <w:pPr>
        <w:pStyle w:val="BodyText"/>
      </w:pPr>
      <w:r>
        <w:rPr>
          <w:bCs/>
          <w:b/>
        </w:rPr>
        <w:t xml:space="preserve">Color vigente: VERDE</w:t>
      </w:r>
    </w:p>
    <w:p>
      <w:pPr>
        <w:pStyle w:val="BodyText"/>
      </w:pPr>
      <w:r>
        <w:t xml:space="preserve">Ponderación vigente en el ITVC: 8,8 % efectivo. El color es una lectura adicional — no reemplaza ni cambia esta ponderación.</w:t>
      </w:r>
    </w:p>
    <w:bookmarkEnd w:id="39"/>
    <w:bookmarkStart w:id="40" w:name="transparencia-limitaciones-declaradas-1"/>
    <w:p>
      <w:pPr>
        <w:pStyle w:val="Heading2"/>
        <w:keepNext/>
      </w:pPr>
      <w:r>
        <w:t xml:space="preserve">Transparencia — limitaciones declaradas</w:t>
      </w:r>
    </w:p>
    <w:p>
      <w:pPr>
        <w:numPr>
          <w:ilvl w:val="0"/>
          <w:numId w:val="1007"/>
        </w:numPr>
        <w:pStyle w:val="Compact"/>
      </w:pPr>
      <w:r>
        <w:t xml:space="preserve">La métrica anterior (alimentos contra salario) correlacionaba casi uno a uno con la brecha de la canasta: un tercio del índice contaba dos veces lo mismo. Se corrigió con el rediseño relativo al IPC general.</w:t>
      </w:r>
    </w:p>
    <w:p>
      <w:pPr>
        <w:numPr>
          <w:ilvl w:val="0"/>
          <w:numId w:val="1007"/>
        </w:numPr>
        <w:pStyle w:val="Compact"/>
      </w:pPr>
      <w:r>
        <w:t xml:space="preserve">Leve estacionalidad de la canasta alimentaria aceptada sin corrección, auditada y declarada.</w:t>
      </w:r>
    </w:p>
    <w:bookmarkEnd w:id="40"/>
    <w:bookmarkStart w:id="41" w:name="X5bd7fb7e3de0539204b5af8f15d14927966600e"/>
    <w:p>
      <w:pPr>
        <w:pStyle w:val="Heading2"/>
        <w:keepNext/>
      </w:pPr>
      <w:r>
        <w:t xml:space="preserve">Si falta el dato / Política de revisiones</w:t>
      </w:r>
    </w:p>
    <w:p>
      <w:pPr>
        <w:numPr>
          <w:ilvl w:val="0"/>
          <w:numId w:val="1008"/>
        </w:numPr>
      </w:pPr>
      <w:r>
        <w:rPr>
          <w:bCs/>
          <w:b/>
        </w:rPr>
        <w:t xml:space="preserve">Si falta el dato:</w:t>
      </w:r>
      <w:r>
        <w:t xml:space="preserve"> </w:t>
      </w:r>
      <w:r>
        <w:t xml:space="preserve">Se mantiene el último valor publicado como desactualizado; sin componente, los pesos del índice se renormalizan.</w:t>
      </w:r>
    </w:p>
    <w:p>
      <w:pPr>
        <w:numPr>
          <w:ilvl w:val="0"/>
          <w:numId w:val="1008"/>
        </w:numPr>
      </w:pPr>
      <w:r>
        <w:rPr>
          <w:bCs/>
          <w:b/>
        </w:rPr>
        <w:t xml:space="preserve">Política de revisiones:</w:t>
      </w:r>
      <w:r>
        <w:t xml:space="preserve"> </w:t>
      </w:r>
      <w:r>
        <w:t xml:space="preserve">La API sirve la serie revisada; la base del 4º trimestre de 2023 se recalcula dinámicamente de la propia serie.</w:t>
      </w:r>
    </w:p>
    <w:bookmarkEnd w:id="41"/>
    <w:bookmarkStart w:id="42" w:name="X96d65d75de98372a532c7c1fba300d7558b9e4c"/>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base-100 (entonces como nivel contra el salario).</w:t>
      </w:r>
    </w:p>
    <w:p>
      <w:pPr>
        <w:pStyle w:val="BodyText"/>
      </w:pPr>
      <w:r>
        <w:rPr>
          <w:bCs/>
          <w:b/>
        </w:rPr>
        <w:t xml:space="preserve">2026-07-04</w:t>
      </w:r>
      <w:r>
        <w:t xml:space="preserve"> </w:t>
      </w:r>
      <w:r>
        <w:t xml:space="preserve">— Rediseño: nivel contra el IPC general, eliminando el doble conteo con la brecha salario/canasta.</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42"/>
    <w:bookmarkEnd w:id="43"/>
    <w:bookmarkStart w:id="53" w:name="peso-de-tarifas-regulados"/>
    <w:p>
      <w:pPr>
        <w:pStyle w:val="Heading1"/>
        <w:keepNext/>
      </w:pPr>
      <w:r>
        <w:t xml:space="preserve">Peso de tarifas (regulados)</w:t>
      </w:r>
    </w:p>
    <w:p>
      <w:pPr>
        <w:pStyle w:val="FirstParagraph"/>
      </w:pPr>
      <w:r>
        <w:t xml:space="preserve">Cuánto suben en el mes los precios regulados: luz, gas, agua y transporte. En el ITVC puntúa por el NIVEL acumulado de regulados relativo a los salarios, rebaseado a 100 = 4T-2023.</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2,3 % m/m regulados</w:t>
            </w:r>
            <w:r>
              <w:rPr>
                <w:sz w:val="18"/>
              </w:rPr>
              <w:t xml:space="preserve"> </w:t>
            </w:r>
            <w:r>
              <w:rPr>
                <w:sz w:val="18"/>
              </w:rPr>
              <w:t xml:space="preserve">(2026-06)</w:t>
            </w:r>
          </w:p>
        </w:tc>
        <w:tc>
          <w:tcPr>
            <w:shd w:val="clear" w:color="auto" w:fill="FEE2E2"/>
          </w:tcPr>
          <w:p>
            <w:pPr>
              <w:pStyle w:val="Compact"/>
              <w:jc w:val="center"/>
            </w:pPr>
            <w:r>
              <w:rPr>
                <w:bCs/>
                <w:b/>
                <w:sz w:val="18"/>
                <w:color w:val="7F1D1D"/>
              </w:rPr>
              <w:t xml:space="preserve">ROJO</w:t>
            </w:r>
          </w:p>
        </w:tc>
        <w:tc>
          <w:p>
            <w:pPr>
              <w:pStyle w:val="Compact"/>
              <w:jc w:val="left"/>
            </w:pPr>
            <w:r>
              <w:rPr>
                <w:sz w:val="18"/>
              </w:rPr>
              <w:t xml:space="preserve">Peso efectivo 11,2 % del ITVC</w:t>
            </w:r>
          </w:p>
        </w:tc>
        <w:tc>
          <w:p>
            <w:pPr>
              <w:pStyle w:val="Compact"/>
              <w:jc w:val="left"/>
            </w:pPr>
            <w:r>
              <w:rPr>
                <w:sz w:val="18"/>
              </w:rPr>
              <w:t xml:space="preserve">Cinturón Vida cotidiana</w:t>
            </w:r>
          </w:p>
        </w:tc>
      </w:tr>
    </w:tbl>
    <w:bookmarkStart w:id="44" w:name="identificación-2"/>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peso_tarifas</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Presión de precios</w:t>
            </w:r>
          </w:p>
        </w:tc>
        <w:tc>
          <w:p>
            <w:pPr>
              <w:pStyle w:val="Compact"/>
              <w:jc w:val="left"/>
            </w:pPr>
            <w:r>
              <w:rPr>
                <w:bCs/>
                <w:b/>
                <w:sz w:val="18"/>
              </w:rPr>
              <w:t xml:space="preserve">UNIDAD DE MEDIDA</w:t>
            </w:r>
          </w:p>
        </w:tc>
        <w:tc>
          <w:p>
            <w:pPr>
              <w:pStyle w:val="Compact"/>
              <w:jc w:val="left"/>
            </w:pPr>
            <w:r>
              <w:rPr>
                <w:sz w:val="18"/>
              </w:rPr>
              <w:t xml:space="preserve">% m/m regulados</w:t>
            </w:r>
          </w:p>
        </w:tc>
      </w:tr>
      <w:tr>
        <w:trPr>
          <w:cantSplit/>
        </w:trPr>
        <w:tc>
          <w:p>
            <w:pPr>
              <w:pStyle w:val="Compact"/>
              <w:jc w:val="left"/>
            </w:pPr>
            <w:r>
              <w:rPr>
                <w:bCs/>
                <w:b/>
                <w:sz w:val="18"/>
              </w:rPr>
              <w:t xml:space="preserve">SERIE DISPONIBLE</w:t>
            </w:r>
          </w:p>
        </w:tc>
        <w:tc>
          <w:p>
            <w:pPr>
              <w:pStyle w:val="Compact"/>
              <w:jc w:val="left"/>
            </w:pPr>
            <w:r>
              <w:rPr>
                <w:sz w:val="18"/>
              </w:rPr>
              <w:t xml:space="preserve">2022-08 → 2026-06 (47 puntos)</w:t>
            </w:r>
          </w:p>
        </w:tc>
        <w:tc>
          <w:p>
            <w:pPr>
              <w:pStyle w:val="Compact"/>
              <w:jc w:val="left"/>
            </w:pPr>
            <w:r>
              <w:rPr>
                <w:bCs/>
                <w:b/>
                <w:sz w:val="18"/>
              </w:rPr>
              <w:t xml:space="preserve">REZAGO DE PUBLICACIÓN</w:t>
            </w:r>
          </w:p>
        </w:tc>
        <w:tc>
          <w:p>
            <w:pPr>
              <w:pStyle w:val="Compact"/>
              <w:jc w:val="left"/>
            </w:pPr>
            <w:r>
              <w:rPr>
                <w:sz w:val="18"/>
              </w:rPr>
              <w:t xml:space="preserve">El IPC sale a mediados del mes siguiente; el componente espera además el salario formal (~2 meses).</w:t>
            </w:r>
          </w:p>
        </w:tc>
      </w:tr>
      <w:tr>
        <w:trPr>
          <w:cantSplit/>
        </w:trPr>
        <w:tc>
          <w:p>
            <w:pPr>
              <w:pStyle w:val="Compact"/>
              <w:jc w:val="left"/>
            </w:pPr>
            <w:r>
              <w:rPr>
                <w:bCs/>
                <w:b/>
                <w:sz w:val="18"/>
              </w:rPr>
              <w:t xml:space="preserve">PRODUCTOR DEL DATO</w:t>
            </w:r>
          </w:p>
        </w:tc>
        <w:tc>
          <w:p>
            <w:pPr>
              <w:pStyle w:val="Compact"/>
              <w:jc w:val="left"/>
            </w:pPr>
            <w:r>
              <w:rPr>
                <w:sz w:val="18"/>
              </w:rPr>
              <w:t xml:space="preserve">INDEC (precios regulados) + Secretaría de Trabajo (RIPTE)</w:t>
            </w:r>
          </w:p>
        </w:tc>
        <w:tc>
          <w:p>
            <w:pPr>
              <w:pStyle w:val="Compact"/>
              <w:jc w:val="left"/>
            </w:pPr>
            <w:r>
              <w:rPr>
                <w:bCs/>
                <w:b/>
                <w:sz w:val="18"/>
              </w:rPr>
              <w:t xml:space="preserve">OPERACIÓN ESTADÍSTICA</w:t>
            </w:r>
          </w:p>
        </w:tc>
        <w:tc>
          <w:p>
            <w:pPr>
              <w:pStyle w:val="Compact"/>
              <w:jc w:val="left"/>
            </w:pPr>
            <w:r>
              <w:rPr>
                <w:sz w:val="18"/>
              </w:rPr>
              <w:t xml:space="preserve">IPC — precios regulados, comparados contra el salario formal</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y planilla del RIPTE.</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44"/>
    <w:bookmarkStart w:id="45" w:name="definición-qué-mide-y-por-qué-importa-2"/>
    <w:p>
      <w:pPr>
        <w:pStyle w:val="Heading2"/>
        <w:keepNext/>
      </w:pPr>
      <w:r>
        <w:t xml:space="preserve">Definición — qué mide y por qué importa</w:t>
      </w:r>
    </w:p>
    <w:p>
      <w:pPr>
        <w:pStyle w:val="FirstParagraph"/>
      </w:pPr>
      <w:r>
        <w:t xml:space="preserve">Cuánto suben en el mes los precios regulados: luz, gas, agua y transporte. En el ITVC puntúa por el NIVEL acumulado de regulados relativo a los salarios, rebaseado a 100 = 4T-2023.</w:t>
      </w:r>
    </w:p>
    <w:p>
      <w:pPr>
        <w:pStyle w:val="BodyText"/>
      </w:pPr>
      <w:r>
        <w:t xml:space="preserve">Mide el impacto acumulado de la quita de subsidios sobre el gasto fijo del hogar en términos de ingresos — la decisión de política más atribuible a la gestión dentro de la dimensión de precios.</w:t>
      </w:r>
    </w:p>
    <w:p>
      <w:pPr>
        <w:pStyle w:val="BodyText"/>
      </w:pPr>
      <w:r>
        <w:rPr>
          <w:bCs/>
          <w:b/>
        </w:rPr>
        <w:t xml:space="preserve">Dimensión que integra — Presión de precios.</w:t>
      </w:r>
      <w:r>
        <w:t xml:space="preserve"> </w:t>
      </w:r>
      <w:r>
        <w:t xml:space="preserve">Lo que más duele en la compra de todos los días: alimentos y tarifas, medidos contra los salarios (no contra la inflación general).</w:t>
      </w:r>
    </w:p>
    <w:bookmarkEnd w:id="45"/>
    <w:bookmarkStart w:id="46" w:name="método-de-cómputo-2"/>
    <w:p>
      <w:pPr>
        <w:pStyle w:val="Heading2"/>
        <w:keepNext/>
      </w:pPr>
      <w:r>
        <w:t xml:space="preserve">Método de cómputo</w:t>
      </w:r>
    </w:p>
    <w:p>
      <w:pPr>
        <w:numPr>
          <w:ilvl w:val="0"/>
          <w:numId w:val="1009"/>
        </w:numPr>
        <w:pStyle w:val="Compact"/>
      </w:pPr>
      <w:r>
        <w:t xml:space="preserve">La card muestra la variación mensual de los regulados.</w:t>
      </w:r>
    </w:p>
    <w:p>
      <w:pPr>
        <w:numPr>
          <w:ilvl w:val="0"/>
          <w:numId w:val="1009"/>
        </w:numPr>
        <w:pStyle w:val="Compact"/>
      </w:pPr>
      <w:r>
        <w:t xml:space="preserve">El componente mide el peso de los servicios regulados en el salario: nivel de regulados contra nivel del RIPTE, rebaseado a 100 = 4º trimestre de 2023. Por debajo de 100, las tarifas subieron más que los salarios desde el arranque.</w:t>
      </w:r>
    </w:p>
    <w:bookmarkEnd w:id="46"/>
    <w:bookmarkStart w:id="47" w:name="Xeaceac25dc22f621ad8bee78d29eedd39b8dc62"/>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71,5</w:t>
      </w:r>
      <w:r>
        <w:t xml:space="preserve">.</w:t>
      </w:r>
    </w:p>
    <w:bookmarkEnd w:id="47"/>
    <w:bookmarkStart w:id="48" w:name="datos-concretos-detrás-del-valor-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0"/>
        </w:numPr>
        <w:pStyle w:val="Compact"/>
      </w:pPr>
      <w:r>
        <w:t xml:space="preserve">El informe publica el valor (2,3 % m/m regulados) pero no los números que lo componen: la fuente entrega la serie ya calculada. Para auditar el dato hay que ir a la operación estadística citada más arriba.</w:t>
      </w:r>
    </w:p>
    <w:bookmarkEnd w:id="48"/>
    <w:bookmarkStart w:id="49" w:name="color-vigente-y-por-qué-2"/>
    <w:p>
      <w:pPr>
        <w:pStyle w:val="Heading2"/>
        <w:keepNext/>
      </w:pPr>
      <w:r>
        <w:t xml:space="preserve">Color vigente y por qué</w:t>
      </w:r>
    </w:p>
    <w:p>
      <w:pPr>
        <w:pStyle w:val="FirstParagraph"/>
      </w:pPr>
      <w:r>
        <w:t xml:space="preserve">Dato vigente: 2,3 % m/m regulados (2026-06).</w:t>
      </w:r>
    </w:p>
    <w:p>
      <w:pPr>
        <w:pStyle w:val="BodyText"/>
      </w:pPr>
      <w:r>
        <w:t xml:space="preserve">El componente está en 71,5 sobre la base 100 del 4º trimestre de 2023 — menos de 85 —, que es el tramo ROJO. Está por debajo del punto donde la tensión toca 10, así que el semáforo ya no distingue deterioros adicionales: seguiría rojo igual.</w:t>
      </w:r>
    </w:p>
    <w:p>
      <w:pPr>
        <w:pStyle w:val="BodyText"/>
      </w:pPr>
      <w:r>
        <w:rPr>
          <w:bCs/>
          <w:b/>
        </w:rPr>
        <w:t xml:space="preserve">Color vigente: ROJO</w:t>
      </w:r>
    </w:p>
    <w:p>
      <w:pPr>
        <w:pStyle w:val="BodyText"/>
      </w:pPr>
      <w:r>
        <w:t xml:space="preserve">Ponderación vigente en el ITVC: 11,2 % efectivo. El color es una lectura adicional — no reemplaza ni cambia esta ponderación.</w:t>
      </w:r>
    </w:p>
    <w:bookmarkEnd w:id="49"/>
    <w:bookmarkStart w:id="50" w:name="transparencia-limitaciones-declaradas-2"/>
    <w:p>
      <w:pPr>
        <w:pStyle w:val="Heading2"/>
        <w:keepNext/>
      </w:pPr>
      <w:r>
        <w:t xml:space="preserve">Transparencia — limitaciones declaradas</w:t>
      </w:r>
    </w:p>
    <w:p>
      <w:pPr>
        <w:numPr>
          <w:ilvl w:val="0"/>
          <w:numId w:val="1011"/>
        </w:numPr>
        <w:pStyle w:val="Compact"/>
      </w:pPr>
      <w:r>
        <w:t xml:space="preserve">La tensión equivalente del componente excede la escala del cinturón y se corta en el máximo: el deterioro es mayor que lo que la escala muestra.</w:t>
      </w:r>
    </w:p>
    <w:p>
      <w:pPr>
        <w:numPr>
          <w:ilvl w:val="0"/>
          <w:numId w:val="1011"/>
        </w:numPr>
        <w:pStyle w:val="Compact"/>
      </w:pPr>
      <w:r>
        <w:t xml:space="preserve">Depende del RIPTE, que cubre solo asalariados formales.</w:t>
      </w:r>
    </w:p>
    <w:bookmarkEnd w:id="50"/>
    <w:bookmarkStart w:id="51" w:name="Xef0254494c8cbb948c0e61c654d5e9b1983623c"/>
    <w:p>
      <w:pPr>
        <w:pStyle w:val="Heading2"/>
        <w:keepNext/>
      </w:pPr>
      <w:r>
        <w:t xml:space="preserve">Si falta el dato / Política de revisiones</w:t>
      </w:r>
    </w:p>
    <w:p>
      <w:pPr>
        <w:numPr>
          <w:ilvl w:val="0"/>
          <w:numId w:val="1012"/>
        </w:numPr>
      </w:pPr>
      <w:r>
        <w:rPr>
          <w:bCs/>
          <w:b/>
        </w:rPr>
        <w:t xml:space="preserve">Si falta el dato:</w:t>
      </w:r>
      <w:r>
        <w:t xml:space="preserve"> </w:t>
      </w:r>
      <w:r>
        <w:t xml:space="preserve">Se mantiene el último valor publicado como desactualizado; sin componente, renormalización.</w:t>
      </w:r>
    </w:p>
    <w:p>
      <w:pPr>
        <w:numPr>
          <w:ilvl w:val="0"/>
          <w:numId w:val="1012"/>
        </w:numPr>
      </w:pPr>
      <w:r>
        <w:rPr>
          <w:bCs/>
          <w:b/>
        </w:rPr>
        <w:t xml:space="preserve">Política de revisiones:</w:t>
      </w:r>
      <w:r>
        <w:t xml:space="preserve"> </w:t>
      </w:r>
      <w:r>
        <w:t xml:space="preserve">Re-descarga completa por actualización; base dinámica de la propia serie.</w:t>
      </w:r>
    </w:p>
    <w:bookmarkEnd w:id="51"/>
    <w:bookmarkStart w:id="52" w:name="X26b91c30c62ddbbdbd672bb193ae636df8c7ae1"/>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base-100 como nivel de regulados contra el salario (antes puntuaba por variación mensual anclada).</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52"/>
    <w:bookmarkEnd w:id="53"/>
    <w:bookmarkStart w:id="63" w:name="costo-real-del-alquiler"/>
    <w:p>
      <w:pPr>
        <w:pStyle w:val="Heading1"/>
        <w:keepNext/>
      </w:pPr>
      <w:r>
        <w:t xml:space="preserve">Costo real del alquiler</w:t>
      </w:r>
    </w:p>
    <w:p>
      <w:pPr>
        <w:pStyle w:val="FirstParagraph"/>
      </w:pPr>
      <w:r>
        <w:t xml:space="preserve">Cuánto se encareció el alquiler de la vivienda por encima del resto de los precios. En el ITVC puntúa por el NIVEL del alquiler relativo al índice general del Gran Buenos Aires, rebaseado a 100 = 4T-2023.</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3,87 % m/m alquileres</w:t>
            </w:r>
            <w:r>
              <w:rPr>
                <w:sz w:val="18"/>
              </w:rPr>
              <w:t xml:space="preserve"> </w:t>
            </w:r>
            <w:r>
              <w:rPr>
                <w:sz w:val="18"/>
              </w:rPr>
              <w:t xml:space="preserve">(2026-06)</w:t>
            </w:r>
          </w:p>
        </w:tc>
        <w:tc>
          <w:tcPr>
            <w:shd w:val="clear" w:color="auto" w:fill="FEE2E2"/>
          </w:tcPr>
          <w:p>
            <w:pPr>
              <w:pStyle w:val="Compact"/>
              <w:jc w:val="center"/>
            </w:pPr>
            <w:r>
              <w:rPr>
                <w:bCs/>
                <w:b/>
                <w:sz w:val="18"/>
                <w:color w:val="7F1D1D"/>
              </w:rPr>
              <w:t xml:space="preserve">ROJO</w:t>
            </w:r>
          </w:p>
        </w:tc>
        <w:tc>
          <w:p>
            <w:pPr>
              <w:pStyle w:val="Compact"/>
              <w:jc w:val="left"/>
            </w:pPr>
            <w:r>
              <w:rPr>
                <w:sz w:val="18"/>
              </w:rPr>
              <w:t xml:space="preserve">Peso efectivo 5 % del ITVC</w:t>
            </w:r>
          </w:p>
        </w:tc>
        <w:tc>
          <w:p>
            <w:pPr>
              <w:pStyle w:val="Compact"/>
              <w:jc w:val="left"/>
            </w:pPr>
            <w:r>
              <w:rPr>
                <w:sz w:val="18"/>
              </w:rPr>
              <w:t xml:space="preserve">Cinturón Vida cotidiana</w:t>
            </w:r>
          </w:p>
        </w:tc>
      </w:tr>
    </w:tbl>
    <w:bookmarkStart w:id="54" w:name="identificación-3"/>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alquiler_real</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Presión de precios</w:t>
            </w:r>
          </w:p>
        </w:tc>
        <w:tc>
          <w:p>
            <w:pPr>
              <w:pStyle w:val="Compact"/>
              <w:jc w:val="left"/>
            </w:pPr>
            <w:r>
              <w:rPr>
                <w:bCs/>
                <w:b/>
                <w:sz w:val="18"/>
              </w:rPr>
              <w:t xml:space="preserve">UNIDAD DE MEDIDA</w:t>
            </w:r>
          </w:p>
        </w:tc>
        <w:tc>
          <w:p>
            <w:pPr>
              <w:pStyle w:val="Compact"/>
              <w:jc w:val="left"/>
            </w:pPr>
            <w:r>
              <w:rPr>
                <w:sz w:val="18"/>
              </w:rPr>
              <w:t xml:space="preserve">% m/m alquileres</w:t>
            </w:r>
          </w:p>
        </w:tc>
      </w:tr>
      <w:tr>
        <w:trPr>
          <w:cantSplit/>
        </w:trPr>
        <w:tc>
          <w:p>
            <w:pPr>
              <w:pStyle w:val="Compact"/>
              <w:jc w:val="left"/>
            </w:pPr>
            <w:r>
              <w:rPr>
                <w:bCs/>
                <w:b/>
                <w:sz w:val="18"/>
              </w:rPr>
              <w:t xml:space="preserve">SERIE DISPONIBLE</w:t>
            </w:r>
          </w:p>
        </w:tc>
        <w:tc>
          <w:p>
            <w:pPr>
              <w:pStyle w:val="Compact"/>
              <w:jc w:val="left"/>
            </w:pPr>
            <w:r>
              <w:rPr>
                <w:sz w:val="18"/>
              </w:rPr>
              <w:t xml:space="preserve">2021-08 → 2026-06 (59 puntos)</w:t>
            </w:r>
          </w:p>
        </w:tc>
        <w:tc>
          <w:p>
            <w:pPr>
              <w:pStyle w:val="Compact"/>
              <w:jc w:val="left"/>
            </w:pPr>
            <w:r>
              <w:rPr>
                <w:bCs/>
                <w:b/>
                <w:sz w:val="18"/>
              </w:rPr>
              <w:t xml:space="preserve">REZAGO DE PUBLICACIÓN</w:t>
            </w:r>
          </w:p>
        </w:tc>
        <w:tc>
          <w:p>
            <w:pPr>
              <w:pStyle w:val="Compact"/>
              <w:jc w:val="left"/>
            </w:pPr>
            <w:r>
              <w:rPr>
                <w:sz w:val="18"/>
              </w:rPr>
              <w:t xml:space="preserve">El IPC-GBA se publica a mediados del mes siguiente (~1 mes).</w:t>
            </w:r>
          </w:p>
        </w:tc>
      </w:tr>
      <w:tr>
        <w:trPr>
          <w:cantSplit/>
        </w:trPr>
        <w:tc>
          <w:p>
            <w:pPr>
              <w:pStyle w:val="Compact"/>
              <w:jc w:val="left"/>
            </w:pPr>
            <w:r>
              <w:rPr>
                <w:bCs/>
                <w:b/>
                <w:sz w:val="18"/>
              </w:rPr>
              <w:t xml:space="preserve">PRODUCTOR DEL DATO</w:t>
            </w:r>
          </w:p>
        </w:tc>
        <w:tc>
          <w:p>
            <w:pPr>
              <w:pStyle w:val="Compact"/>
              <w:jc w:val="left"/>
            </w:pPr>
            <w:r>
              <w:rPr>
                <w:sz w:val="18"/>
              </w:rPr>
              <w:t xml:space="preserve">INDEC</w:t>
            </w:r>
          </w:p>
        </w:tc>
        <w:tc>
          <w:p>
            <w:pPr>
              <w:pStyle w:val="Compact"/>
              <w:jc w:val="left"/>
            </w:pPr>
            <w:r>
              <w:rPr>
                <w:bCs/>
                <w:b/>
                <w:sz w:val="18"/>
              </w:rPr>
              <w:t xml:space="preserve">OPERACIÓN ESTADÍSTICA</w:t>
            </w:r>
          </w:p>
        </w:tc>
        <w:tc>
          <w:p>
            <w:pPr>
              <w:pStyle w:val="Compact"/>
              <w:jc w:val="left"/>
            </w:pPr>
            <w:r>
              <w:rPr>
                <w:sz w:val="18"/>
              </w:rPr>
              <w:t xml:space="preserve">Índice de Precios al Consumidor del Gran Buenos Aires — alquiler de la vivienda</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54"/>
    <w:bookmarkStart w:id="55" w:name="definición-qué-mide-y-por-qué-importa-3"/>
    <w:p>
      <w:pPr>
        <w:pStyle w:val="Heading2"/>
        <w:keepNext/>
      </w:pPr>
      <w:r>
        <w:t xml:space="preserve">Definición — qué mide y por qué importa</w:t>
      </w:r>
    </w:p>
    <w:p>
      <w:pPr>
        <w:pStyle w:val="FirstParagraph"/>
      </w:pPr>
      <w:r>
        <w:t xml:space="preserve">Cuánto se encareció el alquiler de la vivienda por encima del resto de los precios. En el ITVC puntúa por el NIVEL del alquiler relativo al índice general del Gran Buenos Aires, rebaseado a 100 = 4T-2023.</w:t>
      </w:r>
    </w:p>
    <w:p>
      <w:pPr>
        <w:pStyle w:val="BodyText"/>
      </w:pPr>
      <w:r>
        <w:t xml:space="preserve">La desregulación del mercado de alquileres fue uno de los cambios de política más visibles del período, y el costo de la vivienda golpea sobre todo a los hogares inquilinos urbanos — un gasto fijo que ningún otro componente del cinturón captura.</w:t>
      </w:r>
    </w:p>
    <w:p>
      <w:pPr>
        <w:pStyle w:val="BodyText"/>
      </w:pPr>
      <w:r>
        <w:rPr>
          <w:bCs/>
          <w:b/>
        </w:rPr>
        <w:t xml:space="preserve">Dimensión que integra — Presión de precios.</w:t>
      </w:r>
      <w:r>
        <w:t xml:space="preserve"> </w:t>
      </w:r>
      <w:r>
        <w:t xml:space="preserve">Lo que más duele en la compra de todos los días: alimentos y tarifas, medidos contra los salarios (no contra la inflación general).</w:t>
      </w:r>
    </w:p>
    <w:bookmarkEnd w:id="55"/>
    <w:bookmarkStart w:id="56" w:name="método-de-cómputo-3"/>
    <w:p>
      <w:pPr>
        <w:pStyle w:val="Heading2"/>
        <w:keepNext/>
      </w:pPr>
      <w:r>
        <w:t xml:space="preserve">Método de cómputo</w:t>
      </w:r>
    </w:p>
    <w:p>
      <w:pPr>
        <w:numPr>
          <w:ilvl w:val="0"/>
          <w:numId w:val="1013"/>
        </w:numPr>
        <w:pStyle w:val="Compact"/>
      </w:pPr>
      <w:r>
        <w:t xml:space="preserve">La card muestra la variación mensual del alquiler.</w:t>
      </w:r>
    </w:p>
    <w:p>
      <w:pPr>
        <w:numPr>
          <w:ilvl w:val="0"/>
          <w:numId w:val="1013"/>
        </w:numPr>
        <w:pStyle w:val="Compact"/>
      </w:pPr>
      <w:r>
        <w:t xml:space="preserve">El componente mide el encarecimiento RELATIVO del alquiler: nivel del alquiler contra el nivel general de precios del mismo aglomerado, rebaseado a 100 = 4º trimestre de 2023. Por debajo de 100, el alquiler subió más que el resto de los precios desde el arranque.</w:t>
      </w:r>
    </w:p>
    <w:p>
      <w:pPr>
        <w:numPr>
          <w:ilvl w:val="0"/>
          <w:numId w:val="1013"/>
        </w:numPr>
        <w:pStyle w:val="Compact"/>
      </w:pPr>
      <w:r>
        <w:t xml:space="preserve">Se compara contra el índice general del Gran Buenos Aires y no contra el nacional: dividir un precio de una plaza por el índice de otra mezclaría dos mercados en el mismo cociente.</w:t>
      </w:r>
    </w:p>
    <w:bookmarkEnd w:id="56"/>
    <w:bookmarkStart w:id="57" w:name="X884d325e79d6de86b403bfd00b9257f415af6f1"/>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64,3</w:t>
      </w:r>
      <w:r>
        <w:t xml:space="preserve">.</w:t>
      </w:r>
    </w:p>
    <w:bookmarkEnd w:id="57"/>
    <w:bookmarkStart w:id="58" w:name="datos-concretos-detrás-del-valor-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4"/>
        </w:numPr>
        <w:pStyle w:val="Compact"/>
      </w:pPr>
      <w:r>
        <w:t xml:space="preserve">El informe publica el valor (3,87 % m/m alquileres) pero no los números que lo componen: la fuente entrega la serie ya calculada. Para auditar el dato hay que ir a la operación estadística citada más arriba.</w:t>
      </w:r>
    </w:p>
    <w:bookmarkEnd w:id="58"/>
    <w:bookmarkStart w:id="59" w:name="color-vigente-y-por-qué-3"/>
    <w:p>
      <w:pPr>
        <w:pStyle w:val="Heading2"/>
        <w:keepNext/>
      </w:pPr>
      <w:r>
        <w:t xml:space="preserve">Color vigente y por qué</w:t>
      </w:r>
    </w:p>
    <w:p>
      <w:pPr>
        <w:pStyle w:val="FirstParagraph"/>
      </w:pPr>
      <w:r>
        <w:t xml:space="preserve">Dato vigente: 3,87 % m/m alquileres (2026-06).</w:t>
      </w:r>
    </w:p>
    <w:p>
      <w:pPr>
        <w:pStyle w:val="BodyText"/>
      </w:pPr>
      <w:r>
        <w:t xml:space="preserve">El componente está en 64,3 sobre la base 100 del 4º trimestre de 2023 — menos de 85 —, que es el tramo ROJO. Está por debajo del punto donde la tensión toca 10, así que el semáforo ya no distingue deterioros adicionales: seguiría rojo igual.</w:t>
      </w:r>
    </w:p>
    <w:p>
      <w:pPr>
        <w:pStyle w:val="BodyText"/>
      </w:pPr>
      <w:r>
        <w:rPr>
          <w:bCs/>
          <w:b/>
        </w:rPr>
        <w:t xml:space="preserve">Color vigente: ROJO</w:t>
      </w:r>
    </w:p>
    <w:p>
      <w:pPr>
        <w:pStyle w:val="BodyText"/>
      </w:pPr>
      <w:r>
        <w:t xml:space="preserve">Ponderación vigente en el ITVC: 5 % efectivo. El color es una lectura adicional — no reemplaza ni cambia esta ponderación.</w:t>
      </w:r>
    </w:p>
    <w:bookmarkEnd w:id="59"/>
    <w:bookmarkStart w:id="60" w:name="transparencia-limitaciones-declaradas-3"/>
    <w:p>
      <w:pPr>
        <w:pStyle w:val="Heading2"/>
        <w:keepNext/>
      </w:pPr>
      <w:r>
        <w:t xml:space="preserve">Transparencia — limitaciones declaradas</w:t>
      </w:r>
    </w:p>
    <w:p>
      <w:pPr>
        <w:numPr>
          <w:ilvl w:val="0"/>
          <w:numId w:val="1015"/>
        </w:numPr>
        <w:pStyle w:val="Compact"/>
      </w:pPr>
      <w:r>
        <w:t xml:space="preserve">Sólo mide el Gran Buenos Aires: es la única apertura de alquiler que publica el INDEC, y el mercado del interior puede comportarse distinto.</w:t>
      </w:r>
    </w:p>
    <w:p>
      <w:pPr>
        <w:numPr>
          <w:ilvl w:val="0"/>
          <w:numId w:val="1015"/>
        </w:numPr>
        <w:pStyle w:val="Compact"/>
      </w:pPr>
      <w:r>
        <w:t xml:space="preserve">Mide el alquiler que releva el IPC, que sigue contratos vigentes; los valores de los contratos nuevos pueden moverse antes.</w:t>
      </w:r>
    </w:p>
    <w:p>
      <w:pPr>
        <w:numPr>
          <w:ilvl w:val="0"/>
          <w:numId w:val="1015"/>
        </w:numPr>
        <w:pStyle w:val="Compact"/>
      </w:pPr>
      <w:r>
        <w:t xml:space="preserve">No distingue entre hogares propietarios e inquilinos: el índice describe el precio, no cuántos lo pagan.</w:t>
      </w:r>
    </w:p>
    <w:bookmarkEnd w:id="60"/>
    <w:bookmarkStart w:id="61" w:name="X70e697facfb18692fa01ac9fd893f095e78dfba"/>
    <w:p>
      <w:pPr>
        <w:pStyle w:val="Heading2"/>
        <w:keepNext/>
      </w:pPr>
      <w:r>
        <w:t xml:space="preserve">Si falta el dato / Política de revisiones</w:t>
      </w:r>
    </w:p>
    <w:p>
      <w:pPr>
        <w:numPr>
          <w:ilvl w:val="0"/>
          <w:numId w:val="1016"/>
        </w:numPr>
      </w:pPr>
      <w:r>
        <w:rPr>
          <w:bCs/>
          <w:b/>
        </w:rPr>
        <w:t xml:space="preserve">Si falta el dato:</w:t>
      </w:r>
      <w:r>
        <w:t xml:space="preserve"> </w:t>
      </w:r>
      <w:r>
        <w:t xml:space="preserve">Se mantiene el último valor publicado como desactualizado; sin componente, renormalización.</w:t>
      </w:r>
    </w:p>
    <w:p>
      <w:pPr>
        <w:numPr>
          <w:ilvl w:val="0"/>
          <w:numId w:val="1016"/>
        </w:numPr>
      </w:pPr>
      <w:r>
        <w:rPr>
          <w:bCs/>
          <w:b/>
        </w:rPr>
        <w:t xml:space="preserve">Política de revisiones:</w:t>
      </w:r>
      <w:r>
        <w:t xml:space="preserve"> </w:t>
      </w:r>
      <w:r>
        <w:t xml:space="preserve">Re-descarga completa por actualización; base fija en el 4º trimestre de 2023.</w:t>
      </w:r>
    </w:p>
    <w:bookmarkEnd w:id="61"/>
    <w:bookmarkStart w:id="62" w:name="X57c472e6153e0a3a54ac23c7ee61d844b37a3be"/>
    <w:p>
      <w:pPr>
        <w:pStyle w:val="Heading2"/>
        <w:keepNext/>
      </w:pPr>
      <w:r>
        <w:t xml:space="preserve">Historial — cambios metodológicos documentados</w:t>
      </w:r>
    </w:p>
    <w:p>
      <w:pPr>
        <w:pStyle w:val="FirstParagraph"/>
      </w:pPr>
      <w:r>
        <w:rPr>
          <w:bCs/>
          <w:b/>
        </w:rPr>
        <w:t xml:space="preserve">2026-07-20</w:t>
      </w:r>
      <w:r>
        <w:t xml:space="preserve"> </w:t>
      </w:r>
      <w:r>
        <w:t xml:space="preserve">— Alta del indicador: la dimensión de precios no medía el costo de la vivienda.</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62"/>
    <w:bookmarkEnd w:id="63"/>
    <w:bookmarkStart w:id="73" w:name="consumo-de-carne-per-cápita"/>
    <w:p>
      <w:pPr>
        <w:pStyle w:val="Heading1"/>
        <w:keepNext/>
      </w:pPr>
      <w:r>
        <w:t xml:space="preserve">Consumo de carne per cápita</w:t>
      </w:r>
    </w:p>
    <w:p>
      <w:pPr>
        <w:pStyle w:val="FirstParagraph"/>
      </w:pPr>
      <w:r>
        <w:t xml:space="preserve">Cuántos kilos de carne vacuna consume por año cada habitante.</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47,5 kg/hab/año</w:t>
            </w:r>
            <w:r>
              <w:rPr>
                <w:sz w:val="18"/>
              </w:rPr>
              <w:t xml:space="preserve"> </w:t>
            </w:r>
            <w:r>
              <w:rPr>
                <w:sz w:val="18"/>
              </w:rPr>
              <w:t xml:space="preserve">(2026-05)</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1,1 % del ITVC</w:t>
            </w:r>
          </w:p>
        </w:tc>
        <w:tc>
          <w:p>
            <w:pPr>
              <w:pStyle w:val="Compact"/>
              <w:jc w:val="left"/>
            </w:pPr>
            <w:r>
              <w:rPr>
                <w:sz w:val="18"/>
              </w:rPr>
              <w:t xml:space="preserve">Cinturón Vida cotidiana</w:t>
            </w:r>
          </w:p>
        </w:tc>
      </w:tr>
    </w:tbl>
    <w:bookmarkStart w:id="64" w:name="identificación-4"/>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consumo_carne</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Ingresos y consumo</w:t>
            </w:r>
          </w:p>
        </w:tc>
        <w:tc>
          <w:p>
            <w:pPr>
              <w:pStyle w:val="Compact"/>
              <w:jc w:val="left"/>
            </w:pPr>
            <w:r>
              <w:rPr>
                <w:bCs/>
                <w:b/>
                <w:sz w:val="18"/>
              </w:rPr>
              <w:t xml:space="preserve">UNIDAD DE MEDIDA</w:t>
            </w:r>
          </w:p>
        </w:tc>
        <w:tc>
          <w:p>
            <w:pPr>
              <w:pStyle w:val="Compact"/>
              <w:jc w:val="left"/>
            </w:pPr>
            <w:r>
              <w:rPr>
                <w:sz w:val="18"/>
              </w:rPr>
              <w:t xml:space="preserve">kg/hab/año</w:t>
            </w:r>
          </w:p>
        </w:tc>
      </w:tr>
      <w:tr>
        <w:trPr>
          <w:cantSplit/>
        </w:trPr>
        <w:tc>
          <w:p>
            <w:pPr>
              <w:pStyle w:val="Compact"/>
              <w:jc w:val="left"/>
            </w:pPr>
            <w:r>
              <w:rPr>
                <w:bCs/>
                <w:b/>
                <w:sz w:val="18"/>
              </w:rPr>
              <w:t xml:space="preserve">SERIE DISPONIBLE</w:t>
            </w:r>
          </w:p>
        </w:tc>
        <w:tc>
          <w:p>
            <w:pPr>
              <w:pStyle w:val="Compact"/>
              <w:jc w:val="left"/>
            </w:pPr>
            <w:r>
              <w:rPr>
                <w:sz w:val="18"/>
              </w:rPr>
              <w:t xml:space="preserve">2023-10 → 2026-05 (30 puntos)</w:t>
            </w:r>
          </w:p>
        </w:tc>
        <w:tc>
          <w:p>
            <w:pPr>
              <w:pStyle w:val="Compact"/>
              <w:jc w:val="left"/>
            </w:pPr>
            <w:r>
              <w:rPr>
                <w:bCs/>
                <w:b/>
                <w:sz w:val="18"/>
              </w:rPr>
              <w:t xml:space="preserve">REZAGO DE PUBLICACIÓN</w:t>
            </w:r>
          </w:p>
        </w:tc>
        <w:tc>
          <w:p>
            <w:pPr>
              <w:pStyle w:val="Compact"/>
              <w:jc w:val="left"/>
            </w:pPr>
            <w:r>
              <w:rPr>
                <w:sz w:val="18"/>
              </w:rPr>
              <w:t xml:space="preserve">La cámara publica el informe de cada mes con un mes de demora; el titular y la serie avanzan juntos apenas aparece el informe nuevo.</w:t>
            </w:r>
          </w:p>
        </w:tc>
      </w:tr>
      <w:tr>
        <w:trPr>
          <w:cantSplit/>
        </w:trPr>
        <w:tc>
          <w:p>
            <w:pPr>
              <w:pStyle w:val="Compact"/>
              <w:jc w:val="left"/>
            </w:pPr>
            <w:r>
              <w:rPr>
                <w:bCs/>
                <w:b/>
                <w:sz w:val="18"/>
              </w:rPr>
              <w:t xml:space="preserve">PRODUCTOR DEL DATO</w:t>
            </w:r>
          </w:p>
        </w:tc>
        <w:tc>
          <w:p>
            <w:pPr>
              <w:pStyle w:val="Compact"/>
              <w:jc w:val="left"/>
            </w:pPr>
            <w:r>
              <w:rPr>
                <w:sz w:val="18"/>
              </w:rPr>
              <w:t xml:space="preserve">CICCRA — Cámara de la Industria y Comercio de Carnes</w:t>
            </w:r>
          </w:p>
        </w:tc>
        <w:tc>
          <w:p>
            <w:pPr>
              <w:pStyle w:val="Compact"/>
              <w:jc w:val="left"/>
            </w:pPr>
            <w:r>
              <w:rPr>
                <w:bCs/>
                <w:b/>
                <w:sz w:val="18"/>
              </w:rPr>
              <w:t xml:space="preserve">OPERACIÓN ESTADÍSTICA</w:t>
            </w:r>
          </w:p>
        </w:tc>
        <w:tc>
          <w:p>
            <w:pPr>
              <w:pStyle w:val="Compact"/>
              <w:jc w:val="left"/>
            </w:pPr>
            <w:r>
              <w:rPr>
                <w:sz w:val="18"/>
              </w:rPr>
              <w:t xml:space="preserve">Informe económico mensual: consumo aparente de carne vacuna por habitante, promedio móvil de 12 meses anualizado</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del informe mensual (PDF); cada informe se procesa una sola vez y queda en el archivo propio de la serie.</w:t>
            </w:r>
          </w:p>
        </w:tc>
        <w:tc>
          <w:p>
            <w:pPr>
              <w:pStyle w:val="Compact"/>
              <w:jc w:val="left"/>
            </w:pPr>
            <w:r>
              <w:rPr>
                <w:bCs/>
                <w:b/>
                <w:sz w:val="18"/>
              </w:rPr>
              <w:t xml:space="preserve">ÚLTIMA ACTUALIZACIÓN</w:t>
            </w:r>
          </w:p>
        </w:tc>
        <w:tc>
          <w:p>
            <w:pPr>
              <w:pStyle w:val="Compact"/>
              <w:jc w:val="left"/>
            </w:pPr>
            <w:r>
              <w:rPr>
                <w:sz w:val="18"/>
              </w:rPr>
              <w:t xml:space="preserve">Dato a 2026-05 · informe generado el 2026-08-09</w:t>
            </w:r>
          </w:p>
        </w:tc>
      </w:tr>
    </w:tbl>
    <w:bookmarkEnd w:id="64"/>
    <w:bookmarkStart w:id="65" w:name="definición-qué-mide-y-por-qué-importa-4"/>
    <w:p>
      <w:pPr>
        <w:pStyle w:val="Heading2"/>
        <w:keepNext/>
      </w:pPr>
      <w:r>
        <w:t xml:space="preserve">Definición — qué mide y por qué importa</w:t>
      </w:r>
    </w:p>
    <w:p>
      <w:pPr>
        <w:pStyle w:val="FirstParagraph"/>
      </w:pPr>
      <w:r>
        <w:t xml:space="preserve">Cuántos kilos de carne vacuna consume por año cada habitante.</w:t>
      </w:r>
    </w:p>
    <w:p>
      <w:pPr>
        <w:pStyle w:val="BodyText"/>
      </w:pPr>
      <w:r>
        <w:t xml:space="preserve">Proxy histórico del bienestar alimentario y del poder de compra popular.</w:t>
      </w:r>
    </w:p>
    <w:p>
      <w:pPr>
        <w:pStyle w:val="BodyText"/>
      </w:pPr>
      <w:r>
        <w:rPr>
          <w:bCs/>
          <w:b/>
        </w:rPr>
        <w:t xml:space="preserve">Dimensión que integra — Ingresos y consumo.</w:t>
      </w:r>
      <w:r>
        <w:t xml:space="preserve"> </w:t>
      </w:r>
      <w:r>
        <w:t xml:space="preserve">Si el sueldo alcanza y qué compra: la brecha entre el salario y la canasta de pobreza, cuánta gente trabaja en la informalidad, y dos termómetros de bolsillo —el consumo de carne y el patentamiento de motos— que se mueven con el poder de compra.</w:t>
      </w:r>
    </w:p>
    <w:bookmarkEnd w:id="65"/>
    <w:bookmarkStart w:id="66" w:name="método-de-cómputo-4"/>
    <w:p>
      <w:pPr>
        <w:pStyle w:val="Heading2"/>
        <w:keepNext/>
      </w:pPr>
      <w:r>
        <w:t xml:space="preserve">Método de cómputo</w:t>
      </w:r>
    </w:p>
    <w:p>
      <w:pPr>
        <w:numPr>
          <w:ilvl w:val="0"/>
          <w:numId w:val="1017"/>
        </w:numPr>
        <w:pStyle w:val="Compact"/>
      </w:pPr>
      <w:r>
        <w:t xml:space="preserve">La fuente ya publica el promedio móvil de 12 meses: desestacionaliza por construcción.</w:t>
      </w:r>
    </w:p>
    <w:p>
      <w:pPr>
        <w:numPr>
          <w:ilvl w:val="0"/>
          <w:numId w:val="1017"/>
        </w:numPr>
        <w:pStyle w:val="Compact"/>
      </w:pPr>
      <w:r>
        <w:t xml:space="preserve">Componente del índice: el consumo rebaseado a 100 = promedio del 4º trimestre de 2023 (menos carne = deterioro).</w:t>
      </w:r>
    </w:p>
    <w:bookmarkEnd w:id="66"/>
    <w:bookmarkStart w:id="67" w:name="X645ca3b02a92b2e30ea8c7e8d98b73de6b8b70c"/>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89,3</w:t>
      </w:r>
      <w:r>
        <w:t xml:space="preserve">.</w:t>
      </w:r>
    </w:p>
    <w:bookmarkEnd w:id="67"/>
    <w:bookmarkStart w:id="68" w:name="datos-concretos-detrás-del-valor-4"/>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18"/>
        </w:numPr>
        <w:pStyle w:val="Compact"/>
      </w:pPr>
      <w:r>
        <w:t xml:space="preserve">El informe publica el valor (47,5 kg/hab/año) pero no los números que lo componen: la fuente entrega la serie ya calculada. Para auditar el dato hay que ir a la operación estadística citada más arriba.</w:t>
      </w:r>
    </w:p>
    <w:bookmarkEnd w:id="68"/>
    <w:bookmarkStart w:id="69" w:name="color-vigente-y-por-qué-4"/>
    <w:p>
      <w:pPr>
        <w:pStyle w:val="Heading2"/>
        <w:keepNext/>
      </w:pPr>
      <w:r>
        <w:t xml:space="preserve">Color vigente y por qué</w:t>
      </w:r>
    </w:p>
    <w:p>
      <w:pPr>
        <w:pStyle w:val="FirstParagraph"/>
      </w:pPr>
      <w:r>
        <w:t xml:space="preserve">Dato vigente: 47,5 kg/hab/año (2026-05).</w:t>
      </w:r>
    </w:p>
    <w:p>
      <w:pPr>
        <w:pStyle w:val="BodyText"/>
      </w:pPr>
      <w:r>
        <w:t xml:space="preserve">El componente está en 89,3 sobre la base 100 del 4º trimestre de 2023 — de 85 a 95 —, que es el tramo NARANJA.</w:t>
      </w:r>
    </w:p>
    <w:p>
      <w:pPr>
        <w:pStyle w:val="BodyText"/>
      </w:pPr>
      <w:r>
        <w:rPr>
          <w:bCs/>
          <w:b/>
        </w:rPr>
        <w:t xml:space="preserve">Color vigente: NARANJA</w:t>
      </w:r>
    </w:p>
    <w:p>
      <w:pPr>
        <w:pStyle w:val="BodyText"/>
      </w:pPr>
      <w:r>
        <w:t xml:space="preserve">Ponderación vigente en el ITVC: 1,1 % efectivo. El color es una lectura adicional — no reemplaza ni cambia esta ponderación.</w:t>
      </w:r>
    </w:p>
    <w:bookmarkEnd w:id="69"/>
    <w:bookmarkStart w:id="70" w:name="transparencia-limitaciones-declaradas-4"/>
    <w:p>
      <w:pPr>
        <w:pStyle w:val="Heading2"/>
        <w:keepNext/>
      </w:pPr>
      <w:r>
        <w:t xml:space="preserve">Transparencia — limitaciones declaradas</w:t>
      </w:r>
    </w:p>
    <w:p>
      <w:pPr>
        <w:numPr>
          <w:ilvl w:val="0"/>
          <w:numId w:val="1019"/>
        </w:numPr>
        <w:pStyle w:val="Compact"/>
      </w:pPr>
      <w:r>
        <w:t xml:space="preserve">Consumo «aparente» (producción menos exportaciones), no medición de hogares. No capta la sustitución hacia proteína más barata, que en este período fue grande: la caída del consumo de carne vacuna se compensa en buena medida con el aumento del de cerdo y la estabilidad del de pollo, de modo que el consumo total de las tres carnes cae mucho menos que el de vacuna sola. Como termómetro de TENDENCIA sigue siendo válido —la carne vacuna se mueve casi igual que el total de las tres (correlación 0,99 en los cambios mes a mes)—, pero leído como NIVEL de bienestar alimentario exagera el deterioro. Por eso pesa poco (1,5%) y acompaña, no lidera.</w:t>
      </w:r>
    </w:p>
    <w:p>
      <w:pPr>
        <w:numPr>
          <w:ilvl w:val="0"/>
          <w:numId w:val="1019"/>
        </w:numPr>
        <w:pStyle w:val="Compact"/>
      </w:pPr>
      <w:r>
        <w:t xml:space="preserve">Fuente sectorial privada, publicada en PDF sin interfaz de datos: la lectura depende del formato del informe.</w:t>
      </w:r>
    </w:p>
    <w:p>
      <w:pPr>
        <w:numPr>
          <w:ilvl w:val="0"/>
          <w:numId w:val="1019"/>
        </w:numPr>
        <w:pStyle w:val="Compact"/>
      </w:pPr>
      <w:r>
        <w:t xml:space="preserve">La línea de base del 4º trimestre de 2023 usa la foto contemporánea de entonces, declarada; el dato revisado de la fuente difiere levemente.</w:t>
      </w:r>
    </w:p>
    <w:bookmarkEnd w:id="70"/>
    <w:bookmarkStart w:id="71" w:name="X61b77bf27a7482596b8c47f1ea71e4d36077bf4"/>
    <w:p>
      <w:pPr>
        <w:pStyle w:val="Heading2"/>
        <w:keepNext/>
      </w:pPr>
      <w:r>
        <w:t xml:space="preserve">Si falta el dato / Política de revisiones</w:t>
      </w:r>
    </w:p>
    <w:p>
      <w:pPr>
        <w:numPr>
          <w:ilvl w:val="0"/>
          <w:numId w:val="1020"/>
        </w:numPr>
      </w:pPr>
      <w:r>
        <w:rPr>
          <w:bCs/>
          <w:b/>
        </w:rPr>
        <w:t xml:space="preserve">Si falta el dato:</w:t>
      </w:r>
      <w:r>
        <w:t xml:space="preserve"> </w:t>
      </w:r>
      <w:r>
        <w:t xml:space="preserve">Un mes sin informe legible queda vacío en la serie y se reintenta el mes más reciente en cada actualización; el titular nunca retrocede respecto de la serie publicada.</w:t>
      </w:r>
    </w:p>
    <w:p>
      <w:pPr>
        <w:numPr>
          <w:ilvl w:val="0"/>
          <w:numId w:val="1020"/>
        </w:numPr>
      </w:pPr>
      <w:r>
        <w:rPr>
          <w:bCs/>
          <w:b/>
        </w:rPr>
        <w:t xml:space="preserve">Política de revisiones:</w:t>
      </w:r>
      <w:r>
        <w:t xml:space="preserve"> </w:t>
      </w:r>
      <w:r>
        <w:t xml:space="preserve">Los informes procesados no se releen; si la fuente revisa, el dato nuevo entra por el informe siguiente.</w:t>
      </w:r>
    </w:p>
    <w:bookmarkEnd w:id="71"/>
    <w:bookmarkStart w:id="72" w:name="X2689a8f17fd66d16ab78fd446a4f0208d24d005"/>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con línea de base documentada; el mismo día se reconstruyó la serie mensual real desde octubre de 2023 y pasó a rebase dinámico.</w:t>
      </w:r>
    </w:p>
    <w:p>
      <w:pPr>
        <w:pStyle w:val="BodyText"/>
      </w:pPr>
      <w:r>
        <w:rPr>
          <w:bCs/>
          <w:b/>
        </w:rPr>
        <w:t xml:space="preserve">2026-07-06</w:t>
      </w:r>
      <w:r>
        <w:t xml:space="preserve"> </w:t>
      </w:r>
      <w:r>
        <w:t xml:space="preserve">— El titular queda protegido contra retrocesos: si la lectura en vivo devuelve un informe más viejo que el ya publicado en la serie (falla transitoria de la fuente), se mantiene el último punto de la serie.</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72"/>
    <w:bookmarkEnd w:id="73"/>
    <w:bookmarkStart w:id="83" w:name="informalidad-laboral"/>
    <w:p>
      <w:pPr>
        <w:pStyle w:val="Heading1"/>
        <w:keepNext/>
      </w:pPr>
      <w:r>
        <w:t xml:space="preserve">Informalidad laboral</w:t>
      </w:r>
    </w:p>
    <w:p>
      <w:pPr>
        <w:pStyle w:val="FirstParagraph"/>
      </w:pPr>
      <w:r>
        <w:t xml:space="preserve">Qué porcentaje de los asalariados trabaja sin aportes jubilatorios (empleo en negro), según la EPH trimestral del INDEC.</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37,9 %</w:t>
            </w:r>
            <w:r>
              <w:rPr>
                <w:sz w:val="18"/>
              </w:rPr>
              <w:t xml:space="preserve"> </w:t>
            </w:r>
            <w:r>
              <w:rPr>
                <w:sz w:val="18"/>
              </w:rPr>
              <w:t xml:space="preserve">(2026-01)</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9,2 % del ITVC</w:t>
            </w:r>
          </w:p>
        </w:tc>
        <w:tc>
          <w:p>
            <w:pPr>
              <w:pStyle w:val="Compact"/>
              <w:jc w:val="left"/>
            </w:pPr>
            <w:r>
              <w:rPr>
                <w:sz w:val="18"/>
              </w:rPr>
              <w:t xml:space="preserve">Cinturón Vida cotidiana</w:t>
            </w:r>
          </w:p>
        </w:tc>
      </w:tr>
    </w:tbl>
    <w:bookmarkStart w:id="74" w:name="identificación-5"/>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informalidad</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Ingresos y consumo</w:t>
            </w:r>
          </w:p>
        </w:tc>
        <w:tc>
          <w:p>
            <w:pPr>
              <w:pStyle w:val="Compact"/>
              <w:jc w:val="left"/>
            </w:pPr>
            <w:r>
              <w:rPr>
                <w:bCs/>
                <w:b/>
                <w:sz w:val="18"/>
              </w:rPr>
              <w:t xml:space="preserve">UNIDAD DE MEDIDA</w:t>
            </w:r>
          </w:p>
        </w:tc>
        <w:tc>
          <w:p>
            <w:pPr>
              <w:pStyle w:val="Compact"/>
              <w:jc w:val="left"/>
            </w:pPr>
            <w:r>
              <w:rPr>
                <w:sz w:val="18"/>
              </w:rPr>
              <w:t xml:space="preserve">%</w:t>
            </w:r>
          </w:p>
        </w:tc>
      </w:tr>
      <w:tr>
        <w:trPr>
          <w:cantSplit/>
        </w:trPr>
        <w:tc>
          <w:p>
            <w:pPr>
              <w:pStyle w:val="Compact"/>
              <w:jc w:val="left"/>
            </w:pPr>
            <w:r>
              <w:rPr>
                <w:bCs/>
                <w:b/>
                <w:sz w:val="18"/>
              </w:rPr>
              <w:t xml:space="preserve">SERIE DISPONIBLE</w:t>
            </w:r>
          </w:p>
        </w:tc>
        <w:tc>
          <w:p>
            <w:pPr>
              <w:pStyle w:val="Compact"/>
              <w:jc w:val="left"/>
            </w:pPr>
            <w:r>
              <w:rPr>
                <w:sz w:val="18"/>
              </w:rPr>
              <w:t xml:space="preserve">2016-04 → 2026-01 (40 puntos)</w:t>
            </w:r>
          </w:p>
        </w:tc>
        <w:tc>
          <w:p>
            <w:pPr>
              <w:pStyle w:val="Compact"/>
              <w:jc w:val="left"/>
            </w:pPr>
            <w:r>
              <w:rPr>
                <w:bCs/>
                <w:b/>
                <w:sz w:val="18"/>
              </w:rPr>
              <w:t xml:space="preserve">REZAGO DE PUBLICACIÓN</w:t>
            </w:r>
          </w:p>
        </w:tc>
        <w:tc>
          <w:p>
            <w:pPr>
              <w:pStyle w:val="Compact"/>
              <w:jc w:val="left"/>
            </w:pPr>
            <w:r>
              <w:rPr>
                <w:sz w:val="18"/>
              </w:rPr>
              <w:t xml:space="preserve">Encuesta trimestral publicada con uno a dos trimestres de rezago.</w:t>
            </w:r>
          </w:p>
        </w:tc>
      </w:tr>
      <w:tr>
        <w:trPr>
          <w:cantSplit/>
        </w:trPr>
        <w:tc>
          <w:p>
            <w:pPr>
              <w:pStyle w:val="Compact"/>
              <w:jc w:val="left"/>
            </w:pPr>
            <w:r>
              <w:rPr>
                <w:bCs/>
                <w:b/>
                <w:sz w:val="18"/>
              </w:rPr>
              <w:t xml:space="preserve">PRODUCTOR DEL DATO</w:t>
            </w:r>
          </w:p>
        </w:tc>
        <w:tc>
          <w:p>
            <w:pPr>
              <w:pStyle w:val="Compact"/>
              <w:jc w:val="left"/>
            </w:pPr>
            <w:r>
              <w:rPr>
                <w:sz w:val="18"/>
              </w:rPr>
              <w:t xml:space="preserve">INDEC (EPH)</w:t>
            </w:r>
          </w:p>
        </w:tc>
        <w:tc>
          <w:p>
            <w:pPr>
              <w:pStyle w:val="Compact"/>
              <w:jc w:val="left"/>
            </w:pPr>
            <w:r>
              <w:rPr>
                <w:bCs/>
                <w:b/>
                <w:sz w:val="18"/>
              </w:rPr>
              <w:t xml:space="preserve">OPERACIÓN ESTADÍSTICA</w:t>
            </w:r>
          </w:p>
        </w:tc>
        <w:tc>
          <w:p>
            <w:pPr>
              <w:pStyle w:val="Compact"/>
              <w:jc w:val="left"/>
            </w:pPr>
            <w:r>
              <w:rPr>
                <w:sz w:val="18"/>
              </w:rPr>
              <w:t xml:space="preserve">EPH — asalariados sin descuento jubilatorio, tasa trimestral</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2026-01 · informe generado el 2026-08-09</w:t>
            </w:r>
          </w:p>
        </w:tc>
      </w:tr>
    </w:tbl>
    <w:bookmarkEnd w:id="74"/>
    <w:bookmarkStart w:id="75" w:name="definición-qué-mide-y-por-qué-importa-5"/>
    <w:p>
      <w:pPr>
        <w:pStyle w:val="Heading2"/>
        <w:keepNext/>
      </w:pPr>
      <w:r>
        <w:t xml:space="preserve">Definición — qué mide y por qué importa</w:t>
      </w:r>
    </w:p>
    <w:p>
      <w:pPr>
        <w:pStyle w:val="FirstParagraph"/>
      </w:pPr>
      <w:r>
        <w:t xml:space="preserve">Qué porcentaje de los asalariados trabaja sin aportes jubilatorios (empleo en negro), según la EPH trimestral del INDEC.</w:t>
      </w:r>
    </w:p>
    <w:p>
      <w:pPr>
        <w:pStyle w:val="BodyText"/>
      </w:pPr>
      <w:r>
        <w:t xml:space="preserve">Mide la precariedad laboral y la exclusión de la red de protección social. En el ITVC su base es el 4T-2023 exacto (el trimestre de arranque del mandato).</w:t>
      </w:r>
    </w:p>
    <w:p>
      <w:pPr>
        <w:pStyle w:val="BodyText"/>
      </w:pPr>
      <w:r>
        <w:rPr>
          <w:bCs/>
          <w:b/>
        </w:rPr>
        <w:t xml:space="preserve">Dimensión que integra — Ingresos y consumo.</w:t>
      </w:r>
      <w:r>
        <w:t xml:space="preserve"> </w:t>
      </w:r>
      <w:r>
        <w:t xml:space="preserve">Si el sueldo alcanza y qué compra: la brecha entre el salario y la canasta de pobreza, cuánta gente trabaja en la informalidad, y dos termómetros de bolsillo —el consumo de carne y el patentamiento de motos— que se mueven con el poder de compra.</w:t>
      </w:r>
    </w:p>
    <w:bookmarkEnd w:id="75"/>
    <w:bookmarkStart w:id="76" w:name="método-de-cómputo-5"/>
    <w:p>
      <w:pPr>
        <w:pStyle w:val="Heading2"/>
        <w:keepNext/>
      </w:pPr>
      <w:r>
        <w:t xml:space="preserve">Método de cómputo</w:t>
      </w:r>
    </w:p>
    <w:p>
      <w:pPr>
        <w:numPr>
          <w:ilvl w:val="0"/>
          <w:numId w:val="1021"/>
        </w:numPr>
        <w:pStyle w:val="Compact"/>
      </w:pPr>
      <w:r>
        <w:t xml:space="preserve">Componente del índice: la tasa rebaseada de forma invertida (menos informalidad = mejora) contra el trimestre del arranque del mandato (4º trimestre de 2023).</w:t>
      </w:r>
    </w:p>
    <w:bookmarkEnd w:id="76"/>
    <w:bookmarkStart w:id="77" w:name="Xb1931c6abcbcf859f1adda48bf40e4d48635f98"/>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94,2</w:t>
      </w:r>
      <w:r>
        <w:t xml:space="preserve">.</w:t>
      </w:r>
    </w:p>
    <w:bookmarkEnd w:id="77"/>
    <w:bookmarkStart w:id="78" w:name="datos-concretos-detrás-del-valor-5"/>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2"/>
        </w:numPr>
        <w:pStyle w:val="Compact"/>
      </w:pPr>
      <w:r>
        <w:t xml:space="preserve">El informe publica el valor (37,9 %) pero no los números que lo componen: la fuente entrega la serie ya calculada. Para auditar el dato hay que ir a la operación estadística citada más arriba.</w:t>
      </w:r>
    </w:p>
    <w:bookmarkEnd w:id="78"/>
    <w:bookmarkStart w:id="79" w:name="color-vigente-y-por-qué-5"/>
    <w:p>
      <w:pPr>
        <w:pStyle w:val="Heading2"/>
        <w:keepNext/>
      </w:pPr>
      <w:r>
        <w:t xml:space="preserve">Color vigente y por qué</w:t>
      </w:r>
    </w:p>
    <w:p>
      <w:pPr>
        <w:pStyle w:val="FirstParagraph"/>
      </w:pPr>
      <w:r>
        <w:t xml:space="preserve">Dato vigente: 37,9 % (2026-01).</w:t>
      </w:r>
    </w:p>
    <w:p>
      <w:pPr>
        <w:pStyle w:val="BodyText"/>
      </w:pPr>
      <w:r>
        <w:t xml:space="preserve">El componente está en 94,2 sobre la base 100 del 4º trimestre de 2023 — de 85 a 95 —, que es el tramo NARANJA.</w:t>
      </w:r>
    </w:p>
    <w:p>
      <w:pPr>
        <w:pStyle w:val="BodyText"/>
      </w:pPr>
      <w:r>
        <w:rPr>
          <w:bCs/>
          <w:b/>
        </w:rPr>
        <w:t xml:space="preserve">Color vigente: NARANJA</w:t>
      </w:r>
    </w:p>
    <w:p>
      <w:pPr>
        <w:pStyle w:val="BodyText"/>
      </w:pPr>
      <w:r>
        <w:t xml:space="preserve">Ponderación vigente en el ITVC: 9,2 % efectivo. El color es una lectura adicional — no reemplaza ni cambia esta ponderación.</w:t>
      </w:r>
    </w:p>
    <w:bookmarkEnd w:id="79"/>
    <w:bookmarkStart w:id="80" w:name="transparencia-limitaciones-declaradas-5"/>
    <w:p>
      <w:pPr>
        <w:pStyle w:val="Heading2"/>
        <w:keepNext/>
      </w:pPr>
      <w:r>
        <w:t xml:space="preserve">Transparencia — limitaciones declaradas</w:t>
      </w:r>
    </w:p>
    <w:p>
      <w:pPr>
        <w:numPr>
          <w:ilvl w:val="0"/>
          <w:numId w:val="1023"/>
        </w:numPr>
        <w:pStyle w:val="Compact"/>
      </w:pPr>
      <w:r>
        <w:t xml:space="preserve">Solo asalariados: no captura la informalidad cuentapropista.</w:t>
      </w:r>
    </w:p>
    <w:p>
      <w:pPr>
        <w:numPr>
          <w:ilvl w:val="0"/>
          <w:numId w:val="1023"/>
        </w:numPr>
        <w:pStyle w:val="Compact"/>
      </w:pPr>
      <w:r>
        <w:t xml:space="preserve">Serie trimestral contra una base de un solo trimestre: sesgo estacional chico, aceptado y declarado.</w:t>
      </w:r>
    </w:p>
    <w:p>
      <w:pPr>
        <w:numPr>
          <w:ilvl w:val="0"/>
          <w:numId w:val="1023"/>
        </w:numPr>
        <w:pStyle w:val="Compact"/>
      </w:pPr>
      <w:r>
        <w:t xml:space="preserve">La serie trimestral pública original se discontinuó en 2020; la vigente la reemplaza desde el rediseño del componente.</w:t>
      </w:r>
    </w:p>
    <w:bookmarkEnd w:id="80"/>
    <w:bookmarkStart w:id="81" w:name="Xc57e4cc3a18d396728e74304c5ee81f44a4293b"/>
    <w:p>
      <w:pPr>
        <w:pStyle w:val="Heading2"/>
        <w:keepNext/>
      </w:pPr>
      <w:r>
        <w:t xml:space="preserve">Si falta el dato / Política de revisiones</w:t>
      </w:r>
    </w:p>
    <w:p>
      <w:pPr>
        <w:numPr>
          <w:ilvl w:val="0"/>
          <w:numId w:val="1024"/>
        </w:numPr>
      </w:pPr>
      <w:r>
        <w:rPr>
          <w:bCs/>
          <w:b/>
        </w:rPr>
        <w:t xml:space="preserve">Si falta el dato:</w:t>
      </w:r>
      <w:r>
        <w:t xml:space="preserve"> </w:t>
      </w:r>
      <w:r>
        <w:t xml:space="preserve">Se mantiene el último valor publicado como desactualizado; sin componente, la brecha salarial absorbe el peso de la dimensión.</w:t>
      </w:r>
    </w:p>
    <w:p>
      <w:pPr>
        <w:numPr>
          <w:ilvl w:val="0"/>
          <w:numId w:val="1024"/>
        </w:numPr>
      </w:pPr>
      <w:r>
        <w:rPr>
          <w:bCs/>
          <w:b/>
        </w:rPr>
        <w:t xml:space="preserve">Política de revisiones:</w:t>
      </w:r>
      <w:r>
        <w:t xml:space="preserve"> </w:t>
      </w:r>
      <w:r>
        <w:t xml:space="preserve">La encuesta se revisa; la re-descarga completa por actualización adopta las revisiones.</w:t>
      </w:r>
    </w:p>
    <w:bookmarkEnd w:id="81"/>
    <w:bookmarkStart w:id="82" w:name="X01eece54c25544211d0d4e1d54c663892ca44aa"/>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vía la serie anual disponible, invertida, con base en el año 2023.</w:t>
      </w:r>
    </w:p>
    <w:p>
      <w:pPr>
        <w:pStyle w:val="BodyText"/>
      </w:pPr>
      <w:r>
        <w:rPr>
          <w:bCs/>
          <w:b/>
        </w:rPr>
        <w:t xml:space="preserve">2026-07-04</w:t>
      </w:r>
      <w:r>
        <w:t xml:space="preserve"> </w:t>
      </w:r>
      <w:r>
        <w:t xml:space="preserve">— Pasa a la serie trimestral con base exacta en el 4º trimestre de 2023 (la anual solo se actualizaba una vez al año y planchaba el componente).</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82"/>
    <w:bookmarkEnd w:id="83"/>
    <w:bookmarkStart w:id="93" w:name="actividad-industrial-ipi"/>
    <w:p>
      <w:pPr>
        <w:pStyle w:val="Heading1"/>
        <w:keepNext/>
      </w:pPr>
      <w:r>
        <w:t xml:space="preserve">Actividad industrial (IPI)</w:t>
      </w:r>
    </w:p>
    <w:p>
      <w:pPr>
        <w:pStyle w:val="FirstParagraph"/>
      </w:pPr>
      <w:r>
        <w:t xml:space="preserve">La salud del entramado productivo y del empleo PyME, aproximada por la actividad industrial manufacturera. En el ITVC puntúa por el NIVEL del IPI desestacionalizado rebaseado a 100 = 4T-2023 (ya no la variación de un mes, que premiaba o castigaba por estacionalidad).</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0,94 % m/m (IPI desest.)</w:t>
            </w:r>
            <w:r>
              <w:rPr>
                <w:sz w:val="18"/>
              </w:rPr>
              <w:t xml:space="preserve"> </w:t>
            </w:r>
            <w:r>
              <w:rPr>
                <w:sz w:val="18"/>
              </w:rPr>
              <w:t xml:space="preserve">(2026-06)</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4 % del ITVC</w:t>
            </w:r>
          </w:p>
        </w:tc>
        <w:tc>
          <w:p>
            <w:pPr>
              <w:pStyle w:val="Compact"/>
              <w:jc w:val="left"/>
            </w:pPr>
            <w:r>
              <w:rPr>
                <w:sz w:val="18"/>
              </w:rPr>
              <w:t xml:space="preserve">Cinturón Vida cotidiana</w:t>
            </w:r>
          </w:p>
        </w:tc>
      </w:tr>
    </w:tbl>
    <w:bookmarkStart w:id="84" w:name="identificación-6"/>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mortalidad_pymes</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Prospectivas de empleo</w:t>
            </w:r>
          </w:p>
        </w:tc>
        <w:tc>
          <w:p>
            <w:pPr>
              <w:pStyle w:val="Compact"/>
              <w:jc w:val="left"/>
            </w:pPr>
            <w:r>
              <w:rPr>
                <w:bCs/>
                <w:b/>
                <w:sz w:val="18"/>
              </w:rPr>
              <w:t xml:space="preserve">UNIDAD DE MEDIDA</w:t>
            </w:r>
          </w:p>
        </w:tc>
        <w:tc>
          <w:p>
            <w:pPr>
              <w:pStyle w:val="Compact"/>
              <w:jc w:val="left"/>
            </w:pPr>
            <w:r>
              <w:rPr>
                <w:sz w:val="18"/>
              </w:rPr>
              <w:t xml:space="preserve">% m/m (IPI desest.)</w:t>
            </w:r>
          </w:p>
        </w:tc>
      </w:tr>
      <w:tr>
        <w:trPr>
          <w:cantSplit/>
        </w:trPr>
        <w:tc>
          <w:p>
            <w:pPr>
              <w:pStyle w:val="Compact"/>
              <w:jc w:val="left"/>
            </w:pPr>
            <w:r>
              <w:rPr>
                <w:bCs/>
                <w:b/>
                <w:sz w:val="18"/>
              </w:rPr>
              <w:t xml:space="preserve">SERIE DISPONIBLE</w:t>
            </w:r>
          </w:p>
        </w:tc>
        <w:tc>
          <w:p>
            <w:pPr>
              <w:pStyle w:val="Compact"/>
              <w:jc w:val="left"/>
            </w:pPr>
            <w:r>
              <w:rPr>
                <w:sz w:val="18"/>
              </w:rPr>
              <w:t xml:space="preserve">2022-08 → 2026-06 (47 puntos)</w:t>
            </w:r>
          </w:p>
        </w:tc>
        <w:tc>
          <w:p>
            <w:pPr>
              <w:pStyle w:val="Compact"/>
              <w:jc w:val="left"/>
            </w:pPr>
            <w:r>
              <w:rPr>
                <w:bCs/>
                <w:b/>
                <w:sz w:val="18"/>
              </w:rPr>
              <w:t xml:space="preserve">REZAGO DE PUBLICACIÓN</w:t>
            </w:r>
          </w:p>
        </w:tc>
        <w:tc>
          <w:p>
            <w:pPr>
              <w:pStyle w:val="Compact"/>
              <w:jc w:val="left"/>
            </w:pPr>
            <w:r>
              <w:rPr>
                <w:sz w:val="18"/>
              </w:rPr>
              <w:t xml:space="preserve">~2 meses (calendario de difusión industrial del INDEC).</w:t>
            </w:r>
          </w:p>
        </w:tc>
      </w:tr>
      <w:tr>
        <w:trPr>
          <w:cantSplit/>
        </w:trPr>
        <w:tc>
          <w:p>
            <w:pPr>
              <w:pStyle w:val="Compact"/>
              <w:jc w:val="left"/>
            </w:pPr>
            <w:r>
              <w:rPr>
                <w:bCs/>
                <w:b/>
                <w:sz w:val="18"/>
              </w:rPr>
              <w:t xml:space="preserve">PRODUCTOR DEL DATO</w:t>
            </w:r>
          </w:p>
        </w:tc>
        <w:tc>
          <w:p>
            <w:pPr>
              <w:pStyle w:val="Compact"/>
              <w:jc w:val="left"/>
            </w:pPr>
            <w:r>
              <w:rPr>
                <w:sz w:val="18"/>
              </w:rPr>
              <w:t xml:space="preserve">INDEC</w:t>
            </w:r>
          </w:p>
        </w:tc>
        <w:tc>
          <w:p>
            <w:pPr>
              <w:pStyle w:val="Compact"/>
              <w:jc w:val="left"/>
            </w:pPr>
            <w:r>
              <w:rPr>
                <w:bCs/>
                <w:b/>
                <w:sz w:val="18"/>
              </w:rPr>
              <w:t xml:space="preserve">OPERACIÓN ESTADÍSTICA</w:t>
            </w:r>
          </w:p>
        </w:tc>
        <w:tc>
          <w:p>
            <w:pPr>
              <w:pStyle w:val="Compact"/>
              <w:jc w:val="left"/>
            </w:pPr>
            <w:r>
              <w:rPr>
                <w:sz w:val="18"/>
              </w:rPr>
              <w:t xml:space="preserve">IPI manufacturero — índice de producción industrial, serie desestacionalizada (aproximación declarada de la mortandad de empresas)</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84"/>
    <w:bookmarkStart w:id="85" w:name="definición-qué-mide-y-por-qué-importa-6"/>
    <w:p>
      <w:pPr>
        <w:pStyle w:val="Heading2"/>
        <w:keepNext/>
      </w:pPr>
      <w:r>
        <w:t xml:space="preserve">Definición — qué mide y por qué importa</w:t>
      </w:r>
    </w:p>
    <w:p>
      <w:pPr>
        <w:pStyle w:val="FirstParagraph"/>
      </w:pPr>
      <w:r>
        <w:t xml:space="preserve">La salud del entramado productivo y del empleo PyME, aproximada por la actividad industrial manufacturera. En el ITVC puntúa por el NIVEL del IPI desestacionalizado rebaseado a 100 = 4T-2023 (ya no la variación de un mes, que premiaba o castigaba por estacionalidad).</w:t>
      </w:r>
    </w:p>
    <w:p>
      <w:pPr>
        <w:pStyle w:val="BodyText"/>
      </w:pPr>
      <w:r>
        <w:t xml:space="preserve">Cuando la industria se contrae, las PyMEs y su empleo son las primeras en sufrirlo; el nivel acumulado dice si la actividad recuperó o no el punto de partida del mandato.</w:t>
      </w:r>
    </w:p>
    <w:p>
      <w:pPr>
        <w:pStyle w:val="BodyText"/>
      </w:pPr>
      <w:r>
        <w:rPr>
          <w:bCs/>
          <w:b/>
        </w:rPr>
        <w:t xml:space="preserve">Dimensión que integra — Prospectivas de empleo.</w:t>
      </w:r>
      <w:r>
        <w:t xml:space="preserve"> </w:t>
      </w:r>
      <w:r>
        <w:t xml:space="preserve">Las perspectivas de trabajo: mortalidad de pymes (empleadores), construcción (cemento, el sector más intensivo en mano de obra) y pluriempleo.</w:t>
      </w:r>
    </w:p>
    <w:bookmarkEnd w:id="85"/>
    <w:bookmarkStart w:id="86" w:name="método-de-cómputo-6"/>
    <w:p>
      <w:pPr>
        <w:pStyle w:val="Heading2"/>
        <w:keepNext/>
      </w:pPr>
      <w:r>
        <w:t xml:space="preserve">Método de cómputo</w:t>
      </w:r>
    </w:p>
    <w:p>
      <w:pPr>
        <w:numPr>
          <w:ilvl w:val="0"/>
          <w:numId w:val="1025"/>
        </w:numPr>
        <w:pStyle w:val="Compact"/>
      </w:pPr>
      <w:r>
        <w:t xml:space="preserve">Componente del índice: el nivel desestacionalizado rebaseado a 100 = promedio del 4º trimestre de 2023.</w:t>
      </w:r>
    </w:p>
    <w:p>
      <w:pPr>
        <w:numPr>
          <w:ilvl w:val="0"/>
          <w:numId w:val="1025"/>
        </w:numPr>
        <w:pStyle w:val="Compact"/>
      </w:pPr>
      <w:r>
        <w:t xml:space="preserve">Se usa la serie desestacionalizada porque la original mostraba variaciones de hasta ±20% mensual de puro calendario.</w:t>
      </w:r>
    </w:p>
    <w:bookmarkEnd w:id="86"/>
    <w:bookmarkStart w:id="87" w:name="X6f1889a6c9c1eaefb3e4c5719eab82ff8c71647"/>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97,4</w:t>
      </w:r>
      <w:r>
        <w:t xml:space="preserve">.</w:t>
      </w:r>
    </w:p>
    <w:bookmarkEnd w:id="87"/>
    <w:bookmarkStart w:id="88" w:name="datos-concretos-detrás-del-valor-6"/>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26"/>
        </w:numPr>
        <w:pStyle w:val="Compact"/>
      </w:pPr>
      <w:r>
        <w:t xml:space="preserve">El informe publica el valor (0,94 % m/m (IPI desest.)) pero no los números que lo componen: la fuente entrega la serie ya calculada. Para auditar el dato hay que ir a la operación estadística citada más arriba.</w:t>
      </w:r>
    </w:p>
    <w:bookmarkEnd w:id="88"/>
    <w:bookmarkStart w:id="89" w:name="color-vigente-y-por-qué-6"/>
    <w:p>
      <w:pPr>
        <w:pStyle w:val="Heading2"/>
        <w:keepNext/>
      </w:pPr>
      <w:r>
        <w:t xml:space="preserve">Color vigente y por qué</w:t>
      </w:r>
    </w:p>
    <w:p>
      <w:pPr>
        <w:pStyle w:val="FirstParagraph"/>
      </w:pPr>
      <w:r>
        <w:t xml:space="preserve">Dato vigente: 0,94 % m/m (IPI desest.) (2026-06).</w:t>
      </w:r>
    </w:p>
    <w:p>
      <w:pPr>
        <w:pStyle w:val="BodyText"/>
      </w:pPr>
      <w:r>
        <w:t xml:space="preserve">El componente está en 97,4 sobre la base 100 del 4º trimestre de 2023 — de 95 a 105 —, que es el tramo AMARILLO.</w:t>
      </w:r>
    </w:p>
    <w:p>
      <w:pPr>
        <w:pStyle w:val="BodyText"/>
      </w:pPr>
      <w:r>
        <w:rPr>
          <w:bCs/>
          <w:b/>
        </w:rPr>
        <w:t xml:space="preserve">Color vigente: AMARILLO</w:t>
      </w:r>
    </w:p>
    <w:p>
      <w:pPr>
        <w:pStyle w:val="BodyText"/>
      </w:pPr>
      <w:r>
        <w:t xml:space="preserve">Ponderación vigente en el ITVC: 4 % efectivo. El color es una lectura adicional — no reemplaza ni cambia esta ponderación.</w:t>
      </w:r>
    </w:p>
    <w:bookmarkEnd w:id="89"/>
    <w:bookmarkStart w:id="90" w:name="transparencia-limitaciones-declaradas-6"/>
    <w:p>
      <w:pPr>
        <w:pStyle w:val="Heading2"/>
        <w:keepNext/>
      </w:pPr>
      <w:r>
        <w:t xml:space="preserve">Transparencia — limitaciones declaradas</w:t>
      </w:r>
    </w:p>
    <w:p>
      <w:pPr>
        <w:numPr>
          <w:ilvl w:val="0"/>
          <w:numId w:val="1027"/>
        </w:numPr>
        <w:pStyle w:val="Compact"/>
      </w:pPr>
      <w:r>
        <w:t xml:space="preserve">Es una aproximación declarada: mide producción industrial agregada, no mortandad de empresas — el nombre del indicador promete más de lo que la fuente da.</w:t>
      </w:r>
    </w:p>
    <w:p>
      <w:pPr>
        <w:numPr>
          <w:ilvl w:val="0"/>
          <w:numId w:val="1027"/>
        </w:numPr>
        <w:pStyle w:val="Compact"/>
      </w:pPr>
      <w:r>
        <w:t xml:space="preserve">La taxonomía de la dimensión (empleo sin medidas directas de empleo) es una discusión abierta declarada del diseño.</w:t>
      </w:r>
    </w:p>
    <w:bookmarkEnd w:id="90"/>
    <w:bookmarkStart w:id="91" w:name="Xda21666f7a2dd83c88faf8de956a46075edab32"/>
    <w:p>
      <w:pPr>
        <w:pStyle w:val="Heading2"/>
        <w:keepNext/>
      </w:pPr>
      <w:r>
        <w:t xml:space="preserve">Si falta el dato / Política de revisiones</w:t>
      </w:r>
    </w:p>
    <w:p>
      <w:pPr>
        <w:numPr>
          <w:ilvl w:val="0"/>
          <w:numId w:val="1028"/>
        </w:numPr>
      </w:pPr>
      <w:r>
        <w:rPr>
          <w:bCs/>
          <w:b/>
        </w:rPr>
        <w:t xml:space="preserve">Si falta el dato:</w:t>
      </w:r>
      <w:r>
        <w:t xml:space="preserve"> </w:t>
      </w:r>
      <w:r>
        <w:t xml:space="preserve">Se mantiene el último valor publicado como desactualizado; sin componente, renormalización dentro de la dimensión.</w:t>
      </w:r>
    </w:p>
    <w:p>
      <w:pPr>
        <w:numPr>
          <w:ilvl w:val="0"/>
          <w:numId w:val="1028"/>
        </w:numPr>
      </w:pPr>
      <w:r>
        <w:rPr>
          <w:bCs/>
          <w:b/>
        </w:rPr>
        <w:t xml:space="preserve">Política de revisiones:</w:t>
      </w:r>
      <w:r>
        <w:t xml:space="preserve"> </w:t>
      </w:r>
      <w:r>
        <w:t xml:space="preserve">Los factores de desestacionalización se recalculan y revisan la serie; la re-descarga completa los absorbe.</w:t>
      </w:r>
    </w:p>
    <w:bookmarkEnd w:id="91"/>
    <w:bookmarkStart w:id="92" w:name="X78b6541d61e709752066d9872c28a219573eb10"/>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como nivel desestacionalizado base-100 (antes puntuaba por variación mensual de la serie original, dominada por estacionalidad).</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92"/>
    <w:bookmarkEnd w:id="93"/>
    <w:bookmarkStart w:id="103" w:name="construcción-isac"/>
    <w:p>
      <w:pPr>
        <w:pStyle w:val="Heading1"/>
        <w:keepNext/>
      </w:pPr>
      <w:r>
        <w:t xml:space="preserve">Construcción (ISAC)</w:t>
      </w:r>
    </w:p>
    <w:p>
      <w:pPr>
        <w:pStyle w:val="FirstParagraph"/>
      </w:pPr>
      <w:r>
        <w:t xml:space="preserve">El nivel de actividad de la construcción, gran motor de empleo de baja calificación.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148,1 índice ISAC</w:t>
            </w:r>
            <w:r>
              <w:rPr>
                <w:sz w:val="18"/>
              </w:rPr>
              <w:t xml:space="preserve"> </w:t>
            </w:r>
            <w:r>
              <w:rPr>
                <w:sz w:val="18"/>
              </w:rPr>
              <w:t xml:space="preserve">(2026-06)</w:t>
            </w:r>
          </w:p>
        </w:tc>
        <w:tc>
          <w:tcPr>
            <w:shd w:val="clear" w:color="auto" w:fill="FEE2E2"/>
          </w:tcPr>
          <w:p>
            <w:pPr>
              <w:pStyle w:val="Compact"/>
              <w:jc w:val="center"/>
            </w:pPr>
            <w:r>
              <w:rPr>
                <w:bCs/>
                <w:b/>
                <w:sz w:val="18"/>
                <w:color w:val="7F1D1D"/>
              </w:rPr>
              <w:t xml:space="preserve">ROJO</w:t>
            </w:r>
          </w:p>
        </w:tc>
        <w:tc>
          <w:p>
            <w:pPr>
              <w:pStyle w:val="Compact"/>
              <w:jc w:val="left"/>
            </w:pPr>
            <w:r>
              <w:rPr>
                <w:sz w:val="18"/>
              </w:rPr>
              <w:t xml:space="preserve">Peso efectivo 3,6 % del ITVC</w:t>
            </w:r>
          </w:p>
        </w:tc>
        <w:tc>
          <w:p>
            <w:pPr>
              <w:pStyle w:val="Compact"/>
              <w:jc w:val="left"/>
            </w:pPr>
            <w:r>
              <w:rPr>
                <w:sz w:val="18"/>
              </w:rPr>
              <w:t xml:space="preserve">Cinturón Vida cotidiana</w:t>
            </w:r>
          </w:p>
        </w:tc>
      </w:tr>
    </w:tbl>
    <w:bookmarkStart w:id="94" w:name="identificación-7"/>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despacho_cemento</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Prospectivas de empleo</w:t>
            </w:r>
          </w:p>
        </w:tc>
        <w:tc>
          <w:p>
            <w:pPr>
              <w:pStyle w:val="Compact"/>
              <w:jc w:val="left"/>
            </w:pPr>
            <w:r>
              <w:rPr>
                <w:bCs/>
                <w:b/>
                <w:sz w:val="18"/>
              </w:rPr>
              <w:t xml:space="preserve">UNIDAD DE MEDIDA</w:t>
            </w:r>
          </w:p>
        </w:tc>
        <w:tc>
          <w:p>
            <w:pPr>
              <w:pStyle w:val="Compact"/>
              <w:jc w:val="left"/>
            </w:pPr>
            <w:r>
              <w:rPr>
                <w:sz w:val="18"/>
              </w:rPr>
              <w:t xml:space="preserve">índice ISAC</w:t>
            </w:r>
          </w:p>
        </w:tc>
      </w:tr>
      <w:tr>
        <w:trPr>
          <w:cantSplit/>
        </w:trPr>
        <w:tc>
          <w:p>
            <w:pPr>
              <w:pStyle w:val="Compact"/>
              <w:jc w:val="left"/>
            </w:pPr>
            <w:r>
              <w:rPr>
                <w:bCs/>
                <w:b/>
                <w:sz w:val="18"/>
              </w:rPr>
              <w:t xml:space="preserve">SERIE DISPONIBLE</w:t>
            </w:r>
          </w:p>
        </w:tc>
        <w:tc>
          <w:p>
            <w:pPr>
              <w:pStyle w:val="Compact"/>
              <w:jc w:val="left"/>
            </w:pPr>
            <w:r>
              <w:rPr>
                <w:sz w:val="18"/>
              </w:rPr>
              <w:t xml:space="preserve">2021-07 → 2026-06 (60 puntos)</w:t>
            </w:r>
          </w:p>
        </w:tc>
        <w:tc>
          <w:p>
            <w:pPr>
              <w:pStyle w:val="Compact"/>
              <w:jc w:val="left"/>
            </w:pPr>
            <w:r>
              <w:rPr>
                <w:bCs/>
                <w:b/>
                <w:sz w:val="18"/>
              </w:rPr>
              <w:t xml:space="preserve">REZAGO DE PUBLICACIÓN</w:t>
            </w:r>
          </w:p>
        </w:tc>
        <w:tc>
          <w:p>
            <w:pPr>
              <w:pStyle w:val="Compact"/>
              <w:jc w:val="left"/>
            </w:pPr>
            <w:r>
              <w:rPr>
                <w:sz w:val="18"/>
              </w:rPr>
              <w:t xml:space="preserve">~2 meses (calendario de difusión de la construcción del INDEC).</w:t>
            </w:r>
          </w:p>
        </w:tc>
      </w:tr>
      <w:tr>
        <w:trPr>
          <w:cantSplit/>
        </w:trPr>
        <w:tc>
          <w:p>
            <w:pPr>
              <w:pStyle w:val="Compact"/>
              <w:jc w:val="left"/>
            </w:pPr>
            <w:r>
              <w:rPr>
                <w:bCs/>
                <w:b/>
                <w:sz w:val="18"/>
              </w:rPr>
              <w:t xml:space="preserve">PRODUCTOR DEL DATO</w:t>
            </w:r>
          </w:p>
        </w:tc>
        <w:tc>
          <w:p>
            <w:pPr>
              <w:pStyle w:val="Compact"/>
              <w:jc w:val="left"/>
            </w:pPr>
            <w:r>
              <w:rPr>
                <w:sz w:val="18"/>
              </w:rPr>
              <w:t xml:space="preserve">INDEC</w:t>
            </w:r>
          </w:p>
        </w:tc>
        <w:tc>
          <w:p>
            <w:pPr>
              <w:pStyle w:val="Compact"/>
              <w:jc w:val="left"/>
            </w:pPr>
            <w:r>
              <w:rPr>
                <w:bCs/>
                <w:b/>
                <w:sz w:val="18"/>
              </w:rPr>
              <w:t xml:space="preserve">OPERACIÓN ESTADÍSTICA</w:t>
            </w:r>
          </w:p>
        </w:tc>
        <w:tc>
          <w:p>
            <w:pPr>
              <w:pStyle w:val="Compact"/>
              <w:jc w:val="left"/>
            </w:pPr>
            <w:r>
              <w:rPr>
                <w:sz w:val="18"/>
              </w:rPr>
              <w:t xml:space="preserve">ISAC — Indicador Sintético de la Actividad de la Construcción, serie desestacionalizada (el nombre histórico del indicador quedó; la métrica real es el ISAC)</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94"/>
    <w:bookmarkStart w:id="95" w:name="definición-qué-mide-y-por-qué-importa-7"/>
    <w:p>
      <w:pPr>
        <w:pStyle w:val="Heading2"/>
        <w:keepNext/>
      </w:pPr>
      <w:r>
        <w:t xml:space="preserve">Definición — qué mide y por qué importa</w:t>
      </w:r>
    </w:p>
    <w:p>
      <w:pPr>
        <w:pStyle w:val="FirstParagraph"/>
      </w:pPr>
      <w:r>
        <w:t xml:space="preserve">El nivel de actividad de la construcción, gran motor de empleo de baja calificación.</w:t>
      </w:r>
    </w:p>
    <w:p>
      <w:pPr>
        <w:pStyle w:val="BodyText"/>
      </w:pPr>
      <w:r>
        <w:t xml:space="preserve">Termómetro de la obra pública y privada, sensible al ciclo económico.</w:t>
      </w:r>
    </w:p>
    <w:p>
      <w:pPr>
        <w:pStyle w:val="BodyText"/>
      </w:pPr>
      <w:r>
        <w:rPr>
          <w:bCs/>
          <w:b/>
        </w:rPr>
        <w:t xml:space="preserve">Dimensión que integra — Prospectivas de empleo.</w:t>
      </w:r>
      <w:r>
        <w:t xml:space="preserve"> </w:t>
      </w:r>
      <w:r>
        <w:t xml:space="preserve">Las perspectivas de trabajo: mortalidad de pymes (empleadores), construcción (cemento, el sector más intensivo en mano de obra) y pluriempleo.</w:t>
      </w:r>
    </w:p>
    <w:bookmarkEnd w:id="95"/>
    <w:bookmarkStart w:id="96" w:name="método-de-cómputo-7"/>
    <w:p>
      <w:pPr>
        <w:pStyle w:val="Heading2"/>
        <w:keepNext/>
      </w:pPr>
      <w:r>
        <w:t xml:space="preserve">Método de cómputo</w:t>
      </w:r>
    </w:p>
    <w:p>
      <w:pPr>
        <w:numPr>
          <w:ilvl w:val="0"/>
          <w:numId w:val="1029"/>
        </w:numPr>
        <w:pStyle w:val="Compact"/>
      </w:pPr>
      <w:r>
        <w:t xml:space="preserve">Componente del índice: el nivel desestacionalizado rebaseado a 100 = promedio del 4º trimestre de 2023.</w:t>
      </w:r>
    </w:p>
    <w:p>
      <w:pPr>
        <w:numPr>
          <w:ilvl w:val="0"/>
          <w:numId w:val="1029"/>
        </w:numPr>
        <w:pStyle w:val="Compact"/>
      </w:pPr>
      <w:r>
        <w:t xml:space="preserve">La serie original tiene un desplome estacional en diciembre que contaminaría la base: por eso la desestacionalizada.</w:t>
      </w:r>
    </w:p>
    <w:bookmarkEnd w:id="96"/>
    <w:bookmarkStart w:id="97" w:name="X580c6ce917b2a709ea8e3c85d9f137a942d26a4"/>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82,2</w:t>
      </w:r>
      <w:r>
        <w:t xml:space="preserve">.</w:t>
      </w:r>
    </w:p>
    <w:bookmarkEnd w:id="97"/>
    <w:bookmarkStart w:id="98" w:name="datos-concretos-detrás-del-valor-7"/>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0"/>
        </w:numPr>
        <w:pStyle w:val="Compact"/>
      </w:pPr>
      <w:r>
        <w:t xml:space="preserve">El informe publica el valor (148,1 índice ISAC) pero no los números que lo componen: la fuente entrega la serie ya calculada. Para auditar el dato hay que ir a la operación estadística citada más arriba.</w:t>
      </w:r>
    </w:p>
    <w:bookmarkEnd w:id="98"/>
    <w:bookmarkStart w:id="99" w:name="color-vigente-y-por-qué-7"/>
    <w:p>
      <w:pPr>
        <w:pStyle w:val="Heading2"/>
        <w:keepNext/>
      </w:pPr>
      <w:r>
        <w:t xml:space="preserve">Color vigente y por qué</w:t>
      </w:r>
    </w:p>
    <w:p>
      <w:pPr>
        <w:pStyle w:val="FirstParagraph"/>
      </w:pPr>
      <w:r>
        <w:t xml:space="preserve">Dato vigente: 148,1 índice ISAC (2026-06).</w:t>
      </w:r>
    </w:p>
    <w:p>
      <w:pPr>
        <w:pStyle w:val="BodyText"/>
      </w:pPr>
      <w:r>
        <w:t xml:space="preserve">El componente está en 82,2 sobre la base 100 del 4º trimestre de 2023 — menos de 85 —, que es el tramo ROJO.</w:t>
      </w:r>
    </w:p>
    <w:p>
      <w:pPr>
        <w:pStyle w:val="BodyText"/>
      </w:pPr>
      <w:r>
        <w:rPr>
          <w:bCs/>
          <w:b/>
        </w:rPr>
        <w:t xml:space="preserve">Color vigente: ROJO</w:t>
      </w:r>
    </w:p>
    <w:p>
      <w:pPr>
        <w:pStyle w:val="BodyText"/>
      </w:pPr>
      <w:r>
        <w:t xml:space="preserve">Ponderación vigente en el ITVC: 3,6 % efectivo. El color es una lectura adicional — no reemplaza ni cambia esta ponderación.</w:t>
      </w:r>
    </w:p>
    <w:bookmarkEnd w:id="99"/>
    <w:bookmarkStart w:id="100" w:name="transparencia-limitaciones-declaradas-7"/>
    <w:p>
      <w:pPr>
        <w:pStyle w:val="Heading2"/>
        <w:keepNext/>
      </w:pPr>
      <w:r>
        <w:t xml:space="preserve">Transparencia — limitaciones declaradas</w:t>
      </w:r>
    </w:p>
    <w:p>
      <w:pPr>
        <w:numPr>
          <w:ilvl w:val="0"/>
          <w:numId w:val="1031"/>
        </w:numPr>
        <w:pStyle w:val="Compact"/>
      </w:pPr>
      <w:r>
        <w:t xml:space="preserve">Aproximación al empleo vía actividad de la construcción, no despachos de cemento reales (la serie de insumos existe aparte, como contraste).</w:t>
      </w:r>
    </w:p>
    <w:bookmarkEnd w:id="100"/>
    <w:bookmarkStart w:id="101" w:name="X5157a7f3dd1b7c5618784c262e1db635d54cbee"/>
    <w:p>
      <w:pPr>
        <w:pStyle w:val="Heading2"/>
        <w:keepNext/>
      </w:pPr>
      <w:r>
        <w:t xml:space="preserve">Si falta el dato / Política de revisiones</w:t>
      </w:r>
    </w:p>
    <w:p>
      <w:pPr>
        <w:numPr>
          <w:ilvl w:val="0"/>
          <w:numId w:val="1032"/>
        </w:numPr>
      </w:pPr>
      <w:r>
        <w:rPr>
          <w:bCs/>
          <w:b/>
        </w:rPr>
        <w:t xml:space="preserve">Si falta el dato:</w:t>
      </w:r>
      <w:r>
        <w:t xml:space="preserve"> </w:t>
      </w:r>
      <w:r>
        <w:t xml:space="preserve">Se mantiene el último valor publicado como desactualizado; sin componente, renormalización dentro de la dimensión.</w:t>
      </w:r>
    </w:p>
    <w:p>
      <w:pPr>
        <w:numPr>
          <w:ilvl w:val="0"/>
          <w:numId w:val="1032"/>
        </w:numPr>
      </w:pPr>
      <w:r>
        <w:rPr>
          <w:bCs/>
          <w:b/>
        </w:rPr>
        <w:t xml:space="preserve">Política de revisiones:</w:t>
      </w:r>
      <w:r>
        <w:t xml:space="preserve"> </w:t>
      </w:r>
      <w:r>
        <w:t xml:space="preserve">Serie desestacionalizada revisable por la fuente; re-descarga completa por actualización.</w:t>
      </w:r>
    </w:p>
    <w:bookmarkEnd w:id="101"/>
    <w:bookmarkStart w:id="102" w:name="X132198e4afb37dac2ae05929110b05dce5f3da0"/>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como nivel desestacionalizado base-100; el mismo día el gráfico pasó a la misma métrica del titular (antes mostraba otra serie de insumos por un alias).</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02"/>
    <w:bookmarkEnd w:id="103"/>
    <w:bookmarkStart w:id="113" w:name="subocupación-demandante"/>
    <w:p>
      <w:pPr>
        <w:pStyle w:val="Heading1"/>
        <w:keepNext/>
      </w:pPr>
      <w:r>
        <w:t xml:space="preserve">Subocupación demandante</w:t>
      </w:r>
    </w:p>
    <w:p>
      <w:pPr>
        <w:pStyle w:val="FirstParagraph"/>
      </w:pPr>
      <w:r>
        <w:t xml:space="preserve">Qué porcentaje de los ocupados busca trabajar más horas porque su empleo no le alcanza.</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7,5 %</w:t>
            </w:r>
            <w:r>
              <w:rPr>
                <w:sz w:val="18"/>
              </w:rPr>
              <w:t xml:space="preserve"> </w:t>
            </w:r>
            <w:r>
              <w:rPr>
                <w:sz w:val="18"/>
              </w:rPr>
              <w:t xml:space="preserve">(2026-01)</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1,4 % del ITVC</w:t>
            </w:r>
          </w:p>
        </w:tc>
        <w:tc>
          <w:p>
            <w:pPr>
              <w:pStyle w:val="Compact"/>
              <w:jc w:val="left"/>
            </w:pPr>
            <w:r>
              <w:rPr>
                <w:sz w:val="18"/>
              </w:rPr>
              <w:t xml:space="preserve">Cinturón Vida cotidiana</w:t>
            </w:r>
          </w:p>
        </w:tc>
      </w:tr>
    </w:tbl>
    <w:bookmarkStart w:id="104" w:name="identificación-8"/>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pluriempleo</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Prospectivas de empleo</w:t>
            </w:r>
          </w:p>
        </w:tc>
        <w:tc>
          <w:p>
            <w:pPr>
              <w:pStyle w:val="Compact"/>
              <w:jc w:val="left"/>
            </w:pPr>
            <w:r>
              <w:rPr>
                <w:bCs/>
                <w:b/>
                <w:sz w:val="18"/>
              </w:rPr>
              <w:t xml:space="preserve">UNIDAD DE MEDIDA</w:t>
            </w:r>
          </w:p>
        </w:tc>
        <w:tc>
          <w:p>
            <w:pPr>
              <w:pStyle w:val="Compact"/>
              <w:jc w:val="left"/>
            </w:pPr>
            <w:r>
              <w:rPr>
                <w:sz w:val="18"/>
              </w:rPr>
              <w:t xml:space="preserve">%</w:t>
            </w:r>
          </w:p>
        </w:tc>
      </w:tr>
      <w:tr>
        <w:trPr>
          <w:cantSplit/>
        </w:trPr>
        <w:tc>
          <w:p>
            <w:pPr>
              <w:pStyle w:val="Compact"/>
              <w:jc w:val="left"/>
            </w:pPr>
            <w:r>
              <w:rPr>
                <w:bCs/>
                <w:b/>
                <w:sz w:val="18"/>
              </w:rPr>
              <w:t xml:space="preserve">SERIE DISPONIBLE</w:t>
            </w:r>
          </w:p>
        </w:tc>
        <w:tc>
          <w:p>
            <w:pPr>
              <w:pStyle w:val="Compact"/>
              <w:jc w:val="left"/>
            </w:pPr>
            <w:r>
              <w:rPr>
                <w:sz w:val="18"/>
              </w:rPr>
              <w:t xml:space="preserve">2016-04 → 2026-01 (40 puntos)</w:t>
            </w:r>
          </w:p>
        </w:tc>
        <w:tc>
          <w:p>
            <w:pPr>
              <w:pStyle w:val="Compact"/>
              <w:jc w:val="left"/>
            </w:pPr>
            <w:r>
              <w:rPr>
                <w:bCs/>
                <w:b/>
                <w:sz w:val="18"/>
              </w:rPr>
              <w:t xml:space="preserve">REZAGO DE PUBLICACIÓN</w:t>
            </w:r>
          </w:p>
        </w:tc>
        <w:tc>
          <w:p>
            <w:pPr>
              <w:pStyle w:val="Compact"/>
              <w:jc w:val="left"/>
            </w:pPr>
            <w:r>
              <w:rPr>
                <w:sz w:val="18"/>
              </w:rPr>
              <w:t xml:space="preserve">Encuesta trimestral publicada con uno a dos trimestres de rezago.</w:t>
            </w:r>
          </w:p>
        </w:tc>
      </w:tr>
      <w:tr>
        <w:trPr>
          <w:cantSplit/>
        </w:trPr>
        <w:tc>
          <w:p>
            <w:pPr>
              <w:pStyle w:val="Compact"/>
              <w:jc w:val="left"/>
            </w:pPr>
            <w:r>
              <w:rPr>
                <w:bCs/>
                <w:b/>
                <w:sz w:val="18"/>
              </w:rPr>
              <w:t xml:space="preserve">PRODUCTOR DEL DATO</w:t>
            </w:r>
          </w:p>
        </w:tc>
        <w:tc>
          <w:p>
            <w:pPr>
              <w:pStyle w:val="Compact"/>
              <w:jc w:val="left"/>
            </w:pPr>
            <w:r>
              <w:rPr>
                <w:sz w:val="18"/>
              </w:rPr>
              <w:t xml:space="preserve">INDEC (EPH)</w:t>
            </w:r>
          </w:p>
        </w:tc>
        <w:tc>
          <w:p>
            <w:pPr>
              <w:pStyle w:val="Compact"/>
              <w:jc w:val="left"/>
            </w:pPr>
            <w:r>
              <w:rPr>
                <w:bCs/>
                <w:b/>
                <w:sz w:val="18"/>
              </w:rPr>
              <w:t xml:space="preserve">OPERACIÓN ESTADÍSTICA</w:t>
            </w:r>
          </w:p>
        </w:tc>
        <w:tc>
          <w:p>
            <w:pPr>
              <w:pStyle w:val="Compact"/>
              <w:jc w:val="left"/>
            </w:pPr>
            <w:r>
              <w:rPr>
                <w:sz w:val="18"/>
              </w:rPr>
              <w:t xml:space="preserve">EPH — tasa de subocupación demandante (aproximación declarada del pluriempleo)</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2026-01 · informe generado el 2026-08-09</w:t>
            </w:r>
          </w:p>
        </w:tc>
      </w:tr>
    </w:tbl>
    <w:bookmarkEnd w:id="104"/>
    <w:bookmarkStart w:id="105" w:name="definición-qué-mide-y-por-qué-importa-8"/>
    <w:p>
      <w:pPr>
        <w:pStyle w:val="Heading2"/>
        <w:keepNext/>
      </w:pPr>
      <w:r>
        <w:t xml:space="preserve">Definición — qué mide y por qué importa</w:t>
      </w:r>
    </w:p>
    <w:p>
      <w:pPr>
        <w:pStyle w:val="FirstParagraph"/>
      </w:pPr>
      <w:r>
        <w:t xml:space="preserve">Qué porcentaje de los ocupados busca trabajar más horas porque su empleo no le alcanza.</w:t>
      </w:r>
    </w:p>
    <w:p>
      <w:pPr>
        <w:pStyle w:val="BodyText"/>
      </w:pPr>
      <w:r>
        <w:t xml:space="preserve">Señala empleo insuficiente: gente ocupada a la que no le alcanza.</w:t>
      </w:r>
    </w:p>
    <w:p>
      <w:pPr>
        <w:pStyle w:val="BodyText"/>
      </w:pPr>
      <w:r>
        <w:rPr>
          <w:bCs/>
          <w:b/>
        </w:rPr>
        <w:t xml:space="preserve">Dimensión que integra — Prospectivas de empleo.</w:t>
      </w:r>
      <w:r>
        <w:t xml:space="preserve"> </w:t>
      </w:r>
      <w:r>
        <w:t xml:space="preserve">Las perspectivas de trabajo: mortalidad de pymes (empleadores), construcción (cemento, el sector más intensivo en mano de obra) y pluriempleo.</w:t>
      </w:r>
    </w:p>
    <w:bookmarkEnd w:id="105"/>
    <w:bookmarkStart w:id="106" w:name="método-de-cómputo-8"/>
    <w:p>
      <w:pPr>
        <w:pStyle w:val="Heading2"/>
        <w:keepNext/>
      </w:pPr>
      <w:r>
        <w:t xml:space="preserve">Método de cómputo</w:t>
      </w:r>
    </w:p>
    <w:p>
      <w:pPr>
        <w:numPr>
          <w:ilvl w:val="0"/>
          <w:numId w:val="1033"/>
        </w:numPr>
        <w:pStyle w:val="Compact"/>
      </w:pPr>
      <w:r>
        <w:t xml:space="preserve">Componente del índice: la tasa rebaseada de forma invertida (menos subocupación demandante = mejora) contra el 4º trimestre de 2023.</w:t>
      </w:r>
    </w:p>
    <w:bookmarkEnd w:id="106"/>
    <w:bookmarkStart w:id="107" w:name="X87b3987c06539a9299ed64e1a1888a4d5564dfd"/>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90,7</w:t>
      </w:r>
      <w:r>
        <w:t xml:space="preserve">.</w:t>
      </w:r>
    </w:p>
    <w:bookmarkEnd w:id="107"/>
    <w:bookmarkStart w:id="108" w:name="datos-concretos-detrás-del-valor-8"/>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4"/>
        </w:numPr>
        <w:pStyle w:val="Compact"/>
      </w:pPr>
      <w:r>
        <w:t xml:space="preserve">El informe publica el valor (7,5 %) pero no los números que lo componen: la fuente entrega la serie ya calculada. Para auditar el dato hay que ir a la operación estadística citada más arriba.</w:t>
      </w:r>
    </w:p>
    <w:bookmarkEnd w:id="108"/>
    <w:bookmarkStart w:id="109" w:name="color-vigente-y-por-qué-8"/>
    <w:p>
      <w:pPr>
        <w:pStyle w:val="Heading2"/>
        <w:keepNext/>
      </w:pPr>
      <w:r>
        <w:t xml:space="preserve">Color vigente y por qué</w:t>
      </w:r>
    </w:p>
    <w:p>
      <w:pPr>
        <w:pStyle w:val="FirstParagraph"/>
      </w:pPr>
      <w:r>
        <w:t xml:space="preserve">Dato vigente: 7,5 % (2026-01).</w:t>
      </w:r>
    </w:p>
    <w:p>
      <w:pPr>
        <w:pStyle w:val="BodyText"/>
      </w:pPr>
      <w:r>
        <w:t xml:space="preserve">El componente está en 90,7 sobre la base 100 del 4º trimestre de 2023 — de 85 a 95 —, que es el tramo NARANJA.</w:t>
      </w:r>
    </w:p>
    <w:p>
      <w:pPr>
        <w:pStyle w:val="BodyText"/>
      </w:pPr>
      <w:r>
        <w:rPr>
          <w:bCs/>
          <w:b/>
        </w:rPr>
        <w:t xml:space="preserve">Color vigente: NARANJA</w:t>
      </w:r>
    </w:p>
    <w:p>
      <w:pPr>
        <w:pStyle w:val="BodyText"/>
      </w:pPr>
      <w:r>
        <w:t xml:space="preserve">Ponderación vigente en el ITVC: 1,4 % efectivo. El color es una lectura adicional — no reemplaza ni cambia esta ponderación.</w:t>
      </w:r>
    </w:p>
    <w:bookmarkEnd w:id="109"/>
    <w:bookmarkStart w:id="110" w:name="transparencia-limitaciones-declaradas-8"/>
    <w:p>
      <w:pPr>
        <w:pStyle w:val="Heading2"/>
        <w:keepNext/>
      </w:pPr>
      <w:r>
        <w:t xml:space="preserve">Transparencia — limitaciones declaradas</w:t>
      </w:r>
    </w:p>
    <w:p>
      <w:pPr>
        <w:numPr>
          <w:ilvl w:val="0"/>
          <w:numId w:val="1035"/>
        </w:numPr>
        <w:pStyle w:val="Compact"/>
      </w:pPr>
      <w:r>
        <w:t xml:space="preserve">Aproximación declarada: mide gente que trabaja poco y busca más, no la tenencia de múltiples empleos.</w:t>
      </w:r>
    </w:p>
    <w:p>
      <w:pPr>
        <w:numPr>
          <w:ilvl w:val="0"/>
          <w:numId w:val="1035"/>
        </w:numPr>
        <w:pStyle w:val="Compact"/>
      </w:pPr>
      <w:r>
        <w:t xml:space="preserve">Trimestral contra base de un trimestre: sesgo estacional chico aceptado.</w:t>
      </w:r>
    </w:p>
    <w:bookmarkEnd w:id="110"/>
    <w:bookmarkStart w:id="111" w:name="Xa8ce648c431bea43f551f3baf6efe2b68743848"/>
    <w:p>
      <w:pPr>
        <w:pStyle w:val="Heading2"/>
        <w:keepNext/>
      </w:pPr>
      <w:r>
        <w:t xml:space="preserve">Si falta el dato / Política de revisiones</w:t>
      </w:r>
    </w:p>
    <w:p>
      <w:pPr>
        <w:numPr>
          <w:ilvl w:val="0"/>
          <w:numId w:val="1036"/>
        </w:numPr>
      </w:pPr>
      <w:r>
        <w:rPr>
          <w:bCs/>
          <w:b/>
        </w:rPr>
        <w:t xml:space="preserve">Si falta el dato:</w:t>
      </w:r>
      <w:r>
        <w:t xml:space="preserve"> </w:t>
      </w:r>
      <w:r>
        <w:t xml:space="preserve">Se mantiene el último valor publicado como desactualizado; sin componente, renormalización dentro de la dimensión.</w:t>
      </w:r>
    </w:p>
    <w:p>
      <w:pPr>
        <w:numPr>
          <w:ilvl w:val="0"/>
          <w:numId w:val="1036"/>
        </w:numPr>
      </w:pPr>
      <w:r>
        <w:rPr>
          <w:bCs/>
          <w:b/>
        </w:rPr>
        <w:t xml:space="preserve">Política de revisiones:</w:t>
      </w:r>
      <w:r>
        <w:t xml:space="preserve"> </w:t>
      </w:r>
      <w:r>
        <w:t xml:space="preserve">La encuesta se revisa; re-descarga completa por actualización.</w:t>
      </w:r>
    </w:p>
    <w:bookmarkEnd w:id="111"/>
    <w:bookmarkStart w:id="112" w:name="X7377c6d2efe561e453f620dd5fcb89b652fe35d"/>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con rebase invertido base-100.</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12"/>
    <w:bookmarkEnd w:id="113"/>
    <w:bookmarkStart w:id="123" w:name="empleo-registrado-privado"/>
    <w:p>
      <w:pPr>
        <w:pStyle w:val="Heading1"/>
        <w:keepNext/>
      </w:pPr>
      <w:r>
        <w:t xml:space="preserve">Empleo registrado privado</w:t>
      </w:r>
    </w:p>
    <w:p>
      <w:pPr>
        <w:pStyle w:val="FirstParagraph"/>
      </w:pPr>
      <w:r>
        <w:t xml:space="preserve">Cuántos asalariados del sector privado están registrados ante la seguridad social. Es el dato que las empresas declaran mes a mes, no una estimación de encuesta.</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6.130,15 miles de puestos</w:t>
            </w:r>
            <w:r>
              <w:rPr>
                <w:sz w:val="18"/>
              </w:rPr>
              <w:t xml:space="preserve"> </w:t>
            </w:r>
            <w:r>
              <w:rPr>
                <w:sz w:val="18"/>
              </w:rPr>
              <w:t xml:space="preserve">(2026-04)</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6 % del ITVC</w:t>
            </w:r>
          </w:p>
        </w:tc>
        <w:tc>
          <w:p>
            <w:pPr>
              <w:pStyle w:val="Compact"/>
              <w:jc w:val="left"/>
            </w:pPr>
            <w:r>
              <w:rPr>
                <w:sz w:val="18"/>
              </w:rPr>
              <w:t xml:space="preserve">Cinturón Vida cotidiana</w:t>
            </w:r>
          </w:p>
        </w:tc>
      </w:tr>
    </w:tbl>
    <w:bookmarkStart w:id="114" w:name="identificación-9"/>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empleo_registrado</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Prospectivas de empleo</w:t>
            </w:r>
          </w:p>
        </w:tc>
        <w:tc>
          <w:p>
            <w:pPr>
              <w:pStyle w:val="Compact"/>
              <w:jc w:val="left"/>
            </w:pPr>
            <w:r>
              <w:rPr>
                <w:bCs/>
                <w:b/>
                <w:sz w:val="18"/>
              </w:rPr>
              <w:t xml:space="preserve">UNIDAD DE MEDIDA</w:t>
            </w:r>
          </w:p>
        </w:tc>
        <w:tc>
          <w:p>
            <w:pPr>
              <w:pStyle w:val="Compact"/>
              <w:jc w:val="left"/>
            </w:pPr>
            <w:r>
              <w:rPr>
                <w:sz w:val="18"/>
              </w:rPr>
              <w:t xml:space="preserve">miles de puestos</w:t>
            </w:r>
          </w:p>
        </w:tc>
      </w:tr>
      <w:tr>
        <w:trPr>
          <w:cantSplit/>
        </w:trPr>
        <w:tc>
          <w:p>
            <w:pPr>
              <w:pStyle w:val="Compact"/>
              <w:jc w:val="left"/>
            </w:pPr>
            <w:r>
              <w:rPr>
                <w:bCs/>
                <w:b/>
                <w:sz w:val="18"/>
              </w:rPr>
              <w:t xml:space="preserve">SERIE DISPONIBLE</w:t>
            </w:r>
          </w:p>
        </w:tc>
        <w:tc>
          <w:p>
            <w:pPr>
              <w:pStyle w:val="Compact"/>
              <w:jc w:val="left"/>
            </w:pPr>
            <w:r>
              <w:rPr>
                <w:sz w:val="18"/>
              </w:rPr>
              <w:t xml:space="preserve">2023-10 → 2026-04 (31 puntos)</w:t>
            </w:r>
          </w:p>
        </w:tc>
        <w:tc>
          <w:p>
            <w:pPr>
              <w:pStyle w:val="Compact"/>
              <w:jc w:val="left"/>
            </w:pPr>
            <w:r>
              <w:rPr>
                <w:bCs/>
                <w:b/>
                <w:sz w:val="18"/>
              </w:rPr>
              <w:t xml:space="preserve">REZAGO DE PUBLICACIÓN</w:t>
            </w:r>
          </w:p>
        </w:tc>
        <w:tc>
          <w:p>
            <w:pPr>
              <w:pStyle w:val="Compact"/>
              <w:jc w:val="left"/>
            </w:pPr>
            <w:r>
              <w:rPr>
                <w:sz w:val="18"/>
              </w:rPr>
              <w:t xml:space="preserve">Los datos del Sistema Integrado Previsional se publican con alrededor de tres meses de rezago: son declaraciones de las empresas que se consolidan y se revisan.</w:t>
            </w:r>
          </w:p>
        </w:tc>
      </w:tr>
      <w:tr>
        <w:trPr>
          <w:cantSplit/>
        </w:trPr>
        <w:tc>
          <w:p>
            <w:pPr>
              <w:pStyle w:val="Compact"/>
              <w:jc w:val="left"/>
            </w:pPr>
            <w:r>
              <w:rPr>
                <w:bCs/>
                <w:b/>
                <w:sz w:val="18"/>
              </w:rPr>
              <w:t xml:space="preserve">PRODUCTOR DEL DATO</w:t>
            </w:r>
          </w:p>
        </w:tc>
        <w:tc>
          <w:p>
            <w:pPr>
              <w:pStyle w:val="Compact"/>
              <w:jc w:val="left"/>
            </w:pPr>
            <w:r>
              <w:rPr>
                <w:sz w:val="18"/>
              </w:rPr>
              <w:t xml:space="preserve">Ministerio de Capital Humano — Sistema Integrado Previsional Argentino (SIPA)</w:t>
            </w:r>
          </w:p>
        </w:tc>
        <w:tc>
          <w:p>
            <w:pPr>
              <w:pStyle w:val="Compact"/>
              <w:jc w:val="left"/>
            </w:pPr>
            <w:r>
              <w:rPr>
                <w:bCs/>
                <w:b/>
                <w:sz w:val="18"/>
              </w:rPr>
              <w:t xml:space="preserve">OPERACIÓN ESTADÍSTICA</w:t>
            </w:r>
          </w:p>
        </w:tc>
        <w:tc>
          <w:p>
            <w:pPr>
              <w:pStyle w:val="Compact"/>
              <w:jc w:val="left"/>
            </w:pPr>
            <w:r>
              <w:rPr>
                <w:sz w:val="18"/>
              </w:rPr>
              <w:t xml:space="preserve">Trabajadores registrados según modalidad ocupacional principal — asalariados del sector privado, en miles de personas</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2026-04 · informe generado el 2026-08-09</w:t>
            </w:r>
          </w:p>
        </w:tc>
      </w:tr>
    </w:tbl>
    <w:bookmarkEnd w:id="114"/>
    <w:bookmarkStart w:id="115" w:name="definición-qué-mide-y-por-qué-importa-9"/>
    <w:p>
      <w:pPr>
        <w:pStyle w:val="Heading2"/>
        <w:keepNext/>
      </w:pPr>
      <w:r>
        <w:t xml:space="preserve">Definición — qué mide y por qué importa</w:t>
      </w:r>
    </w:p>
    <w:p>
      <w:pPr>
        <w:pStyle w:val="FirstParagraph"/>
      </w:pPr>
      <w:r>
        <w:t xml:space="preserve">Cuántos asalariados del sector privado están registrados ante la seguridad social. Es el dato que las empresas declaran mes a mes, no una estimación de encuesta.</w:t>
      </w:r>
    </w:p>
    <w:p>
      <w:pPr>
        <w:pStyle w:val="BodyText"/>
      </w:pPr>
      <w:r>
        <w:t xml:space="preserve">Es la única medida directa de empleo del cinturón. Los otros componentes de la dimensión describen actividad —producción industrial, construcción— o anticipan giros, pero ninguno cuenta puestos de trabajo. Desde diciembre de 2023 el sector privado registrado perdió alrededor de doscientos cincuenta mil puestos, y la caída interanual no se interrumpió en ningún mes desde agosto de 2025.</w:t>
      </w:r>
    </w:p>
    <w:p>
      <w:pPr>
        <w:pStyle w:val="BodyText"/>
      </w:pPr>
      <w:r>
        <w:rPr>
          <w:bCs/>
          <w:b/>
        </w:rPr>
        <w:t xml:space="preserve">Dimensión que integra — Prospectivas de empleo.</w:t>
      </w:r>
      <w:r>
        <w:t xml:space="preserve"> </w:t>
      </w:r>
      <w:r>
        <w:t xml:space="preserve">Las perspectivas de trabajo: mortalidad de pymes (empleadores), construcción (cemento, el sector más intensivo en mano de obra) y pluriempleo.</w:t>
      </w:r>
    </w:p>
    <w:bookmarkEnd w:id="115"/>
    <w:bookmarkStart w:id="116" w:name="método-de-cómputo-9"/>
    <w:p>
      <w:pPr>
        <w:pStyle w:val="Heading2"/>
        <w:keepNext/>
      </w:pPr>
      <w:r>
        <w:t xml:space="preserve">Método de cómputo</w:t>
      </w:r>
    </w:p>
    <w:p>
      <w:pPr>
        <w:numPr>
          <w:ilvl w:val="0"/>
          <w:numId w:val="1037"/>
        </w:numPr>
        <w:pStyle w:val="Compact"/>
      </w:pPr>
      <w:r>
        <w:t xml:space="preserve">La card publica el nivel en miles de puestos; el índice del cinturón lo expresa en base 100 contra el promedio del último trimestre de 2023, la misma línea de base que el resto de los componentes.</w:t>
      </w:r>
    </w:p>
    <w:p>
      <w:pPr>
        <w:numPr>
          <w:ilvl w:val="0"/>
          <w:numId w:val="1037"/>
        </w:numPr>
        <w:pStyle w:val="Compact"/>
      </w:pPr>
      <w:r>
        <w:t xml:space="preserve">Se usa la serie con estacionalidad, no la desestacionalizada, porque la comparación es contra una base fija de tres meses y no contra el mes anterior: la estacionalidad de la base y la del mes corriente se compensan.</w:t>
      </w:r>
    </w:p>
    <w:p>
      <w:pPr>
        <w:numPr>
          <w:ilvl w:val="0"/>
          <w:numId w:val="1037"/>
        </w:numPr>
        <w:pStyle w:val="Compact"/>
      </w:pPr>
      <w:r>
        <w:t xml:space="preserve">No se invierte: más empleo registrado es mejor, de modo que el índice sube cuando la situación mejora.</w:t>
      </w:r>
    </w:p>
    <w:bookmarkEnd w:id="116"/>
    <w:bookmarkStart w:id="117" w:name="X7cebc61645757546f8524c030baae18d065141e"/>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96,1</w:t>
      </w:r>
      <w:r>
        <w:t xml:space="preserve">.</w:t>
      </w:r>
    </w:p>
    <w:bookmarkEnd w:id="117"/>
    <w:bookmarkStart w:id="118" w:name="datos-concretos-detrás-del-valor-9"/>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38"/>
        </w:numPr>
        <w:pStyle w:val="Compact"/>
      </w:pPr>
      <w:r>
        <w:t xml:space="preserve">El informe publica el valor (6.130,15 miles de puestos) pero no los números que lo componen: la fuente entrega la serie ya calculada. Para auditar el dato hay que ir a la operación estadística citada más arriba.</w:t>
      </w:r>
    </w:p>
    <w:bookmarkEnd w:id="118"/>
    <w:bookmarkStart w:id="119" w:name="color-vigente-y-por-qué-9"/>
    <w:p>
      <w:pPr>
        <w:pStyle w:val="Heading2"/>
        <w:keepNext/>
      </w:pPr>
      <w:r>
        <w:t xml:space="preserve">Color vigente y por qué</w:t>
      </w:r>
    </w:p>
    <w:p>
      <w:pPr>
        <w:pStyle w:val="FirstParagraph"/>
      </w:pPr>
      <w:r>
        <w:t xml:space="preserve">Dato vigente: 6.130,15 miles de puestos (2026-04).</w:t>
      </w:r>
    </w:p>
    <w:p>
      <w:pPr>
        <w:pStyle w:val="BodyText"/>
      </w:pPr>
      <w:r>
        <w:t xml:space="preserve">El componente está en 96,1 sobre la base 100 del 4º trimestre de 2023 — de 95 a 105 —, que es el tramo AMARILLO.</w:t>
      </w:r>
    </w:p>
    <w:p>
      <w:pPr>
        <w:pStyle w:val="BodyText"/>
      </w:pPr>
      <w:r>
        <w:rPr>
          <w:bCs/>
          <w:b/>
        </w:rPr>
        <w:t xml:space="preserve">Color vigente: AMARILLO</w:t>
      </w:r>
    </w:p>
    <w:p>
      <w:pPr>
        <w:pStyle w:val="BodyText"/>
      </w:pPr>
      <w:r>
        <w:t xml:space="preserve">Ponderación vigente en el ITVC: 6 % efectivo. El color es una lectura adicional — no reemplaza ni cambia esta ponderación.</w:t>
      </w:r>
    </w:p>
    <w:bookmarkEnd w:id="119"/>
    <w:bookmarkStart w:id="120" w:name="transparencia-limitaciones-declaradas-9"/>
    <w:p>
      <w:pPr>
        <w:pStyle w:val="Heading2"/>
        <w:keepNext/>
      </w:pPr>
      <w:r>
        <w:t xml:space="preserve">Transparencia — limitaciones declaradas</w:t>
      </w:r>
    </w:p>
    <w:p>
      <w:pPr>
        <w:numPr>
          <w:ilvl w:val="0"/>
          <w:numId w:val="1039"/>
        </w:numPr>
        <w:pStyle w:val="Compact"/>
      </w:pPr>
      <w:r>
        <w:t xml:space="preserve">Cuenta puestos registrados, no personas ocupadas. Un trabajador con dos empleos registrados cuenta dos veces, y todo el empleo no registrado —alrededor de un tercio del total en la Argentina— queda afuera por definición.</w:t>
      </w:r>
    </w:p>
    <w:p>
      <w:pPr>
        <w:numPr>
          <w:ilvl w:val="0"/>
          <w:numId w:val="1039"/>
        </w:numPr>
        <w:pStyle w:val="Compact"/>
      </w:pPr>
      <w:r>
        <w:t xml:space="preserve">Sólo mira al sector privado. El empleo público se publica por separado y no entra: la dimensión describe las condiciones del mercado de trabajo que enfrenta un hogar, y el tamaño del Estado ya se mide en el cinturón de gestión. Sumarlo acá haría que una reducción de la planta estatal empeorara este cinturón al mismo tiempo que mejora el otro, con el mismo dato.</w:t>
      </w:r>
    </w:p>
    <w:p>
      <w:pPr>
        <w:numPr>
          <w:ilvl w:val="0"/>
          <w:numId w:val="1039"/>
        </w:numPr>
        <w:pStyle w:val="Compact"/>
      </w:pPr>
      <w:r>
        <w:t xml:space="preserve">Las declaraciones se revisan hacia atrás durante varios meses, de modo que los últimos puntos de la serie pueden moverse.</w:t>
      </w:r>
    </w:p>
    <w:p>
      <w:pPr>
        <w:numPr>
          <w:ilvl w:val="0"/>
          <w:numId w:val="1039"/>
        </w:numPr>
        <w:pStyle w:val="Compact"/>
      </w:pPr>
      <w:r>
        <w:t xml:space="preserve">Un puesto registrado no dice nada sobre el salario que paga: el indicador no captura si el empleo que queda está mejor o peor remunerado que el que se perdió.</w:t>
      </w:r>
    </w:p>
    <w:bookmarkEnd w:id="120"/>
    <w:bookmarkStart w:id="121" w:name="X0ca14a0d10aa77334bfd7717b8d9d79e39debb4"/>
    <w:p>
      <w:pPr>
        <w:pStyle w:val="Heading2"/>
        <w:keepNext/>
      </w:pPr>
      <w:r>
        <w:t xml:space="preserve">Si falta el dato / Política de revisiones</w:t>
      </w:r>
    </w:p>
    <w:p>
      <w:pPr>
        <w:numPr>
          <w:ilvl w:val="0"/>
          <w:numId w:val="1040"/>
        </w:numPr>
      </w:pPr>
      <w:r>
        <w:rPr>
          <w:bCs/>
          <w:b/>
        </w:rPr>
        <w:t xml:space="preserve">Si falta el dato:</w:t>
      </w:r>
      <w:r>
        <w:t xml:space="preserve"> </w:t>
      </w:r>
      <w:r>
        <w:t xml:space="preserve">Si falta el dato, se mantiene el último valor disponible, señalado como desactualizado; sin ningún valor previo, el peso se redistribuye entre los otros tres componentes de la dimensión.</w:t>
      </w:r>
    </w:p>
    <w:p>
      <w:pPr>
        <w:numPr>
          <w:ilvl w:val="0"/>
          <w:numId w:val="1040"/>
        </w:numPr>
      </w:pPr>
      <w:r>
        <w:rPr>
          <w:bCs/>
          <w:b/>
        </w:rPr>
        <w:t xml:space="preserve">Política de revisiones:</w:t>
      </w:r>
      <w:r>
        <w:t xml:space="preserve"> </w:t>
      </w:r>
      <w:r>
        <w:t xml:space="preserve">La fuente revisa sus series al consolidar declaraciones; el informe regenera la serie completa en cada actualización.</w:t>
      </w:r>
    </w:p>
    <w:bookmarkEnd w:id="121"/>
    <w:bookmarkStart w:id="122" w:name="Xc4c5e47252ec9282a3f09a2ac20eb324c30e392"/>
    <w:p>
      <w:pPr>
        <w:pStyle w:val="Heading2"/>
        <w:keepNext/>
      </w:pPr>
      <w:r>
        <w:t xml:space="preserve">Historial — cambios metodológicos documentados</w:t>
      </w:r>
    </w:p>
    <w:p>
      <w:pPr>
        <w:pStyle w:val="FirstParagraph"/>
      </w:pPr>
      <w:r>
        <w:rPr>
          <w:bCs/>
          <w:b/>
        </w:rPr>
        <w:t xml:space="preserve">2026-07-25</w:t>
      </w:r>
      <w:r>
        <w:t xml:space="preserve"> </w:t>
      </w:r>
      <w:r>
        <w:t xml:space="preserve">— Entra al índice como componente principal de la dimensión de empleo, con el treinta y cinco por ciento. Hasta entonces la dimensión se llamaba así pero ninguno de sus cuatro componentes medía empleo: eran indicadores de producción, de construcción, de pluriempleo y un índice líder.</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22"/>
    <w:bookmarkEnd w:id="123"/>
    <w:bookmarkStart w:id="133" w:name="victimización-ivi"/>
    <w:p>
      <w:pPr>
        <w:pStyle w:val="Heading1"/>
        <w:keepNext/>
      </w:pPr>
      <w:r>
        <w:t xml:space="preserve">Victimización (IVI)</w:t>
      </w:r>
    </w:p>
    <w:p>
      <w:pPr>
        <w:pStyle w:val="FirstParagraph"/>
      </w:pPr>
      <w:r>
        <w:t xml:space="preserve">Qué porcentaje de los hogares sufrió al menos un delito en los últimos 12 meses, según la encuesta mensual de victimización del LICIP (Universidad Di Tella) en 40 centros urbanos.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28 % de hogares víctimas (últimos 12 meses)</w:t>
            </w:r>
            <w:r>
              <w:rPr>
                <w:sz w:val="18"/>
              </w:rPr>
              <w:t xml:space="preserve"> </w:t>
            </w:r>
            <w:r>
              <w:rPr>
                <w:sz w:val="18"/>
              </w:rPr>
              <w:t xml:space="preserve">(2026-04)</w:t>
            </w:r>
          </w:p>
        </w:tc>
        <w:tc>
          <w:tcPr>
            <w:shd w:val="clear" w:color="auto" w:fill="FEF3C7"/>
          </w:tcPr>
          <w:p>
            <w:pPr>
              <w:pStyle w:val="Compact"/>
              <w:jc w:val="center"/>
            </w:pPr>
            <w:r>
              <w:rPr>
                <w:bCs/>
                <w:b/>
                <w:sz w:val="18"/>
                <w:color w:val="713F12"/>
              </w:rPr>
              <w:t xml:space="preserve">AMARILLO</w:t>
            </w:r>
          </w:p>
        </w:tc>
        <w:tc>
          <w:p>
            <w:pPr>
              <w:pStyle w:val="Compact"/>
              <w:jc w:val="left"/>
            </w:pPr>
            <w:r>
              <w:rPr>
                <w:sz w:val="18"/>
              </w:rPr>
              <w:t xml:space="preserve">Peso efectivo 4,5 % del ITVC</w:t>
            </w:r>
          </w:p>
        </w:tc>
        <w:tc>
          <w:p>
            <w:pPr>
              <w:pStyle w:val="Compact"/>
              <w:jc w:val="left"/>
            </w:pPr>
            <w:r>
              <w:rPr>
                <w:sz w:val="18"/>
              </w:rPr>
              <w:t xml:space="preserve">Cinturón Vida cotidiana</w:t>
            </w:r>
          </w:p>
        </w:tc>
      </w:tr>
    </w:tbl>
    <w:bookmarkStart w:id="124" w:name="identificación-10"/>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inseguridad</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Seguridad</w:t>
            </w:r>
          </w:p>
        </w:tc>
        <w:tc>
          <w:p>
            <w:pPr>
              <w:pStyle w:val="Compact"/>
              <w:jc w:val="left"/>
            </w:pPr>
            <w:r>
              <w:rPr>
                <w:bCs/>
                <w:b/>
                <w:sz w:val="18"/>
              </w:rPr>
              <w:t xml:space="preserve">UNIDAD DE MEDIDA</w:t>
            </w:r>
          </w:p>
        </w:tc>
        <w:tc>
          <w:p>
            <w:pPr>
              <w:pStyle w:val="Compact"/>
              <w:jc w:val="left"/>
            </w:pPr>
            <w:r>
              <w:rPr>
                <w:sz w:val="18"/>
              </w:rPr>
              <w:t xml:space="preserve">% de hogares víctimas (últimos 12 meses)</w:t>
            </w:r>
          </w:p>
        </w:tc>
      </w:tr>
      <w:tr>
        <w:trPr>
          <w:cantSplit/>
        </w:trPr>
        <w:tc>
          <w:p>
            <w:pPr>
              <w:pStyle w:val="Compact"/>
              <w:jc w:val="left"/>
            </w:pPr>
            <w:r>
              <w:rPr>
                <w:bCs/>
                <w:b/>
                <w:sz w:val="18"/>
              </w:rPr>
              <w:t xml:space="preserve">SERIE DISPONIBLE</w:t>
            </w:r>
          </w:p>
        </w:tc>
        <w:tc>
          <w:p>
            <w:pPr>
              <w:pStyle w:val="Compact"/>
              <w:jc w:val="left"/>
            </w:pPr>
            <w:r>
              <w:rPr>
                <w:sz w:val="18"/>
              </w:rPr>
              <w:t xml:space="preserve">2020-01 → 2026-04 (31 puntos)</w:t>
            </w:r>
          </w:p>
        </w:tc>
        <w:tc>
          <w:p>
            <w:pPr>
              <w:pStyle w:val="Compact"/>
              <w:jc w:val="left"/>
            </w:pPr>
            <w:r>
              <w:rPr>
                <w:bCs/>
                <w:b/>
                <w:sz w:val="18"/>
              </w:rPr>
              <w:t xml:space="preserve">REZAGO DE PUBLICACIÓN</w:t>
            </w:r>
          </w:p>
        </w:tc>
        <w:tc>
          <w:p>
            <w:pPr>
              <w:pStyle w:val="Compact"/>
              <w:jc w:val="left"/>
            </w:pPr>
            <w:r>
              <w:rPr>
                <w:sz w:val="18"/>
              </w:rPr>
              <w:t xml:space="preserve">La encuesta de victimización se publica con uno a dos meses de rezago.</w:t>
            </w:r>
          </w:p>
        </w:tc>
      </w:tr>
      <w:tr>
        <w:trPr>
          <w:cantSplit/>
        </w:trPr>
        <w:tc>
          <w:p>
            <w:pPr>
              <w:pStyle w:val="Compact"/>
              <w:jc w:val="left"/>
            </w:pPr>
            <w:r>
              <w:rPr>
                <w:bCs/>
                <w:b/>
                <w:sz w:val="18"/>
              </w:rPr>
              <w:t xml:space="preserve">PRODUCTOR DEL DATO</w:t>
            </w:r>
          </w:p>
        </w:tc>
        <w:tc>
          <w:p>
            <w:pPr>
              <w:pStyle w:val="Compact"/>
              <w:jc w:val="left"/>
            </w:pPr>
            <w:r>
              <w:rPr>
                <w:sz w:val="18"/>
              </w:rPr>
              <w:t xml:space="preserve">Universidad Torcuato Di Tella — LICIP (métrica) + Ministerio de Seguridad — SNIC (contraste)</w:t>
            </w:r>
          </w:p>
        </w:tc>
        <w:tc>
          <w:p>
            <w:pPr>
              <w:pStyle w:val="Compact"/>
              <w:jc w:val="left"/>
            </w:pPr>
            <w:r>
              <w:rPr>
                <w:bCs/>
                <w:b/>
                <w:sz w:val="18"/>
              </w:rPr>
              <w:t xml:space="preserve">OPERACIÓN ESTADÍSTICA</w:t>
            </w:r>
          </w:p>
        </w:tc>
        <w:tc>
          <w:p>
            <w:pPr>
              <w:pStyle w:val="Compact"/>
              <w:jc w:val="left"/>
            </w:pPr>
            <w:r>
              <w:rPr>
                <w:sz w:val="18"/>
              </w:rPr>
              <w:t xml:space="preserve">IVI — Índice de Victimización: porcentaje de hogares de 40 centros urbanos que sufrieron al menos un delito en los últimos 12 meses, denunciado o no</w:t>
            </w:r>
          </w:p>
        </w:tc>
      </w:tr>
      <w:tr>
        <w:trPr>
          <w:cantSplit/>
        </w:trPr>
        <w:tc>
          <w:p>
            <w:pPr>
              <w:pStyle w:val="Compact"/>
              <w:jc w:val="left"/>
            </w:pPr>
            <w:r>
              <w:rPr>
                <w:bCs/>
                <w:b/>
                <w:sz w:val="18"/>
              </w:rPr>
              <w:t xml:space="preserve">MODO DE ACCESO</w:t>
            </w:r>
          </w:p>
        </w:tc>
        <w:tc>
          <w:p>
            <w:pPr>
              <w:pStyle w:val="Compact"/>
              <w:jc w:val="left"/>
            </w:pPr>
            <w:r>
              <w:rPr>
                <w:sz w:val="18"/>
              </w:rPr>
              <w:t xml:space="preserve">Automático: los informes mensuales se descubren desde el listado de la universidad y cada uno se procesa una sola vez; el registro oficial de delitos (SNIC) se publica como serie de contraste.</w:t>
            </w:r>
          </w:p>
        </w:tc>
        <w:tc>
          <w:p>
            <w:pPr>
              <w:pStyle w:val="Compact"/>
              <w:jc w:val="left"/>
            </w:pPr>
            <w:r>
              <w:rPr>
                <w:bCs/>
                <w:b/>
                <w:sz w:val="18"/>
              </w:rPr>
              <w:t xml:space="preserve">ÚLTIMA ACTUALIZACIÓN</w:t>
            </w:r>
          </w:p>
        </w:tc>
        <w:tc>
          <w:p>
            <w:pPr>
              <w:pStyle w:val="Compact"/>
              <w:jc w:val="left"/>
            </w:pPr>
            <w:r>
              <w:rPr>
                <w:sz w:val="18"/>
              </w:rPr>
              <w:t xml:space="preserve">Dato a 2026-04 · informe generado el 2026-08-09</w:t>
            </w:r>
          </w:p>
        </w:tc>
      </w:tr>
    </w:tbl>
    <w:bookmarkEnd w:id="124"/>
    <w:bookmarkStart w:id="125" w:name="definición-qué-mide-y-por-qué-importa-10"/>
    <w:p>
      <w:pPr>
        <w:pStyle w:val="Heading2"/>
        <w:keepNext/>
      </w:pPr>
      <w:r>
        <w:t xml:space="preserve">Definición — qué mide y por qué importa</w:t>
      </w:r>
    </w:p>
    <w:p>
      <w:pPr>
        <w:pStyle w:val="FirstParagraph"/>
      </w:pPr>
      <w:r>
        <w:t xml:space="preserve">Qué porcentaje de los hogares sufrió al menos un delito en los últimos 12 meses, según la encuesta mensual de victimización del LICIP (Universidad Di Tella) en 40 centros urbanos.</w:t>
      </w:r>
    </w:p>
    <w:p>
      <w:pPr>
        <w:pStyle w:val="BodyText"/>
      </w:pPr>
      <w:r>
        <w:t xml:space="preserve">Mide una de las principales preocupaciones cotidianas midiendo lo que la gente efectivamente sufre — incluidos los delitos que nunca se denuncian. Las denuncias registradas (SNIC, anual) quedan como contraste en el detalle: cuando ambas fuentes divergen, la divergencia es información.</w:t>
      </w:r>
    </w:p>
    <w:p>
      <w:pPr>
        <w:pStyle w:val="BodyText"/>
      </w:pPr>
      <w:r>
        <w:rPr>
          <w:bCs/>
          <w:b/>
        </w:rPr>
        <w:t xml:space="preserve">Dimensión que integra — Seguridad.</w:t>
      </w:r>
      <w:r>
        <w:t xml:space="preserve"> </w:t>
      </w:r>
      <w:r>
        <w:t xml:space="preserve">Qué proporción de los hogares fue víctima de un delito. No es percepción ni sensación: es el hecho, relevado por encuesta.</w:t>
      </w:r>
    </w:p>
    <w:bookmarkEnd w:id="125"/>
    <w:bookmarkStart w:id="126" w:name="método-de-cómputo-10"/>
    <w:p>
      <w:pPr>
        <w:pStyle w:val="Heading2"/>
        <w:keepNext/>
      </w:pPr>
      <w:r>
        <w:t xml:space="preserve">Método de cómputo</w:t>
      </w:r>
    </w:p>
    <w:p>
      <w:pPr>
        <w:numPr>
          <w:ilvl w:val="0"/>
          <w:numId w:val="1041"/>
        </w:numPr>
        <w:pStyle w:val="Compact"/>
      </w:pPr>
      <w:r>
        <w:t xml:space="preserve">Componente del índice: el porcentaje de hogares víctimas, rebaseado de forma invertida (menos victimización = mejora) con base declarada en enero de 2024 — no existe medición del 4º trimestre de 2023.</w:t>
      </w:r>
    </w:p>
    <w:p>
      <w:pPr>
        <w:numPr>
          <w:ilvl w:val="0"/>
          <w:numId w:val="1041"/>
        </w:numPr>
        <w:pStyle w:val="Compact"/>
      </w:pPr>
      <w:r>
        <w:t xml:space="preserve">La ventana de 12 meses de la pregunta desestacionaliza por construcción.</w:t>
      </w:r>
    </w:p>
    <w:bookmarkEnd w:id="126"/>
    <w:bookmarkStart w:id="127" w:name="Xfb29aba7f4cabebf712c4a7a435b3b78f3aa559"/>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102,1</w:t>
      </w:r>
      <w:r>
        <w:t xml:space="preserve">.</w:t>
      </w:r>
    </w:p>
    <w:bookmarkEnd w:id="127"/>
    <w:bookmarkStart w:id="128" w:name="datos-concretos-detrás-del-valor-10"/>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2"/>
        </w:numPr>
        <w:pStyle w:val="Compact"/>
      </w:pPr>
      <w:r>
        <w:t xml:space="preserve">Encuesta mensual de victimización en 40 centros urbanos: incluye los delitos NO denunciados (la cifra negra) — contraste SNIC (denuncias registradas, año 2025): 2.418.600 hechos</w:t>
      </w:r>
    </w:p>
    <w:bookmarkEnd w:id="128"/>
    <w:bookmarkStart w:id="129" w:name="color-vigente-y-por-qué-10"/>
    <w:p>
      <w:pPr>
        <w:pStyle w:val="Heading2"/>
        <w:keepNext/>
      </w:pPr>
      <w:r>
        <w:t xml:space="preserve">Color vigente y por qué</w:t>
      </w:r>
    </w:p>
    <w:p>
      <w:pPr>
        <w:pStyle w:val="FirstParagraph"/>
      </w:pPr>
      <w:r>
        <w:t xml:space="preserve">Dato vigente: 28 % de hogares víctimas (últimos 12 meses) (2026-04).</w:t>
      </w:r>
    </w:p>
    <w:p>
      <w:pPr>
        <w:pStyle w:val="BodyText"/>
      </w:pPr>
      <w:r>
        <w:t xml:space="preserve">El componente está en 102,1 sobre la base 100 del 4º trimestre de 2023 — de 95 a 105 —, que es el tramo AMARILLO.</w:t>
      </w:r>
    </w:p>
    <w:p>
      <w:pPr>
        <w:pStyle w:val="BodyText"/>
      </w:pPr>
      <w:r>
        <w:rPr>
          <w:bCs/>
          <w:b/>
        </w:rPr>
        <w:t xml:space="preserve">Color vigente: AMARILLO</w:t>
      </w:r>
    </w:p>
    <w:p>
      <w:pPr>
        <w:pStyle w:val="BodyText"/>
      </w:pPr>
      <w:r>
        <w:t xml:space="preserve">Ponderación vigente en el ITVC: 4,5 % efectivo. El color es una lectura adicional — no reemplaza ni cambia esta ponderación.</w:t>
      </w:r>
    </w:p>
    <w:bookmarkEnd w:id="129"/>
    <w:bookmarkStart w:id="130" w:name="transparencia-limitaciones-declaradas-10"/>
    <w:p>
      <w:pPr>
        <w:pStyle w:val="Heading2"/>
        <w:keepNext/>
      </w:pPr>
      <w:r>
        <w:t xml:space="preserve">Transparencia — limitaciones declaradas</w:t>
      </w:r>
    </w:p>
    <w:p>
      <w:pPr>
        <w:numPr>
          <w:ilvl w:val="0"/>
          <w:numId w:val="1043"/>
        </w:numPr>
        <w:pStyle w:val="Compact"/>
      </w:pPr>
      <w:r>
        <w:t xml:space="preserve">La encuesta estuvo suspendida entre 2020 y 2023: la base de enero de 2024 es una aproximación declarada del arranque (su ventana de 12 meses cubre mayormente el año previo).</w:t>
      </w:r>
    </w:p>
    <w:p>
      <w:pPr>
        <w:numPr>
          <w:ilvl w:val="0"/>
          <w:numId w:val="1043"/>
        </w:numPr>
        <w:pStyle w:val="Compact"/>
      </w:pPr>
      <w:r>
        <w:t xml:space="preserve">Error muestral de ±3 puntos por mes (~1.000 hogares) y cobertura solo urbana.</w:t>
      </w:r>
    </w:p>
    <w:p>
      <w:pPr>
        <w:numPr>
          <w:ilvl w:val="0"/>
          <w:numId w:val="1043"/>
        </w:numPr>
        <w:pStyle w:val="Compact"/>
      </w:pPr>
      <w:r>
        <w:t xml:space="preserve">La divergencia con el registro de denuncias se publica como información: denuncias bajando con victimización subiendo indica que crece el delito no denunciado.</w:t>
      </w:r>
    </w:p>
    <w:bookmarkEnd w:id="130"/>
    <w:bookmarkStart w:id="131" w:name="Xf65b40f3e12a517bfafe6b61886253a31c0106d"/>
    <w:p>
      <w:pPr>
        <w:pStyle w:val="Heading2"/>
        <w:keepNext/>
      </w:pPr>
      <w:r>
        <w:t xml:space="preserve">Si falta el dato / Política de revisiones</w:t>
      </w:r>
    </w:p>
    <w:p>
      <w:pPr>
        <w:numPr>
          <w:ilvl w:val="0"/>
          <w:numId w:val="1044"/>
        </w:numPr>
      </w:pPr>
      <w:r>
        <w:rPr>
          <w:bCs/>
          <w:b/>
        </w:rPr>
        <w:t xml:space="preserve">Si falta el dato:</w:t>
      </w:r>
      <w:r>
        <w:t xml:space="preserve"> </w:t>
      </w:r>
      <w:r>
        <w:t xml:space="preserve">Se mantiene el último valor publicado como desactualizado; sin componente, renormalización dentro de la dimensión.</w:t>
      </w:r>
    </w:p>
    <w:p>
      <w:pPr>
        <w:numPr>
          <w:ilvl w:val="0"/>
          <w:numId w:val="1044"/>
        </w:numPr>
      </w:pPr>
      <w:r>
        <w:rPr>
          <w:bCs/>
          <w:b/>
        </w:rPr>
        <w:t xml:space="preserve">Política de revisiones:</w:t>
      </w:r>
      <w:r>
        <w:t xml:space="preserve"> </w:t>
      </w:r>
      <w:r>
        <w:t xml:space="preserve">Los informes procesados no se releen; el registro oficial de contraste se revisa hacia atrás y su serie se refresca completa.</w:t>
      </w:r>
    </w:p>
    <w:bookmarkEnd w:id="131"/>
    <w:bookmarkStart w:id="132" w:name="Xc507494f83e44c325b7cca217ae571956777eab"/>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vía el registro anual de delitos, invertido, con base 2023.</w:t>
      </w:r>
    </w:p>
    <w:p>
      <w:pPr>
        <w:pStyle w:val="BodyText"/>
      </w:pPr>
      <w:r>
        <w:rPr>
          <w:bCs/>
          <w:b/>
        </w:rPr>
        <w:t xml:space="preserve">2026-07-04</w:t>
      </w:r>
      <w:r>
        <w:t xml:space="preserve"> </w:t>
      </w:r>
      <w:r>
        <w:t xml:space="preserve">— La métrica pasa a la encuesta mensual de victimización (con la base declarada en enero de 2024); el registro de denuncias queda como serie de contraste.</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32"/>
    <w:bookmarkEnd w:id="133"/>
    <w:bookmarkStart w:id="143" w:name="confianza-del-consumidor-icc"/>
    <w:p>
      <w:pPr>
        <w:pStyle w:val="Heading1"/>
        <w:keepNext/>
      </w:pPr>
      <w:r>
        <w:t xml:space="preserve">Confianza del consumidor (ICC)</w:t>
      </w:r>
    </w:p>
    <w:p>
      <w:pPr>
        <w:pStyle w:val="FirstParagraph"/>
      </w:pPr>
      <w:r>
        <w:t xml:space="preserve">El optimismo de la gente sobre la economía y sus finanzas personales (Índice de Confianza del Consumidor).</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39,8 índice</w:t>
            </w:r>
            <w:r>
              <w:rPr>
                <w:sz w:val="18"/>
              </w:rPr>
              <w:t xml:space="preserve"> </w:t>
            </w:r>
            <w:r>
              <w:rPr>
                <w:sz w:val="18"/>
              </w:rPr>
              <w:t xml:space="preserve">(2026-07)</w:t>
            </w:r>
          </w:p>
        </w:tc>
        <w:tc>
          <w:tcPr>
            <w:shd w:val="clear" w:color="auto" w:fill="FFEDD5"/>
          </w:tcPr>
          <w:p>
            <w:pPr>
              <w:pStyle w:val="Compact"/>
              <w:jc w:val="center"/>
            </w:pPr>
            <w:r>
              <w:rPr>
                <w:bCs/>
                <w:b/>
                <w:sz w:val="18"/>
                <w:color w:val="7C2D12"/>
              </w:rPr>
              <w:t xml:space="preserve">NARANJA</w:t>
            </w:r>
          </w:p>
        </w:tc>
        <w:tc>
          <w:p>
            <w:pPr>
              <w:pStyle w:val="Compact"/>
              <w:jc w:val="left"/>
            </w:pPr>
            <w:r>
              <w:rPr>
                <w:sz w:val="18"/>
              </w:rPr>
              <w:t xml:space="preserve">Peso efectivo 6,8 % del ITVC</w:t>
            </w:r>
          </w:p>
        </w:tc>
        <w:tc>
          <w:p>
            <w:pPr>
              <w:pStyle w:val="Compact"/>
              <w:jc w:val="left"/>
            </w:pPr>
            <w:r>
              <w:rPr>
                <w:sz w:val="18"/>
              </w:rPr>
              <w:t xml:space="preserve">Cinturón Vida cotidiana</w:t>
            </w:r>
          </w:p>
        </w:tc>
      </w:tr>
    </w:tbl>
    <w:bookmarkStart w:id="134" w:name="identificación-11"/>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icc_utdt</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Confianza y percepción</w:t>
            </w:r>
          </w:p>
        </w:tc>
        <w:tc>
          <w:p>
            <w:pPr>
              <w:pStyle w:val="Compact"/>
              <w:jc w:val="left"/>
            </w:pPr>
            <w:r>
              <w:rPr>
                <w:bCs/>
                <w:b/>
                <w:sz w:val="18"/>
              </w:rPr>
              <w:t xml:space="preserve">UNIDAD DE MEDIDA</w:t>
            </w:r>
          </w:p>
        </w:tc>
        <w:tc>
          <w:p>
            <w:pPr>
              <w:pStyle w:val="Compact"/>
              <w:jc w:val="left"/>
            </w:pPr>
            <w:r>
              <w:rPr>
                <w:sz w:val="18"/>
              </w:rPr>
              <w:t xml:space="preserve">índice</w:t>
            </w:r>
          </w:p>
        </w:tc>
      </w:tr>
      <w:tr>
        <w:trPr>
          <w:cantSplit/>
        </w:trPr>
        <w:tc>
          <w:p>
            <w:pPr>
              <w:pStyle w:val="Compact"/>
              <w:jc w:val="left"/>
            </w:pPr>
            <w:r>
              <w:rPr>
                <w:bCs/>
                <w:b/>
                <w:sz w:val="18"/>
              </w:rPr>
              <w:t xml:space="preserve">SERIE DISPONIBLE</w:t>
            </w:r>
          </w:p>
        </w:tc>
        <w:tc>
          <w:p>
            <w:pPr>
              <w:pStyle w:val="Compact"/>
              <w:jc w:val="left"/>
            </w:pPr>
            <w:r>
              <w:rPr>
                <w:sz w:val="18"/>
              </w:rPr>
              <w:t xml:space="preserve">2021-06 → 2026-07 (60 puntos)</w:t>
            </w:r>
          </w:p>
        </w:tc>
        <w:tc>
          <w:p>
            <w:pPr>
              <w:pStyle w:val="Compact"/>
              <w:jc w:val="left"/>
            </w:pPr>
            <w:r>
              <w:rPr>
                <w:bCs/>
                <w:b/>
                <w:sz w:val="18"/>
              </w:rPr>
              <w:t xml:space="preserve">REZAGO DE PUBLICACIÓN</w:t>
            </w:r>
          </w:p>
        </w:tc>
        <w:tc>
          <w:p>
            <w:pPr>
              <w:pStyle w:val="Compact"/>
              <w:jc w:val="left"/>
            </w:pPr>
            <w:r>
              <w:rPr>
                <w:sz w:val="18"/>
              </w:rPr>
              <w:t xml:space="preserve">Semanas: la universidad publica el índice del mes durante el mes siguiente.</w:t>
            </w:r>
          </w:p>
        </w:tc>
      </w:tr>
      <w:tr>
        <w:trPr>
          <w:cantSplit/>
        </w:trPr>
        <w:tc>
          <w:p>
            <w:pPr>
              <w:pStyle w:val="Compact"/>
              <w:jc w:val="left"/>
            </w:pPr>
            <w:r>
              <w:rPr>
                <w:bCs/>
                <w:b/>
                <w:sz w:val="18"/>
              </w:rPr>
              <w:t xml:space="preserve">PRODUCTOR DEL DATO</w:t>
            </w:r>
          </w:p>
        </w:tc>
        <w:tc>
          <w:p>
            <w:pPr>
              <w:pStyle w:val="Compact"/>
              <w:jc w:val="left"/>
            </w:pPr>
            <w:r>
              <w:rPr>
                <w:sz w:val="18"/>
              </w:rPr>
              <w:t xml:space="preserve">Universidad Torcuato Di Tella — Centro de Investigación en Finanzas</w:t>
            </w:r>
          </w:p>
        </w:tc>
        <w:tc>
          <w:p>
            <w:pPr>
              <w:pStyle w:val="Compact"/>
              <w:jc w:val="left"/>
            </w:pPr>
            <w:r>
              <w:rPr>
                <w:bCs/>
                <w:b/>
                <w:sz w:val="18"/>
              </w:rPr>
              <w:t xml:space="preserve">OPERACIÓN ESTADÍSTICA</w:t>
            </w:r>
          </w:p>
        </w:tc>
        <w:tc>
          <w:p>
            <w:pPr>
              <w:pStyle w:val="Compact"/>
              <w:jc w:val="left"/>
            </w:pPr>
            <w:r>
              <w:rPr>
                <w:sz w:val="18"/>
              </w:rPr>
              <w:t xml:space="preserve">ICC — Índice de Confianza del Consumidor, serie histórica nacional</w:t>
            </w:r>
          </w:p>
        </w:tc>
      </w:tr>
      <w:tr>
        <w:trPr>
          <w:cantSplit/>
        </w:trPr>
        <w:tc>
          <w:p>
            <w:pPr>
              <w:pStyle w:val="Compact"/>
              <w:jc w:val="left"/>
            </w:pPr>
            <w:r>
              <w:rPr>
                <w:bCs/>
                <w:b/>
                <w:sz w:val="18"/>
              </w:rPr>
              <w:t xml:space="preserve">MODO DE ACCESO</w:t>
            </w:r>
          </w:p>
        </w:tc>
        <w:tc>
          <w:p>
            <w:pPr>
              <w:pStyle w:val="Compact"/>
              <w:jc w:val="left"/>
            </w:pPr>
            <w:r>
              <w:rPr>
                <w:sz w:val="18"/>
              </w:rPr>
              <w:t xml:space="preserve">Automático: se descubre la planilla más reciente desde el listado de la universidad y se lee la serie completa.</w:t>
            </w:r>
          </w:p>
        </w:tc>
        <w:tc>
          <w:p>
            <w:pPr>
              <w:pStyle w:val="Compact"/>
              <w:jc w:val="left"/>
            </w:pPr>
            <w:r>
              <w:rPr>
                <w:bCs/>
                <w:b/>
                <w:sz w:val="18"/>
              </w:rPr>
              <w:t xml:space="preserve">ÚLTIMA ACTUALIZACIÓN</w:t>
            </w:r>
          </w:p>
        </w:tc>
        <w:tc>
          <w:p>
            <w:pPr>
              <w:pStyle w:val="Compact"/>
              <w:jc w:val="left"/>
            </w:pPr>
            <w:r>
              <w:rPr>
                <w:sz w:val="18"/>
              </w:rPr>
              <w:t xml:space="preserve">Dato a 2026-07 · informe generado el 2026-08-09</w:t>
            </w:r>
          </w:p>
        </w:tc>
      </w:tr>
    </w:tbl>
    <w:bookmarkEnd w:id="134"/>
    <w:bookmarkStart w:id="135" w:name="definición-qué-mide-y-por-qué-importa-11"/>
    <w:p>
      <w:pPr>
        <w:pStyle w:val="Heading2"/>
        <w:keepNext/>
      </w:pPr>
      <w:r>
        <w:t xml:space="preserve">Definición — qué mide y por qué importa</w:t>
      </w:r>
    </w:p>
    <w:p>
      <w:pPr>
        <w:pStyle w:val="FirstParagraph"/>
      </w:pPr>
      <w:r>
        <w:t xml:space="preserve">El optimismo de la gente sobre la economía y sus finanzas personales (Índice de Confianza del Consumidor).</w:t>
      </w:r>
    </w:p>
    <w:p>
      <w:pPr>
        <w:pStyle w:val="BodyText"/>
      </w:pPr>
      <w:r>
        <w:t xml:space="preserve">Captura el humor económico de la gente, que anticipa consumo y voto.</w:t>
      </w:r>
    </w:p>
    <w:p>
      <w:pPr>
        <w:pStyle w:val="BodyText"/>
      </w:pPr>
      <w:r>
        <w:rPr>
          <w:bCs/>
          <w:b/>
        </w:rPr>
        <w:t xml:space="preserve">Dimensión que integra — Confianza y percepción.</w:t>
      </w:r>
      <w:r>
        <w:t xml:space="preserve"> </w:t>
      </w:r>
      <w:r>
        <w:t xml:space="preserve">El ánimo con que se vive el momento, medido de dos maneras: preguntando (el Índice de Confianza del Consumidor de la UTDT) y observando qué busca la gente en internet.</w:t>
      </w:r>
    </w:p>
    <w:bookmarkEnd w:id="135"/>
    <w:bookmarkStart w:id="136" w:name="método-de-cómputo-11"/>
    <w:p>
      <w:pPr>
        <w:pStyle w:val="Heading2"/>
        <w:keepNext/>
      </w:pPr>
      <w:r>
        <w:t xml:space="preserve">Método de cómputo</w:t>
      </w:r>
    </w:p>
    <w:p>
      <w:pPr>
        <w:numPr>
          <w:ilvl w:val="0"/>
          <w:numId w:val="1045"/>
        </w:numPr>
        <w:pStyle w:val="Compact"/>
      </w:pPr>
      <w:r>
        <w:t xml:space="preserve">Componente del índice: el ICC rebaseado a 100 = promedio del 4º trimestre de 2023 (más confianza = mejora).</w:t>
      </w:r>
    </w:p>
    <w:bookmarkEnd w:id="136"/>
    <w:bookmarkStart w:id="137" w:name="X4b7f9d42ad5d49ec575647c9c43b05a66f437ec"/>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90,9</w:t>
      </w:r>
      <w:r>
        <w:t xml:space="preserve">.</w:t>
      </w:r>
    </w:p>
    <w:bookmarkEnd w:id="137"/>
    <w:bookmarkStart w:id="138" w:name="datos-concretos-detrás-del-valor-11"/>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46"/>
        </w:numPr>
        <w:pStyle w:val="Compact"/>
      </w:pPr>
      <w:r>
        <w:t xml:space="preserve">El informe publica el valor (39,8 índice) pero no los números que lo componen: la fuente entrega la serie ya calculada. Para auditar el dato hay que ir a la operación estadística citada más arriba.</w:t>
      </w:r>
    </w:p>
    <w:bookmarkEnd w:id="138"/>
    <w:bookmarkStart w:id="139" w:name="color-vigente-y-por-qué-11"/>
    <w:p>
      <w:pPr>
        <w:pStyle w:val="Heading2"/>
        <w:keepNext/>
      </w:pPr>
      <w:r>
        <w:t xml:space="preserve">Color vigente y por qué</w:t>
      </w:r>
    </w:p>
    <w:p>
      <w:pPr>
        <w:pStyle w:val="FirstParagraph"/>
      </w:pPr>
      <w:r>
        <w:t xml:space="preserve">Dato vigente: 39,8 índice (2026-07).</w:t>
      </w:r>
    </w:p>
    <w:p>
      <w:pPr>
        <w:pStyle w:val="BodyText"/>
      </w:pPr>
      <w:r>
        <w:t xml:space="preserve">El componente está en 90,9 sobre la base 100 del 4º trimestre de 2023 — de 85 a 95 —, que es el tramo NARANJA.</w:t>
      </w:r>
    </w:p>
    <w:p>
      <w:pPr>
        <w:pStyle w:val="BodyText"/>
      </w:pPr>
      <w:r>
        <w:rPr>
          <w:bCs/>
          <w:b/>
        </w:rPr>
        <w:t xml:space="preserve">Color vigente: NARANJA</w:t>
      </w:r>
    </w:p>
    <w:p>
      <w:pPr>
        <w:pStyle w:val="BodyText"/>
      </w:pPr>
      <w:r>
        <w:t xml:space="preserve">Ponderación vigente en el ITVC: 6,8 % efectivo. El color es una lectura adicional — no reemplaza ni cambia esta ponderación.</w:t>
      </w:r>
    </w:p>
    <w:p>
      <w:pPr>
        <w:numPr>
          <w:ilvl w:val="0"/>
          <w:numId w:val="1047"/>
        </w:numPr>
        <w:pStyle w:val="Compact"/>
      </w:pPr>
      <w:r>
        <w:rPr>
          <w:bCs/>
          <w:b/>
        </w:rPr>
        <w:t xml:space="preserve">Participación en otros indicadores.</w:t>
      </w:r>
      <w:r>
        <w:t xml:space="preserve"> </w:t>
      </w:r>
      <w:r>
        <w:t xml:space="preserve">Doble función declarada: (1) componente del ITVC; (2) ancla de la validación externa del ITVC — para no ser circular, en ese estudio el índice se recalcula sin este componente. Hasta julio de 2026 puntuó además en el cinturón espíritu de época, que desde entonces quedó acotado a la intención migratoria; esa lectura se sigue registrando como seguimiento interno.</w:t>
      </w:r>
    </w:p>
    <w:bookmarkEnd w:id="139"/>
    <w:bookmarkStart w:id="140" w:name="transparencia-limitaciones-declaradas-11"/>
    <w:p>
      <w:pPr>
        <w:pStyle w:val="Heading2"/>
        <w:keepNext/>
      </w:pPr>
      <w:r>
        <w:t xml:space="preserve">Transparencia — limitaciones declaradas</w:t>
      </w:r>
    </w:p>
    <w:p>
      <w:pPr>
        <w:numPr>
          <w:ilvl w:val="0"/>
          <w:numId w:val="1048"/>
        </w:numPr>
        <w:pStyle w:val="Compact"/>
      </w:pPr>
      <w:r>
        <w:t xml:space="preserve">Mide percepción y ánimo, no condiciones materiales: por diseño convive con medidas de conducta (consumo, patentamientos) en la misma dimensión.</w:t>
      </w:r>
    </w:p>
    <w:p>
      <w:pPr>
        <w:numPr>
          <w:ilvl w:val="0"/>
          <w:numId w:val="1048"/>
        </w:numPr>
        <w:pStyle w:val="Compact"/>
      </w:pPr>
      <w:r>
        <w:t xml:space="preserve">Depende del formato de publicación de la universidad: un cambio en el listado o la planilla interrumpe la lectura hasta adaptarla.</w:t>
      </w:r>
    </w:p>
    <w:bookmarkEnd w:id="140"/>
    <w:bookmarkStart w:id="141" w:name="X4ff462a9d09394c6f7304e0055101f0f4b71003"/>
    <w:p>
      <w:pPr>
        <w:pStyle w:val="Heading2"/>
        <w:keepNext/>
      </w:pPr>
      <w:r>
        <w:t xml:space="preserve">Si falta el dato / Política de revisiones</w:t>
      </w:r>
    </w:p>
    <w:p>
      <w:pPr>
        <w:numPr>
          <w:ilvl w:val="0"/>
          <w:numId w:val="1049"/>
        </w:numPr>
      </w:pPr>
      <w:r>
        <w:rPr>
          <w:bCs/>
          <w:b/>
        </w:rPr>
        <w:t xml:space="preserve">Si falta el dato:</w:t>
      </w:r>
      <w:r>
        <w:t xml:space="preserve"> </w:t>
      </w:r>
      <w:r>
        <w:t xml:space="preserve">Se mantiene el último valor publicado como desactualizado; sin componente, renormalización dentro de la dimensión.</w:t>
      </w:r>
    </w:p>
    <w:p>
      <w:pPr>
        <w:numPr>
          <w:ilvl w:val="0"/>
          <w:numId w:val="1049"/>
        </w:numPr>
      </w:pPr>
      <w:r>
        <w:rPr>
          <w:bCs/>
          <w:b/>
        </w:rPr>
        <w:t xml:space="preserve">Política de revisiones:</w:t>
      </w:r>
      <w:r>
        <w:t xml:space="preserve"> </w:t>
      </w:r>
      <w:r>
        <w:t xml:space="preserve">La planilla oficial trae la serie completa en cada descarga y adopta las revisiones de la fuente.</w:t>
      </w:r>
    </w:p>
    <w:bookmarkEnd w:id="141"/>
    <w:bookmarkStart w:id="142" w:name="X32af8005611dd896c50146a828f6519660aac81"/>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base-100 con 50% interno de su dimensión.</w:t>
      </w:r>
    </w:p>
    <w:p>
      <w:pPr>
        <w:pStyle w:val="BodyText"/>
      </w:pPr>
      <w:r>
        <w:rPr>
          <w:bCs/>
          <w:b/>
        </w:rPr>
        <w:t xml:space="preserve">2026-07-04</w:t>
      </w:r>
      <w:r>
        <w:t xml:space="preserve"> </w:t>
      </w:r>
      <w:r>
        <w:t xml:space="preserve">— Cede cinco puntos de peso interno al sentimiento digital, que mide lo mismo por conducta de búsqueda.</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42"/>
    <w:bookmarkEnd w:id="143"/>
    <w:bookmarkStart w:id="153" w:name="pobreza-estimación-mensual"/>
    <w:p>
      <w:pPr>
        <w:pStyle w:val="Heading1"/>
        <w:keepNext/>
      </w:pPr>
      <w:r>
        <w:t xml:space="preserve">Pobreza (estimación mensual)</w:t>
      </w:r>
    </w:p>
    <w:p>
      <w:pPr>
        <w:pStyle w:val="FirstParagraph"/>
      </w:pPr>
      <w:r>
        <w:t xml:space="preserve">El porcentaje de personas que viven en hogares urbanos pobres, estimado para el semestre móvil que termina en el mes del dato. No es la cifra oficial del INDEC, que se publica dos veces al año: es una proyección que se actualiza todos los meses.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31,6 % de personas</w:t>
            </w:r>
            <w:r>
              <w:rPr>
                <w:sz w:val="18"/>
              </w:rPr>
              <w:t xml:space="preserve"> </w:t>
            </w:r>
            <w:r>
              <w:rPr>
                <w:sz w:val="18"/>
              </w:rPr>
              <w:t xml:space="preserve">(2026-06)</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9,3 % del ITVC</w:t>
            </w:r>
          </w:p>
        </w:tc>
        <w:tc>
          <w:p>
            <w:pPr>
              <w:pStyle w:val="Compact"/>
              <w:jc w:val="left"/>
            </w:pPr>
            <w:r>
              <w:rPr>
                <w:sz w:val="18"/>
              </w:rPr>
              <w:t xml:space="preserve">Cinturón Vida cotidiana</w:t>
            </w:r>
          </w:p>
        </w:tc>
      </w:tr>
    </w:tbl>
    <w:bookmarkStart w:id="144" w:name="identificación-12"/>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pobreza_nowcast</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Ingresos y consumo</w:t>
            </w:r>
          </w:p>
        </w:tc>
        <w:tc>
          <w:p>
            <w:pPr>
              <w:pStyle w:val="Compact"/>
              <w:jc w:val="left"/>
            </w:pPr>
            <w:r>
              <w:rPr>
                <w:bCs/>
                <w:b/>
                <w:sz w:val="18"/>
              </w:rPr>
              <w:t xml:space="preserve">UNIDAD DE MEDIDA</w:t>
            </w:r>
          </w:p>
        </w:tc>
        <w:tc>
          <w:p>
            <w:pPr>
              <w:pStyle w:val="Compact"/>
              <w:jc w:val="left"/>
            </w:pPr>
            <w:r>
              <w:rPr>
                <w:sz w:val="18"/>
              </w:rPr>
              <w:t xml:space="preserve">% de personas</w:t>
            </w:r>
          </w:p>
        </w:tc>
      </w:tr>
      <w:tr>
        <w:trPr>
          <w:cantSplit/>
        </w:trPr>
        <w:tc>
          <w:p>
            <w:pPr>
              <w:pStyle w:val="Compact"/>
              <w:jc w:val="left"/>
            </w:pPr>
            <w:r>
              <w:rPr>
                <w:bCs/>
                <w:b/>
                <w:sz w:val="18"/>
              </w:rPr>
              <w:t xml:space="preserve">SERIE DISPONIBLE</w:t>
            </w:r>
          </w:p>
        </w:tc>
        <w:tc>
          <w:p>
            <w:pPr>
              <w:pStyle w:val="Compact"/>
              <w:jc w:val="left"/>
            </w:pPr>
            <w:r>
              <w:rPr>
                <w:sz w:val="18"/>
              </w:rPr>
              <w:t xml:space="preserve">2025-01 → 2026-06 (18 puntos)</w:t>
            </w:r>
          </w:p>
        </w:tc>
        <w:tc>
          <w:p>
            <w:pPr>
              <w:pStyle w:val="Compact"/>
              <w:jc w:val="left"/>
            </w:pPr>
            <w:r>
              <w:rPr>
                <w:bCs/>
                <w:b/>
                <w:sz w:val="18"/>
              </w:rPr>
              <w:t xml:space="preserve">REZAGO DE PUBLICACIÓN</w:t>
            </w:r>
          </w:p>
        </w:tc>
        <w:tc>
          <w:p>
            <w:pPr>
              <w:pStyle w:val="Compact"/>
              <w:jc w:val="left"/>
            </w:pPr>
            <w:r>
              <w:rPr>
                <w:sz w:val="18"/>
              </w:rPr>
              <w:t xml:space="preserve">El informe mensual sale a mediados del mes siguiente al que describe. La referencia oficial del INDEC llega dos veces al año y con más demora.</w:t>
            </w:r>
          </w:p>
        </w:tc>
      </w:tr>
      <w:tr>
        <w:trPr>
          <w:cantSplit/>
        </w:trPr>
        <w:tc>
          <w:p>
            <w:pPr>
              <w:pStyle w:val="Compact"/>
              <w:jc w:val="left"/>
            </w:pPr>
            <w:r>
              <w:rPr>
                <w:bCs/>
                <w:b/>
                <w:sz w:val="18"/>
              </w:rPr>
              <w:t xml:space="preserve">PRODUCTOR DEL DATO</w:t>
            </w:r>
          </w:p>
        </w:tc>
        <w:tc>
          <w:p>
            <w:pPr>
              <w:pStyle w:val="Compact"/>
              <w:jc w:val="left"/>
            </w:pPr>
            <w:r>
              <w:rPr>
                <w:sz w:val="18"/>
              </w:rPr>
              <w:t xml:space="preserve">Universidad Torcuato Di Tella (estimación mensual) e INDEC (base y referencia oficial)</w:t>
            </w:r>
          </w:p>
        </w:tc>
        <w:tc>
          <w:p>
            <w:pPr>
              <w:pStyle w:val="Compact"/>
              <w:jc w:val="left"/>
            </w:pPr>
            <w:r>
              <w:rPr>
                <w:bCs/>
                <w:b/>
                <w:sz w:val="18"/>
              </w:rPr>
              <w:t xml:space="preserve">OPERACIÓN ESTADÍSTICA</w:t>
            </w:r>
          </w:p>
        </w:tc>
        <w:tc>
          <w:p>
            <w:pPr>
              <w:pStyle w:val="Compact"/>
              <w:jc w:val="left"/>
            </w:pPr>
            <w:r>
              <w:rPr>
                <w:sz w:val="18"/>
              </w:rPr>
              <w:t xml:space="preserve">Nowcast de pobreza: porcentaje de personas en hogares con ingresos por debajo de la línea, estimado mes a mes; y Encuesta Permanente de Hogares del INDEC para la base y el contraste</w:t>
            </w:r>
          </w:p>
        </w:tc>
      </w:tr>
      <w:tr>
        <w:trPr>
          <w:cantSplit/>
        </w:trPr>
        <w:tc>
          <w:p>
            <w:pPr>
              <w:pStyle w:val="Compact"/>
              <w:jc w:val="left"/>
            </w:pPr>
            <w:r>
              <w:rPr>
                <w:bCs/>
                <w:b/>
                <w:sz w:val="18"/>
              </w:rPr>
              <w:t xml:space="preserve">MODO DE ACCESO</w:t>
            </w:r>
          </w:p>
        </w:tc>
        <w:tc>
          <w:p>
            <w:pPr>
              <w:pStyle w:val="Compact"/>
              <w:jc w:val="left"/>
            </w:pPr>
            <w:r>
              <w:rPr>
                <w:sz w:val="18"/>
              </w:rPr>
              <w:t xml:space="preserve">Automático: los informes mensuales se descubren desde el listado de la universidad y cada uno se procesa una sola vez; la serie oficial sale de la interfaz pública de series de tiempo.</w:t>
            </w:r>
          </w:p>
        </w:tc>
        <w:tc>
          <w:p>
            <w:pPr>
              <w:pStyle w:val="Compact"/>
              <w:jc w:val="left"/>
            </w:pPr>
            <w:r>
              <w:rPr>
                <w:bCs/>
                <w:b/>
                <w:sz w:val="18"/>
              </w:rPr>
              <w:t xml:space="preserve">ÚLTIMA ACTUALIZACIÓN</w:t>
            </w:r>
          </w:p>
        </w:tc>
        <w:tc>
          <w:p>
            <w:pPr>
              <w:pStyle w:val="Compact"/>
              <w:jc w:val="left"/>
            </w:pPr>
            <w:r>
              <w:rPr>
                <w:sz w:val="18"/>
              </w:rPr>
              <w:t xml:space="preserve">Dato a 2026-06 · informe generado el 2026-08-09</w:t>
            </w:r>
          </w:p>
        </w:tc>
      </w:tr>
    </w:tbl>
    <w:bookmarkEnd w:id="144"/>
    <w:bookmarkStart w:id="145" w:name="definición-qué-mide-y-por-qué-importa-12"/>
    <w:p>
      <w:pPr>
        <w:pStyle w:val="Heading2"/>
        <w:keepNext/>
      </w:pPr>
      <w:r>
        <w:t xml:space="preserve">Definición — qué mide y por qué importa</w:t>
      </w:r>
    </w:p>
    <w:p>
      <w:pPr>
        <w:pStyle w:val="FirstParagraph"/>
      </w:pPr>
      <w:r>
        <w:t xml:space="preserve">El porcentaje de personas que viven en hogares urbanos pobres, estimado para el semestre móvil que termina en el mes del dato. No es la cifra oficial del INDEC, que se publica dos veces al año: es una proyección que se actualiza todos los meses.</w:t>
      </w:r>
    </w:p>
    <w:p>
      <w:pPr>
        <w:pStyle w:val="BodyText"/>
      </w:pPr>
      <w:r>
        <w:t xml:space="preserve">Es la única medición de pobreza con frecuencia mensual que existe en el país, y la variable de mayor carga simbólica del cinturón. Se publica como contexto: no integra el índice.</w:t>
      </w:r>
    </w:p>
    <w:p>
      <w:pPr>
        <w:pStyle w:val="BodyText"/>
      </w:pPr>
      <w:r>
        <w:rPr>
          <w:bCs/>
          <w:b/>
        </w:rPr>
        <w:t xml:space="preserve">Dimensión que integra — Ingresos y consumo.</w:t>
      </w:r>
      <w:r>
        <w:t xml:space="preserve"> </w:t>
      </w:r>
      <w:r>
        <w:t xml:space="preserve">Si el sueldo alcanza y qué compra: la brecha entre el salario y la canasta de pobreza, cuánta gente trabaja en la informalidad, y dos termómetros de bolsillo —el consumo de carne y el patentamiento de motos— que se mueven con el poder de compra.</w:t>
      </w:r>
    </w:p>
    <w:bookmarkEnd w:id="145"/>
    <w:bookmarkStart w:id="146" w:name="método-de-cómputo-12"/>
    <w:p>
      <w:pPr>
        <w:pStyle w:val="Heading2"/>
        <w:keepNext/>
      </w:pPr>
      <w:r>
        <w:t xml:space="preserve">Método de cómputo</w:t>
      </w:r>
    </w:p>
    <w:p>
      <w:pPr>
        <w:numPr>
          <w:ilvl w:val="0"/>
          <w:numId w:val="1050"/>
        </w:numPr>
        <w:pStyle w:val="Compact"/>
      </w:pPr>
      <w:r>
        <w:t xml:space="preserve">Se rebasea a 100 = la pobreza del segundo semestre de 2023, que es el semestre que contiene al cuarto trimestre, igual que el resto de los componentes del cinturón.</w:t>
      </w:r>
    </w:p>
    <w:p>
      <w:pPr>
        <w:numPr>
          <w:ilvl w:val="0"/>
          <w:numId w:val="1050"/>
        </w:numPr>
        <w:pStyle w:val="Compact"/>
      </w:pPr>
      <w:r>
        <w:t xml:space="preserve">Se invierte, como los otros componentes que se leen al revés: más pobreza es peor, así que la base va arriba en el cociente y por encima de 100 significa MENOS pobreza que en la transición.</w:t>
      </w:r>
    </w:p>
    <w:bookmarkEnd w:id="146"/>
    <w:bookmarkStart w:id="147" w:name="Xc4b49c3d9969b89bf56c0c7c0dc3d292940a05d"/>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126,9</w:t>
      </w:r>
      <w:r>
        <w:t xml:space="preserve">.</w:t>
      </w:r>
    </w:p>
    <w:bookmarkEnd w:id="147"/>
    <w:bookmarkStart w:id="148" w:name="datos-concretos-detrás-del-valor-12"/>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1"/>
        </w:numPr>
        <w:pStyle w:val="Compact"/>
      </w:pPr>
      <w:r>
        <w:t xml:space="preserve">El informe publica el valor (31,6 % de personas) pero no los números que lo componen: la fuente entrega la serie ya calculada. Para auditar el dato hay que ir a la operación estadística citada más arriba.</w:t>
      </w:r>
    </w:p>
    <w:bookmarkEnd w:id="148"/>
    <w:bookmarkStart w:id="149" w:name="color-vigente-y-por-qué-12"/>
    <w:p>
      <w:pPr>
        <w:pStyle w:val="Heading2"/>
        <w:keepNext/>
      </w:pPr>
      <w:r>
        <w:t xml:space="preserve">Color vigente y por qué</w:t>
      </w:r>
    </w:p>
    <w:p>
      <w:pPr>
        <w:pStyle w:val="FirstParagraph"/>
      </w:pPr>
      <w:r>
        <w:t xml:space="preserve">Dato vigente: 31,6 % de personas (2026-06).</w:t>
      </w:r>
    </w:p>
    <w:p>
      <w:pPr>
        <w:pStyle w:val="BodyText"/>
      </w:pPr>
      <w:r>
        <w:t xml:space="preserve">El componente está en 126,9 sobre la base 100 del 4º trimestre de 2023 — 105 o más —, que es el tramo VERDE. Supera el punto donde la tensión toca 0, así que el semáforo ya no distingue mejoras adicionales: seguiría verde igual.</w:t>
      </w:r>
    </w:p>
    <w:p>
      <w:pPr>
        <w:pStyle w:val="BodyText"/>
      </w:pPr>
      <w:r>
        <w:rPr>
          <w:bCs/>
          <w:b/>
        </w:rPr>
        <w:t xml:space="preserve">Color vigente: VERDE</w:t>
      </w:r>
    </w:p>
    <w:p>
      <w:pPr>
        <w:pStyle w:val="BodyText"/>
      </w:pPr>
      <w:r>
        <w:t xml:space="preserve">Ponderación vigente en el ITVC: 9,3 % efectivo. El color es una lectura adicional — no reemplaza ni cambia esta ponderación.</w:t>
      </w:r>
    </w:p>
    <w:bookmarkEnd w:id="149"/>
    <w:bookmarkStart w:id="150" w:name="transparencia-limitaciones-declaradas-12"/>
    <w:p>
      <w:pPr>
        <w:pStyle w:val="Heading2"/>
        <w:keepNext/>
      </w:pPr>
      <w:r>
        <w:t xml:space="preserve">Transparencia — limitaciones declaradas</w:t>
      </w:r>
    </w:p>
    <w:p>
      <w:pPr>
        <w:numPr>
          <w:ilvl w:val="0"/>
          <w:numId w:val="1052"/>
        </w:numPr>
        <w:pStyle w:val="Compact"/>
      </w:pPr>
      <w:r>
        <w:t xml:space="preserve">La base y el nivel salen de DOS fuentes distintas, y no coinciden. El nivel es la estimación mensual de la universidad, que empieza en enero de 2025 y por eso no llega al período que sirve de base; la base es la medición oficial. En los tres semestres en que las dos se superponen, la estimación mensual queda 2,3 puntos por debajo de la oficial, luego medio punto por debajo, y después 2 puntos por ENCIMA: no es una diferencia con signo constante que se pueda corregir. Sobre una base de 40,1 puntos eso implica hasta un 5,7% de error, que se traslada a todos los valores del componente. Se acepta porque la alternativa —usar sólo la medición semestral— renuncia al dato mensual.</w:t>
      </w:r>
    </w:p>
    <w:p>
      <w:pPr>
        <w:numPr>
          <w:ilvl w:val="0"/>
          <w:numId w:val="1052"/>
        </w:numPr>
        <w:pStyle w:val="Compact"/>
      </w:pPr>
      <w:r>
        <w:t xml:space="preserve">El indicador se lee contra la transición, no contra un óptimo: la pobreza del segundo semestre de 2023 fue muy alta, así que superar 100 no significa una situación buena sino mejor que ese punto de partida.</w:t>
      </w:r>
    </w:p>
    <w:p>
      <w:pPr>
        <w:numPr>
          <w:ilvl w:val="0"/>
          <w:numId w:val="1052"/>
        </w:numPr>
        <w:pStyle w:val="Compact"/>
      </w:pPr>
      <w:r>
        <w:t xml:space="preserve">Es una estimación, no una medición: proyecta la pobreza a partir de ingresos y precios entre encuesta y encuesta. La referencia autorizada sigue siendo la del INDEC.</w:t>
      </w:r>
    </w:p>
    <w:p>
      <w:pPr>
        <w:numPr>
          <w:ilvl w:val="0"/>
          <w:numId w:val="1052"/>
        </w:numPr>
        <w:pStyle w:val="Compact"/>
      </w:pPr>
      <w:r>
        <w:t xml:space="preserve">No distingue intensidad: dos hogares apenas por debajo de la línea y dos muy por debajo cuentan igual.</w:t>
      </w:r>
    </w:p>
    <w:bookmarkEnd w:id="150"/>
    <w:bookmarkStart w:id="151" w:name="Xef80c7ba60ac922c16c234403633099d6fa1a96"/>
    <w:p>
      <w:pPr>
        <w:pStyle w:val="Heading2"/>
        <w:keepNext/>
      </w:pPr>
      <w:r>
        <w:t xml:space="preserve">Si falta el dato / Política de revisiones</w:t>
      </w:r>
    </w:p>
    <w:p>
      <w:pPr>
        <w:numPr>
          <w:ilvl w:val="0"/>
          <w:numId w:val="1053"/>
        </w:numPr>
      </w:pPr>
      <w:r>
        <w:rPr>
          <w:bCs/>
          <w:b/>
        </w:rPr>
        <w:t xml:space="preserve">Si falta el dato:</w:t>
      </w:r>
      <w:r>
        <w:t xml:space="preserve"> </w:t>
      </w:r>
      <w:r>
        <w:t xml:space="preserve">Si un mes no publica informe, el componente mantiene el último valor disponible y el cinturón renormaliza los pesos de su dimensión.</w:t>
      </w:r>
    </w:p>
    <w:p>
      <w:pPr>
        <w:numPr>
          <w:ilvl w:val="0"/>
          <w:numId w:val="1053"/>
        </w:numPr>
      </w:pPr>
      <w:r>
        <w:rPr>
          <w:bCs/>
          <w:b/>
        </w:rPr>
        <w:t xml:space="preserve">Política de revisiones:</w:t>
      </w:r>
      <w:r>
        <w:t xml:space="preserve"> </w:t>
      </w:r>
      <w:r>
        <w:t xml:space="preserve">La universidad puede revisar meses previos al recalcular su modelo, y el INDEC actualiza la línea de pobreza; se re-descarga la serie completa en cada corrida. Cada informe declara dos veces a qué semestre corresponde —en el título y en el texto— y las dos leyendas se escriben a mano, así que a veces una de ellas quedó del mes anterior; se toma la más reciente de las dos y se verifica que la serie no quede con meses faltantes, porque la publicación es mensual y un mes ausente indicaría una leyenda mal puesta antes que un informe no publicado.</w:t>
      </w:r>
    </w:p>
    <w:bookmarkEnd w:id="151"/>
    <w:bookmarkStart w:id="152" w:name="X95a58e26bcd11004daa5592872527917495b2ed"/>
    <w:p>
      <w:pPr>
        <w:pStyle w:val="Heading2"/>
        <w:keepNext/>
      </w:pPr>
      <w:r>
        <w:t xml:space="preserve">Historial — cambios metodológicos documentados</w:t>
      </w:r>
    </w:p>
    <w:p>
      <w:pPr>
        <w:pStyle w:val="FirstParagraph"/>
      </w:pPr>
      <w:r>
        <w:rPr>
          <w:bCs/>
          <w:b/>
        </w:rPr>
        <w:t xml:space="preserve">2026-07-16</w:t>
      </w:r>
      <w:r>
        <w:t xml:space="preserve"> </w:t>
      </w:r>
      <w:r>
        <w:t xml:space="preserve">— Alta como estimación mensual publicada junto a la medición oficial, sin integrar el índice.</w:t>
      </w:r>
    </w:p>
    <w:p>
      <w:pPr>
        <w:pStyle w:val="BodyText"/>
      </w:pPr>
      <w:r>
        <w:rPr>
          <w:bCs/>
          <w:b/>
        </w:rPr>
        <w:t xml:space="preserve">2026-07-30</w:t>
      </w:r>
      <w:r>
        <w:t xml:space="preserve"> </w:t>
      </w:r>
      <w:r>
        <w:t xml:space="preserve">— Entra al índice con 25% de la dimensión de ingresos y consumo. Hasta entonces era una card visible que no puntuaba, una categoría que el equipo dio de baja: un indicador integra las dimensiones de su índice o no se publica. Se decidió que corresponde a este cinturón y no al macroeconómico, porque las dimensiones de aquel son condiciones de la economía y la pobreza es el resultado social que este cinturón ya mide. Los cuatro componentes previos de la dimensión cedieron peso proporcionalmente y conservan su orden relativo.</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52"/>
    <w:bookmarkEnd w:id="153"/>
    <w:bookmarkStart w:id="163" w:name="sentimiento-digital-trends"/>
    <w:p>
      <w:pPr>
        <w:pStyle w:val="Heading1"/>
        <w:keepNext/>
      </w:pPr>
      <w:r>
        <w:t xml:space="preserve">Sentimiento digital (Trends)</w:t>
      </w:r>
    </w:p>
    <w:p>
      <w:pPr>
        <w:pStyle w:val="FirstParagraph"/>
      </w:pPr>
      <w:r>
        <w:t xml:space="preserve">La urgencia económica que percibe la sociedad, medida por cuánto se busca en internet sobre inflación, precios, inseguridad y trabajo.</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25,4 interés 0–100</w:t>
            </w:r>
            <w:r>
              <w:rPr>
                <w:sz w:val="18"/>
              </w:rPr>
              <w:t xml:space="preserve"> </w:t>
            </w:r>
            <w:r>
              <w:rPr>
                <w:sz w:val="18"/>
              </w:rPr>
              <w:t xml:space="preserve">(2026-08)</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1,5 % del ITVC</w:t>
            </w:r>
          </w:p>
        </w:tc>
        <w:tc>
          <w:p>
            <w:pPr>
              <w:pStyle w:val="Compact"/>
              <w:jc w:val="left"/>
            </w:pPr>
            <w:r>
              <w:rPr>
                <w:sz w:val="18"/>
              </w:rPr>
              <w:t xml:space="preserve">Cinturón Vida cotidiana</w:t>
            </w:r>
          </w:p>
        </w:tc>
      </w:tr>
    </w:tbl>
    <w:bookmarkStart w:id="154" w:name="identificación-13"/>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sentimiento_digital</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Confianza y percepción</w:t>
            </w:r>
          </w:p>
        </w:tc>
        <w:tc>
          <w:p>
            <w:pPr>
              <w:pStyle w:val="Compact"/>
              <w:jc w:val="left"/>
            </w:pPr>
            <w:r>
              <w:rPr>
                <w:bCs/>
                <w:b/>
                <w:sz w:val="18"/>
              </w:rPr>
              <w:t xml:space="preserve">UNIDAD DE MEDIDA</w:t>
            </w:r>
          </w:p>
        </w:tc>
        <w:tc>
          <w:p>
            <w:pPr>
              <w:pStyle w:val="Compact"/>
              <w:jc w:val="left"/>
            </w:pPr>
            <w:r>
              <w:rPr>
                <w:sz w:val="18"/>
              </w:rPr>
              <w:t xml:space="preserve">interés 0–100</w:t>
            </w:r>
          </w:p>
        </w:tc>
      </w:tr>
      <w:tr>
        <w:trPr>
          <w:cantSplit/>
        </w:trPr>
        <w:tc>
          <w:p>
            <w:pPr>
              <w:pStyle w:val="Compact"/>
              <w:jc w:val="left"/>
            </w:pPr>
            <w:r>
              <w:rPr>
                <w:bCs/>
                <w:b/>
                <w:sz w:val="18"/>
              </w:rPr>
              <w:t xml:space="preserve">SERIE DISPONIBLE</w:t>
            </w:r>
          </w:p>
        </w:tc>
        <w:tc>
          <w:p>
            <w:pPr>
              <w:pStyle w:val="Compact"/>
              <w:jc w:val="left"/>
            </w:pPr>
            <w:r>
              <w:rPr>
                <w:sz w:val="18"/>
              </w:rPr>
              <w:t xml:space="preserve">2021-01 → 2026-07 (67 puntos)</w:t>
            </w:r>
          </w:p>
        </w:tc>
        <w:tc>
          <w:p>
            <w:pPr>
              <w:pStyle w:val="Compact"/>
              <w:jc w:val="left"/>
            </w:pPr>
            <w:r>
              <w:rPr>
                <w:bCs/>
                <w:b/>
                <w:sz w:val="18"/>
              </w:rPr>
              <w:t xml:space="preserve">REZAGO DE PUBLICACIÓN</w:t>
            </w:r>
          </w:p>
        </w:tc>
        <w:tc>
          <w:p>
            <w:pPr>
              <w:pStyle w:val="Compact"/>
              <w:jc w:val="left"/>
            </w:pPr>
            <w:r>
              <w:rPr>
                <w:sz w:val="18"/>
              </w:rPr>
              <w:t xml:space="preserve">Hasta un mes: el mes en curso se descarta por incompleto; la card muestra además un pulso de los últimos tres meses casi en tiempo real.</w:t>
            </w:r>
          </w:p>
        </w:tc>
      </w:tr>
      <w:tr>
        <w:trPr>
          <w:cantSplit/>
        </w:trPr>
        <w:tc>
          <w:p>
            <w:pPr>
              <w:pStyle w:val="Compact"/>
              <w:jc w:val="left"/>
            </w:pPr>
            <w:r>
              <w:rPr>
                <w:bCs/>
                <w:b/>
                <w:sz w:val="18"/>
              </w:rPr>
              <w:t xml:space="preserve">PRODUCTOR DEL DATO</w:t>
            </w:r>
          </w:p>
        </w:tc>
        <w:tc>
          <w:p>
            <w:pPr>
              <w:pStyle w:val="Compact"/>
              <w:jc w:val="left"/>
            </w:pPr>
            <w:r>
              <w:rPr>
                <w:sz w:val="18"/>
              </w:rPr>
              <w:t xml:space="preserve">Google Trends (fuente no oficial)</w:t>
            </w:r>
          </w:p>
        </w:tc>
        <w:tc>
          <w:p>
            <w:pPr>
              <w:pStyle w:val="Compact"/>
              <w:jc w:val="left"/>
            </w:pPr>
            <w:r>
              <w:rPr>
                <w:bCs/>
                <w:b/>
                <w:sz w:val="18"/>
              </w:rPr>
              <w:t xml:space="preserve">OPERACIÓN ESTADÍSTICA</w:t>
            </w:r>
          </w:p>
        </w:tc>
        <w:tc>
          <w:p>
            <w:pPr>
              <w:pStyle w:val="Compact"/>
              <w:jc w:val="left"/>
            </w:pPr>
            <w:r>
              <w:rPr>
                <w:sz w:val="18"/>
              </w:rPr>
              <w:t xml:space="preserve">Interés de búsqueda en Argentina de una canasta de cuatro términos de urgencia económica: inflación, precios, inseguridad y trabajo</w:t>
            </w:r>
          </w:p>
        </w:tc>
      </w:tr>
      <w:tr>
        <w:trPr>
          <w:cantSplit/>
        </w:trPr>
        <w:tc>
          <w:p>
            <w:pPr>
              <w:pStyle w:val="Compact"/>
              <w:jc w:val="left"/>
            </w:pPr>
            <w:r>
              <w:rPr>
                <w:bCs/>
                <w:b/>
                <w:sz w:val="18"/>
              </w:rPr>
              <w:t xml:space="preserve">MODO DE ACCESO</w:t>
            </w:r>
          </w:p>
        </w:tc>
        <w:tc>
          <w:p>
            <w:pPr>
              <w:pStyle w:val="Compact"/>
              <w:jc w:val="left"/>
            </w:pPr>
            <w:r>
              <w:rPr>
                <w:sz w:val="18"/>
              </w:rPr>
              <w:t xml:space="preserve">Automático: consulta mensual de la canasta en ventana fija (2021 en adelante); cada descarga sana reemplaza el archivo completo — actualizaciones con escalas distintas nunca se mezclan.</w:t>
            </w:r>
          </w:p>
        </w:tc>
        <w:tc>
          <w:p>
            <w:pPr>
              <w:pStyle w:val="Compact"/>
              <w:jc w:val="left"/>
            </w:pPr>
            <w:r>
              <w:rPr>
                <w:bCs/>
                <w:b/>
                <w:sz w:val="18"/>
              </w:rPr>
              <w:t xml:space="preserve">ÚLTIMA ACTUALIZACIÓN</w:t>
            </w:r>
          </w:p>
        </w:tc>
        <w:tc>
          <w:p>
            <w:pPr>
              <w:pStyle w:val="Compact"/>
              <w:jc w:val="left"/>
            </w:pPr>
            <w:r>
              <w:rPr>
                <w:sz w:val="18"/>
              </w:rPr>
              <w:t xml:space="preserve">Dato a 2026-08 · informe generado el 2026-08-09</w:t>
            </w:r>
          </w:p>
        </w:tc>
      </w:tr>
    </w:tbl>
    <w:bookmarkEnd w:id="154"/>
    <w:bookmarkStart w:id="155" w:name="definición-qué-mide-y-por-qué-importa-13"/>
    <w:p>
      <w:pPr>
        <w:pStyle w:val="Heading2"/>
        <w:keepNext/>
      </w:pPr>
      <w:r>
        <w:t xml:space="preserve">Definición — qué mide y por qué importa</w:t>
      </w:r>
    </w:p>
    <w:p>
      <w:pPr>
        <w:pStyle w:val="FirstParagraph"/>
      </w:pPr>
      <w:r>
        <w:t xml:space="preserve">La urgencia económica que percibe la sociedad, medida por cuánto se busca en internet sobre inflación, precios, inseguridad y trabajo.</w:t>
      </w:r>
    </w:p>
    <w:p>
      <w:pPr>
        <w:pStyle w:val="BodyText"/>
      </w:pPr>
      <w:r>
        <w:t xml:space="preserve">Mide la preocupación económica por la conducta (qué busca la gente cuando le duele el bolsillo), complementando al ICC que la mide por encuesta. Puntúa en el índice con la canasta mensual comparada contra el arranque del mandato; el titular es el pulso en tiempo real.</w:t>
      </w:r>
    </w:p>
    <w:p>
      <w:pPr>
        <w:pStyle w:val="BodyText"/>
      </w:pPr>
      <w:r>
        <w:rPr>
          <w:bCs/>
          <w:b/>
        </w:rPr>
        <w:t xml:space="preserve">Dimensión que integra — Confianza y percepción.</w:t>
      </w:r>
      <w:r>
        <w:t xml:space="preserve"> </w:t>
      </w:r>
      <w:r>
        <w:t xml:space="preserve">El ánimo con que se vive el momento, medido de dos maneras: preguntando (el Índice de Confianza del Consumidor de la UTDT) y observando qué busca la gente en internet.</w:t>
      </w:r>
    </w:p>
    <w:bookmarkEnd w:id="155"/>
    <w:bookmarkStart w:id="156" w:name="método-de-cómputo-13"/>
    <w:p>
      <w:pPr>
        <w:pStyle w:val="Heading2"/>
        <w:keepNext/>
      </w:pPr>
      <w:r>
        <w:t xml:space="preserve">Método de cómputo</w:t>
      </w:r>
    </w:p>
    <w:p>
      <w:pPr>
        <w:numPr>
          <w:ilvl w:val="0"/>
          <w:numId w:val="1054"/>
        </w:numPr>
        <w:pStyle w:val="Compact"/>
      </w:pPr>
      <w:r>
        <w:t xml:space="preserve">Componente del índice: la canasta mensual rebaseada de forma invertida (más búsquedas de urgencia = peor) contra el promedio del 4º trimestre de 2023.</w:t>
      </w:r>
    </w:p>
    <w:p>
      <w:pPr>
        <w:numPr>
          <w:ilvl w:val="0"/>
          <w:numId w:val="1054"/>
        </w:numPr>
        <w:pStyle w:val="Compact"/>
      </w:pPr>
      <w:r>
        <w:t xml:space="preserve">El cociente entre valores de una misma consulta cancela la renormalización de escala de la fuente.</w:t>
      </w:r>
    </w:p>
    <w:bookmarkEnd w:id="156"/>
    <w:bookmarkStart w:id="157" w:name="Xaab4efafd10175937bfe344609501e53d799b16"/>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140</w:t>
      </w:r>
      <w:r>
        <w:t xml:space="preserve">.</w:t>
      </w:r>
    </w:p>
    <w:bookmarkEnd w:id="157"/>
    <w:bookmarkStart w:id="158" w:name="datos-concretos-detrás-del-valor-13"/>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55"/>
        </w:numPr>
        <w:pStyle w:val="Compact"/>
      </w:pPr>
      <w:r>
        <w:t xml:space="preserve">El titular es el pulso de los últimos 3 meses (escala relativa de esa ventana). El gráfico y el puntaje del ITVC usan la canasta mensual de ventana fija desde 2021, cuyo cociente contra el 4T-2023 es inmune a la renormalización de Trends.</w:t>
      </w:r>
    </w:p>
    <w:bookmarkEnd w:id="158"/>
    <w:bookmarkStart w:id="159" w:name="color-vigente-y-por-qué-13"/>
    <w:p>
      <w:pPr>
        <w:pStyle w:val="Heading2"/>
        <w:keepNext/>
      </w:pPr>
      <w:r>
        <w:t xml:space="preserve">Color vigente y por qué</w:t>
      </w:r>
    </w:p>
    <w:p>
      <w:pPr>
        <w:pStyle w:val="FirstParagraph"/>
      </w:pPr>
      <w:r>
        <w:t xml:space="preserve">Dato vigente: 25,4 interés 0–100 (2026-08).</w:t>
      </w:r>
    </w:p>
    <w:p>
      <w:pPr>
        <w:pStyle w:val="BodyText"/>
      </w:pPr>
      <w:r>
        <w:t xml:space="preserve">El componente está en 140 sobre la base 100 del 4º trimestre de 2023 — 105 o más —, que es el tramo VERDE. Está en el techo de winsorización (140): el índice se recorta ahí, así que el valor real es mejor que el que entra al cálculo y el semáforo ya no distingue mejoras.</w:t>
      </w:r>
    </w:p>
    <w:p>
      <w:pPr>
        <w:pStyle w:val="BodyText"/>
      </w:pPr>
      <w:r>
        <w:rPr>
          <w:bCs/>
          <w:b/>
        </w:rPr>
        <w:t xml:space="preserve">Color vigente: VERDE</w:t>
      </w:r>
    </w:p>
    <w:p>
      <w:pPr>
        <w:pStyle w:val="BodyText"/>
      </w:pPr>
      <w:r>
        <w:t xml:space="preserve">Ponderación vigente en el ITVC: 1,5 % efectivo. El color es una lectura adicional — no reemplaza ni cambia esta ponderación.</w:t>
      </w:r>
    </w:p>
    <w:p>
      <w:pPr>
        <w:numPr>
          <w:ilvl w:val="0"/>
          <w:numId w:val="1056"/>
        </w:numPr>
        <w:pStyle w:val="Compact"/>
      </w:pPr>
      <w:r>
        <w:rPr>
          <w:bCs/>
          <w:b/>
        </w:rPr>
        <w:t xml:space="preserve">Participación en otros indicadores.</w:t>
      </w:r>
      <w:r>
        <w:t xml:space="preserve"> </w:t>
      </w:r>
      <w:r>
        <w:t xml:space="preserve">Hasta julio de 2026 integró además el cinturón espíritu de época con fórmula de tensión propia; ese cinturón quedó acotado a la intención migratoria y la lectura duplicada se sigue registrando como seguimiento interno, sin publicarse ni puntuar.</w:t>
      </w:r>
    </w:p>
    <w:bookmarkEnd w:id="159"/>
    <w:bookmarkStart w:id="160" w:name="transparencia-limitaciones-declaradas-13"/>
    <w:p>
      <w:pPr>
        <w:pStyle w:val="Heading2"/>
        <w:keepNext/>
      </w:pPr>
      <w:r>
        <w:t xml:space="preserve">Transparencia — limitaciones declaradas</w:t>
      </w:r>
    </w:p>
    <w:p>
      <w:pPr>
        <w:numPr>
          <w:ilvl w:val="0"/>
          <w:numId w:val="1057"/>
        </w:numPr>
        <w:pStyle w:val="Compact"/>
      </w:pPr>
      <w:r>
        <w:t xml:space="preserve">Mide atención, no sentimiento: una noticia dispara búsquedas sin que cambie el bolsillo.</w:t>
      </w:r>
    </w:p>
    <w:p>
      <w:pPr>
        <w:numPr>
          <w:ilvl w:val="0"/>
          <w:numId w:val="1057"/>
        </w:numPr>
        <w:pStyle w:val="Compact"/>
      </w:pPr>
      <w:r>
        <w:t xml:space="preserve">Fuente no oficial con límites de consulta: si el servicio restringe el acceso, la serie continúa desde el archivo propio.</w:t>
      </w:r>
    </w:p>
    <w:p>
      <w:pPr>
        <w:numPr>
          <w:ilvl w:val="0"/>
          <w:numId w:val="1057"/>
        </w:numPr>
        <w:pStyle w:val="Compact"/>
      </w:pPr>
      <w:r>
        <w:t xml:space="preserve">Validación de constructo documentada: es la serie del cinturón que más co-mueve con la inflación mensual.</w:t>
      </w:r>
    </w:p>
    <w:bookmarkEnd w:id="160"/>
    <w:bookmarkStart w:id="161" w:name="X71e32d4ef8852d7b89f89dfb87e3c31d8c54533"/>
    <w:p>
      <w:pPr>
        <w:pStyle w:val="Heading2"/>
        <w:keepNext/>
      </w:pPr>
      <w:r>
        <w:t xml:space="preserve">Si falta el dato / Política de revisiones</w:t>
      </w:r>
    </w:p>
    <w:p>
      <w:pPr>
        <w:numPr>
          <w:ilvl w:val="0"/>
          <w:numId w:val="1058"/>
        </w:numPr>
      </w:pPr>
      <w:r>
        <w:rPr>
          <w:bCs/>
          <w:b/>
        </w:rPr>
        <w:t xml:space="preserve">Si falta el dato:</w:t>
      </w:r>
      <w:r>
        <w:t xml:space="preserve"> </w:t>
      </w:r>
      <w:r>
        <w:t xml:space="preserve">Con la fuente caída, la serie sale del archivo propio (con su fecha declarada); la card mantiene el último valor como desactualizado.</w:t>
      </w:r>
    </w:p>
    <w:p>
      <w:pPr>
        <w:numPr>
          <w:ilvl w:val="0"/>
          <w:numId w:val="1058"/>
        </w:numPr>
      </w:pPr>
      <w:r>
        <w:rPr>
          <w:bCs/>
          <w:b/>
        </w:rPr>
        <w:t xml:space="preserve">Política de revisiones:</w:t>
      </w:r>
      <w:r>
        <w:t xml:space="preserve"> </w:t>
      </w:r>
      <w:r>
        <w:t xml:space="preserve">Reemplazo total del archivo en cada descarga sana; la fuente no revisa datos propiamente.</w:t>
      </w:r>
    </w:p>
    <w:bookmarkEnd w:id="161"/>
    <w:bookmarkStart w:id="162" w:name="Xe97eb45c46db1c6f0b7a9d3dad61e7d604d0a09"/>
    <w:p>
      <w:pPr>
        <w:pStyle w:val="Heading2"/>
        <w:keepNext/>
      </w:pPr>
      <w:r>
        <w:t xml:space="preserve">Historial — cambios metodológicos documentados</w:t>
      </w:r>
    </w:p>
    <w:p>
      <w:pPr>
        <w:pStyle w:val="FirstParagraph"/>
      </w:pPr>
      <w:r>
        <w:rPr>
          <w:bCs/>
          <w:b/>
        </w:rPr>
        <w:t xml:space="preserve">2026-07-03</w:t>
      </w:r>
      <w:r>
        <w:t xml:space="preserve"> </w:t>
      </w:r>
      <w:r>
        <w:t xml:space="preserve">— Declarado indicador de contexto: la ventana de tres meses no permitía línea de base 2023.</w:t>
      </w:r>
    </w:p>
    <w:p>
      <w:pPr>
        <w:pStyle w:val="BodyText"/>
      </w:pPr>
      <w:r>
        <w:rPr>
          <w:bCs/>
          <w:b/>
        </w:rPr>
        <w:t xml:space="preserve">2026-07-04</w:t>
      </w:r>
      <w:r>
        <w:t xml:space="preserve"> </w:t>
      </w:r>
      <w:r>
        <w:t xml:space="preserve">— Pasa a componente puntuable tras un banco de pruebas empírico: la canasta de ventana fija con cociente interno resultó estable entre actualizaciones y consistente con la inflación.</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62"/>
    <w:bookmarkEnd w:id="163"/>
    <w:bookmarkStart w:id="173" w:name="patentamiento-de-motos"/>
    <w:p>
      <w:pPr>
        <w:pStyle w:val="Heading1"/>
        <w:keepNext/>
      </w:pPr>
      <w:r>
        <w:t xml:space="preserve">Patentamiento de motos</w:t>
      </w:r>
    </w:p>
    <w:p>
      <w:pPr>
        <w:pStyle w:val="FirstParagraph"/>
      </w:pPr>
      <w:r>
        <w:t xml:space="preserve">Cuántas motos se patentan en el mes.</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72.533 unidades</w:t>
            </w:r>
            <w:r>
              <w:rPr>
                <w:sz w:val="18"/>
              </w:rPr>
              <w:t xml:space="preserve"> </w:t>
            </w:r>
            <w:r>
              <w:rPr>
                <w:sz w:val="18"/>
              </w:rPr>
              <w:t xml:space="preserve">(2026-07)</w:t>
            </w:r>
          </w:p>
        </w:tc>
        <w:tc>
          <w:tcPr>
            <w:shd w:val="clear" w:color="auto" w:fill="DCFCE7"/>
          </w:tcPr>
          <w:p>
            <w:pPr>
              <w:pStyle w:val="Compact"/>
              <w:jc w:val="center"/>
            </w:pPr>
            <w:r>
              <w:rPr>
                <w:bCs/>
                <w:b/>
                <w:sz w:val="18"/>
                <w:color w:val="14532D"/>
              </w:rPr>
              <w:t xml:space="preserve">VERDE</w:t>
            </w:r>
          </w:p>
        </w:tc>
        <w:tc>
          <w:p>
            <w:pPr>
              <w:pStyle w:val="Compact"/>
              <w:jc w:val="left"/>
            </w:pPr>
            <w:r>
              <w:rPr>
                <w:sz w:val="18"/>
              </w:rPr>
              <w:t xml:space="preserve">Peso efectivo 0,6 % del ITVC</w:t>
            </w:r>
          </w:p>
        </w:tc>
        <w:tc>
          <w:p>
            <w:pPr>
              <w:pStyle w:val="Compact"/>
              <w:jc w:val="left"/>
            </w:pPr>
            <w:r>
              <w:rPr>
                <w:sz w:val="18"/>
              </w:rPr>
              <w:t xml:space="preserve">Cinturón Vida cotidiana</w:t>
            </w:r>
          </w:p>
        </w:tc>
      </w:tr>
    </w:tbl>
    <w:bookmarkStart w:id="164" w:name="identificación-14"/>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patentamiento_motos</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Ingresos y consumo</w:t>
            </w:r>
          </w:p>
        </w:tc>
        <w:tc>
          <w:p>
            <w:pPr>
              <w:pStyle w:val="Compact"/>
              <w:jc w:val="left"/>
            </w:pPr>
            <w:r>
              <w:rPr>
                <w:bCs/>
                <w:b/>
                <w:sz w:val="18"/>
              </w:rPr>
              <w:t xml:space="preserve">UNIDAD DE MEDIDA</w:t>
            </w:r>
          </w:p>
        </w:tc>
        <w:tc>
          <w:p>
            <w:pPr>
              <w:pStyle w:val="Compact"/>
              <w:jc w:val="left"/>
            </w:pPr>
            <w:r>
              <w:rPr>
                <w:sz w:val="18"/>
              </w:rPr>
              <w:t xml:space="preserve">unidades</w:t>
            </w:r>
          </w:p>
        </w:tc>
      </w:tr>
      <w:tr>
        <w:trPr>
          <w:cantSplit/>
        </w:trPr>
        <w:tc>
          <w:p>
            <w:pPr>
              <w:pStyle w:val="Compact"/>
              <w:jc w:val="left"/>
            </w:pPr>
            <w:r>
              <w:rPr>
                <w:bCs/>
                <w:b/>
                <w:sz w:val="18"/>
              </w:rPr>
              <w:t xml:space="preserve">SERIE DISPONIBLE</w:t>
            </w:r>
          </w:p>
        </w:tc>
        <w:tc>
          <w:p>
            <w:pPr>
              <w:pStyle w:val="Compact"/>
              <w:jc w:val="left"/>
            </w:pPr>
            <w:r>
              <w:rPr>
                <w:sz w:val="18"/>
              </w:rPr>
              <w:t xml:space="preserve">2022-11 → 2026-07 (45 puntos)</w:t>
            </w:r>
          </w:p>
        </w:tc>
        <w:tc>
          <w:p>
            <w:pPr>
              <w:pStyle w:val="Compact"/>
              <w:jc w:val="left"/>
            </w:pPr>
            <w:r>
              <w:rPr>
                <w:bCs/>
                <w:b/>
                <w:sz w:val="18"/>
              </w:rPr>
              <w:t xml:space="preserve">REZAGO DE PUBLICACIÓN</w:t>
            </w:r>
          </w:p>
        </w:tc>
        <w:tc>
          <w:p>
            <w:pPr>
              <w:pStyle w:val="Compact"/>
              <w:jc w:val="left"/>
            </w:pPr>
            <w:r>
              <w:rPr>
                <w:sz w:val="18"/>
              </w:rPr>
              <w:t xml:space="preserve">Menos de un mes: se toma el último mes calendario completo (el mes en curso sería un acumulado parcial).</w:t>
            </w:r>
          </w:p>
        </w:tc>
      </w:tr>
      <w:tr>
        <w:trPr>
          <w:cantSplit/>
        </w:trPr>
        <w:tc>
          <w:p>
            <w:pPr>
              <w:pStyle w:val="Compact"/>
              <w:jc w:val="left"/>
            </w:pPr>
            <w:r>
              <w:rPr>
                <w:bCs/>
                <w:b/>
                <w:sz w:val="18"/>
              </w:rPr>
              <w:t xml:space="preserve">PRODUCTOR DEL DATO</w:t>
            </w:r>
          </w:p>
        </w:tc>
        <w:tc>
          <w:p>
            <w:pPr>
              <w:pStyle w:val="Compact"/>
              <w:jc w:val="left"/>
            </w:pPr>
            <w:r>
              <w:rPr>
                <w:sz w:val="18"/>
              </w:rPr>
              <w:t xml:space="preserve">CAFAM — Cámara Argentina de Fabricantes de Motovehículos</w:t>
            </w:r>
          </w:p>
        </w:tc>
        <w:tc>
          <w:p>
            <w:pPr>
              <w:pStyle w:val="Compact"/>
              <w:jc w:val="left"/>
            </w:pPr>
            <w:r>
              <w:rPr>
                <w:bCs/>
                <w:b/>
                <w:sz w:val="18"/>
              </w:rPr>
              <w:t xml:space="preserve">OPERACIÓN ESTADÍSTICA</w:t>
            </w:r>
          </w:p>
        </w:tc>
        <w:tc>
          <w:p>
            <w:pPr>
              <w:pStyle w:val="Compact"/>
              <w:jc w:val="left"/>
            </w:pPr>
            <w:r>
              <w:rPr>
                <w:sz w:val="18"/>
              </w:rPr>
              <w:t xml:space="preserve">Patentamientos mensuales de motovehículos, total país</w:t>
            </w:r>
          </w:p>
        </w:tc>
      </w:tr>
      <w:tr>
        <w:trPr>
          <w:cantSplit/>
        </w:trPr>
        <w:tc>
          <w:p>
            <w:pPr>
              <w:pStyle w:val="Compact"/>
              <w:jc w:val="left"/>
            </w:pPr>
            <w:r>
              <w:rPr>
                <w:bCs/>
                <w:b/>
                <w:sz w:val="18"/>
              </w:rPr>
              <w:t xml:space="preserve">MODO DE ACCESO</w:t>
            </w:r>
          </w:p>
        </w:tc>
        <w:tc>
          <w:p>
            <w:pPr>
              <w:pStyle w:val="Compact"/>
              <w:jc w:val="left"/>
            </w:pPr>
            <w:r>
              <w:rPr>
                <w:sz w:val="18"/>
              </w:rPr>
              <w:t xml:space="preserve">Automático: API pública sin credenciales; la serie histórica se consulta mes a mes desde fines de 2022.</w:t>
            </w:r>
          </w:p>
        </w:tc>
        <w:tc>
          <w:p>
            <w:pPr>
              <w:pStyle w:val="Compact"/>
              <w:jc w:val="left"/>
            </w:pPr>
            <w:r>
              <w:rPr>
                <w:bCs/>
                <w:b/>
                <w:sz w:val="18"/>
              </w:rPr>
              <w:t xml:space="preserve">ÚLTIMA ACTUALIZACIÓN</w:t>
            </w:r>
          </w:p>
        </w:tc>
        <w:tc>
          <w:p>
            <w:pPr>
              <w:pStyle w:val="Compact"/>
              <w:jc w:val="left"/>
            </w:pPr>
            <w:r>
              <w:rPr>
                <w:sz w:val="18"/>
              </w:rPr>
              <w:t xml:space="preserve">Dato a 2026-07 · informe generado el 2026-08-09</w:t>
            </w:r>
          </w:p>
        </w:tc>
      </w:tr>
    </w:tbl>
    <w:bookmarkEnd w:id="164"/>
    <w:bookmarkStart w:id="165" w:name="definición-qué-mide-y-por-qué-importa-14"/>
    <w:p>
      <w:pPr>
        <w:pStyle w:val="Heading2"/>
        <w:keepNext/>
      </w:pPr>
      <w:r>
        <w:t xml:space="preserve">Definición — qué mide y por qué importa</w:t>
      </w:r>
    </w:p>
    <w:p>
      <w:pPr>
        <w:pStyle w:val="FirstParagraph"/>
      </w:pPr>
      <w:r>
        <w:t xml:space="preserve">Cuántas motos se patentan en el mes.</w:t>
      </w:r>
    </w:p>
    <w:p>
      <w:pPr>
        <w:pStyle w:val="BodyText"/>
      </w:pPr>
      <w:r>
        <w:t xml:space="preserve">Proxy de consumo durable de los sectores medios y bajos.</w:t>
      </w:r>
    </w:p>
    <w:p>
      <w:pPr>
        <w:pStyle w:val="BodyText"/>
      </w:pPr>
      <w:r>
        <w:rPr>
          <w:bCs/>
          <w:b/>
        </w:rPr>
        <w:t xml:space="preserve">Dimensión que integra — Ingresos y consumo.</w:t>
      </w:r>
      <w:r>
        <w:t xml:space="preserve"> </w:t>
      </w:r>
      <w:r>
        <w:t xml:space="preserve">Si el sueldo alcanza y qué compra: la brecha entre el salario y la canasta de pobreza, cuánta gente trabaja en la informalidad, y dos termómetros de bolsillo —el consumo de carne y el patentamiento de motos— que se mueven con el poder de compra.</w:t>
      </w:r>
    </w:p>
    <w:bookmarkEnd w:id="165"/>
    <w:bookmarkStart w:id="166" w:name="método-de-cómputo-14"/>
    <w:p>
      <w:pPr>
        <w:pStyle w:val="Heading2"/>
        <w:keepNext/>
      </w:pPr>
      <w:r>
        <w:t xml:space="preserve">Método de cómputo</w:t>
      </w:r>
    </w:p>
    <w:p>
      <w:pPr>
        <w:numPr>
          <w:ilvl w:val="0"/>
          <w:numId w:val="1059"/>
        </w:numPr>
        <w:pStyle w:val="Compact"/>
      </w:pPr>
      <w:r>
        <w:t xml:space="preserve">Componente del índice: el promedio móvil de 12 meses contra las ventanas móviles equivalentes del 4º trimestre de 2023 — la estacionalidad del flujo crudo es fuerte (enero duplica a junio).</w:t>
      </w:r>
    </w:p>
    <w:p>
      <w:pPr>
        <w:numPr>
          <w:ilvl w:val="0"/>
          <w:numId w:val="1059"/>
        </w:numPr>
        <w:pStyle w:val="Compact"/>
      </w:pPr>
      <w:r>
        <w:t xml:space="preserve">Recorte declarado: el componente se acota al techo de 140 — un boom puntual no compra compensación ilimitada dentro del índice; el valor crudo queda declarado en el detalle.</w:t>
      </w:r>
    </w:p>
    <w:bookmarkEnd w:id="166"/>
    <w:bookmarkStart w:id="167" w:name="X7b7170cc03c186200356a5b68fedf47ae23f2d7"/>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140</w:t>
      </w:r>
      <w:r>
        <w:t xml:space="preserve">.</w:t>
      </w:r>
    </w:p>
    <w:bookmarkEnd w:id="167"/>
    <w:bookmarkStart w:id="168" w:name="datos-concretos-detrás-del-valor-14"/>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60"/>
        </w:numPr>
        <w:pStyle w:val="Compact"/>
      </w:pPr>
      <w:r>
        <w:t xml:space="preserve">El informe publica el valor (72.533 unidades) pero no los números que lo componen: la fuente entrega la serie ya calculada. Para auditar el dato hay que ir a la operación estadística citada más arriba.</w:t>
      </w:r>
    </w:p>
    <w:bookmarkEnd w:id="168"/>
    <w:bookmarkStart w:id="169" w:name="color-vigente-y-por-qué-14"/>
    <w:p>
      <w:pPr>
        <w:pStyle w:val="Heading2"/>
        <w:keepNext/>
      </w:pPr>
      <w:r>
        <w:t xml:space="preserve">Color vigente y por qué</w:t>
      </w:r>
    </w:p>
    <w:p>
      <w:pPr>
        <w:pStyle w:val="FirstParagraph"/>
      </w:pPr>
      <w:r>
        <w:t xml:space="preserve">Dato vigente: 72.533 unidades (2026-07).</w:t>
      </w:r>
    </w:p>
    <w:p>
      <w:pPr>
        <w:pStyle w:val="BodyText"/>
      </w:pPr>
      <w:r>
        <w:t xml:space="preserve">El componente está en 140 sobre la base 100 del 4º trimestre de 2023 — 105 o más —, que es el tramo VERDE. Está en el techo de winsorización (140): el índice se recorta ahí, así que el valor real es mejor que el que entra al cálculo y el semáforo ya no distingue mejoras.</w:t>
      </w:r>
    </w:p>
    <w:p>
      <w:pPr>
        <w:pStyle w:val="BodyText"/>
      </w:pPr>
      <w:r>
        <w:rPr>
          <w:bCs/>
          <w:b/>
        </w:rPr>
        <w:t xml:space="preserve">Color vigente: VERDE</w:t>
      </w:r>
    </w:p>
    <w:p>
      <w:pPr>
        <w:pStyle w:val="BodyText"/>
      </w:pPr>
      <w:r>
        <w:t xml:space="preserve">Ponderación vigente en el ITVC: 0,6 % efectivo. El color es una lectura adicional — no reemplaza ni cambia esta ponderación.</w:t>
      </w:r>
    </w:p>
    <w:bookmarkEnd w:id="169"/>
    <w:bookmarkStart w:id="170" w:name="transparencia-limitaciones-declaradas-14"/>
    <w:p>
      <w:pPr>
        <w:pStyle w:val="Heading2"/>
        <w:keepNext/>
      </w:pPr>
      <w:r>
        <w:t xml:space="preserve">Transparencia — limitaciones declaradas</w:t>
      </w:r>
    </w:p>
    <w:p>
      <w:pPr>
        <w:numPr>
          <w:ilvl w:val="0"/>
          <w:numId w:val="1061"/>
        </w:numPr>
        <w:pStyle w:val="Compact"/>
      </w:pPr>
      <w:r>
        <w:t xml:space="preserve">Es el componente más eufórico del cinturón (muy por encima de su base): motivo del techo de recorte y de la baja de peso.</w:t>
      </w:r>
    </w:p>
    <w:p>
      <w:pPr>
        <w:numPr>
          <w:ilvl w:val="0"/>
          <w:numId w:val="1061"/>
        </w:numPr>
        <w:pStyle w:val="Compact"/>
      </w:pPr>
      <w:r>
        <w:t xml:space="preserve">Aproximación al consumo discrecional financiado, no al bienestar general.</w:t>
      </w:r>
    </w:p>
    <w:bookmarkEnd w:id="170"/>
    <w:bookmarkStart w:id="171" w:name="X02964bd421b6ce1686f5e02f1f98c7c34b51012"/>
    <w:p>
      <w:pPr>
        <w:pStyle w:val="Heading2"/>
        <w:keepNext/>
      </w:pPr>
      <w:r>
        <w:t xml:space="preserve">Si falta el dato / Política de revisiones</w:t>
      </w:r>
    </w:p>
    <w:p>
      <w:pPr>
        <w:numPr>
          <w:ilvl w:val="0"/>
          <w:numId w:val="1062"/>
        </w:numPr>
      </w:pPr>
      <w:r>
        <w:rPr>
          <w:bCs/>
          <w:b/>
        </w:rPr>
        <w:t xml:space="preserve">Si falta el dato:</w:t>
      </w:r>
      <w:r>
        <w:t xml:space="preserve"> </w:t>
      </w:r>
      <w:r>
        <w:t xml:space="preserve">Un mes que falla en la API se saltea; la card mantiene el último valor como desactualizado; sin componente, renormalización.</w:t>
      </w:r>
    </w:p>
    <w:p>
      <w:pPr>
        <w:numPr>
          <w:ilvl w:val="0"/>
          <w:numId w:val="1062"/>
        </w:numPr>
      </w:pPr>
      <w:r>
        <w:rPr>
          <w:bCs/>
          <w:b/>
        </w:rPr>
        <w:t xml:space="preserve">Política de revisiones:</w:t>
      </w:r>
      <w:r>
        <w:t xml:space="preserve"> </w:t>
      </w:r>
      <w:r>
        <w:t xml:space="preserve">La API expone el histórico completo y se reconsulta entero en cada actualización.</w:t>
      </w:r>
    </w:p>
    <w:bookmarkEnd w:id="171"/>
    <w:bookmarkStart w:id="172" w:name="Xfec2c1dec879a8614d6605057a6efcb2a0b1de1"/>
    <w:p>
      <w:pPr>
        <w:pStyle w:val="Heading2"/>
        <w:keepNext/>
      </w:pPr>
      <w:r>
        <w:t xml:space="preserve">Historial — cambios metodológicos documentados</w:t>
      </w:r>
    </w:p>
    <w:p>
      <w:pPr>
        <w:pStyle w:val="FirstParagraph"/>
      </w:pPr>
      <w:r>
        <w:rPr>
          <w:bCs/>
          <w:b/>
        </w:rPr>
        <w:t xml:space="preserve">2026-07-03</w:t>
      </w:r>
      <w:r>
        <w:t xml:space="preserve"> </w:t>
      </w:r>
      <w:r>
        <w:t xml:space="preserve">— Entra al ITVC con rebase simple del flujo mensual; el mismo día pasa al acumulado móvil de 12 meses por la estacionalidad.</w:t>
      </w:r>
    </w:p>
    <w:p>
      <w:pPr>
        <w:pStyle w:val="BodyText"/>
      </w:pPr>
      <w:r>
        <w:rPr>
          <w:bCs/>
          <w:b/>
        </w:rPr>
        <w:t xml:space="preserve">2026-07-04</w:t>
      </w:r>
      <w:r>
        <w:t xml:space="preserve"> </w:t>
      </w:r>
      <w:r>
        <w:t xml:space="preserve">— Se aplica el techo de recorte 140 y el peso interno baja de 10% a 5%.</w:t>
      </w:r>
    </w:p>
    <w:p>
      <w:r>
        <w:br w:type="page"/>
      </w:r>
    </w:p>
    <w:p>
      <w:pPr>
        <w:pStyle w:val="BodyText"/>
      </w:pPr>
      <w:r>
        <w:rPr>
          <w:bCs/>
          <w:b/>
        </w:rPr>
        <w:t xml:space="preserve">CIGOB · INFORME DE COYUNTURA</w:t>
      </w:r>
    </w:p>
    <w:p>
      <w:pPr>
        <w:pStyle w:val="BodyText"/>
      </w:pPr>
      <w:r>
        <w:rPr>
          <w:iCs/>
          <w:i/>
        </w:rPr>
        <w:t xml:space="preserve">Ficha metodológica · Cinturón Vida cotidiana · Capa de semáforo (4 colores)</w:t>
      </w:r>
    </w:p>
    <w:bookmarkEnd w:id="172"/>
    <w:bookmarkEnd w:id="173"/>
    <w:bookmarkStart w:id="183" w:name="mora-de-las-familias"/>
    <w:p>
      <w:pPr>
        <w:pStyle w:val="Heading1"/>
        <w:keepNext/>
      </w:pPr>
      <w:r>
        <w:t xml:space="preserve">Mora de las familias</w:t>
      </w:r>
    </w:p>
    <w:p>
      <w:pPr>
        <w:pStyle w:val="FirstParagraph"/>
      </w:pPr>
      <w:r>
        <w:t xml:space="preserve">Qué porcentaje del crédito de consumo de las familias (préstamos personales y tarjetas) está en situación irregular — con atrasos de pago —, ponderado por el saldo de cada línea.</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Hoy: 14,52 % de la cartera en situación irregular</w:t>
            </w:r>
            <w:r>
              <w:rPr>
                <w:sz w:val="18"/>
              </w:rPr>
              <w:t xml:space="preserve"> </w:t>
            </w:r>
            <w:r>
              <w:rPr>
                <w:sz w:val="18"/>
              </w:rPr>
              <w:t xml:space="preserve">(2026-05)</w:t>
            </w:r>
          </w:p>
        </w:tc>
        <w:tc>
          <w:tcPr>
            <w:shd w:val="clear" w:color="auto" w:fill="FEE2E2"/>
          </w:tcPr>
          <w:p>
            <w:pPr>
              <w:pStyle w:val="Compact"/>
              <w:jc w:val="center"/>
            </w:pPr>
            <w:r>
              <w:rPr>
                <w:bCs/>
                <w:b/>
                <w:sz w:val="18"/>
                <w:color w:val="7F1D1D"/>
              </w:rPr>
              <w:t xml:space="preserve">ROJO</w:t>
            </w:r>
          </w:p>
        </w:tc>
        <w:tc>
          <w:p>
            <w:pPr>
              <w:pStyle w:val="Compact"/>
              <w:jc w:val="left"/>
            </w:pPr>
            <w:r>
              <w:rPr>
                <w:sz w:val="18"/>
              </w:rPr>
              <w:t xml:space="preserve">Peso efectivo 10 % del ITVC</w:t>
            </w:r>
          </w:p>
        </w:tc>
        <w:tc>
          <w:p>
            <w:pPr>
              <w:pStyle w:val="Compact"/>
              <w:jc w:val="left"/>
            </w:pPr>
            <w:r>
              <w:rPr>
                <w:sz w:val="18"/>
              </w:rPr>
              <w:t xml:space="preserve">Cinturón Vida cotidiana</w:t>
            </w:r>
          </w:p>
        </w:tc>
      </w:tr>
    </w:tbl>
    <w:bookmarkStart w:id="174" w:name="identificación-15"/>
    <w:p>
      <w:pPr>
        <w:pStyle w:val="Heading2"/>
        <w:keepNext/>
      </w:pPr>
      <w:r>
        <w:t xml:space="preserve">Identificación</w:t>
      </w:r>
    </w:p>
    <w:tbl>
      <w:tblPr>
        <w:tblStyle w:val="Table"/>
        <w:tblW w:type="pct" w:w="5000.0"/>
        <w:tblLayout w:type="autofit"/>
        <w:tblLook w:firstRow="0" w:lastRow="0" w:firstColumn="0" w:lastColumn="0" w:noHBand="0" w:noVBand="0" w:val="000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gridCol w:w="1980"/>
        <w:gridCol w:w="1980"/>
        <w:gridCol w:w="1980"/>
        <w:gridCol w:w="1980"/>
      </w:tblGrid>
      <w:tr>
        <w:trPr>
          <w:cantSplit/>
        </w:trPr>
        <w:tc>
          <w:p>
            <w:pPr>
              <w:pStyle w:val="Compact"/>
              <w:jc w:val="left"/>
            </w:pPr>
            <w:r>
              <w:rPr>
                <w:bCs/>
                <w:b/>
                <w:sz w:val="18"/>
              </w:rPr>
              <w:t xml:space="preserve">IDENTIFICADOR TÉCNICO</w:t>
            </w:r>
          </w:p>
        </w:tc>
        <w:tc>
          <w:p>
            <w:pPr>
              <w:pStyle w:val="Compact"/>
              <w:jc w:val="left"/>
            </w:pPr>
            <w:r>
              <w:rPr>
                <w:sz w:val="18"/>
              </w:rPr>
              <w:t xml:space="preserve">mora_familias</w:t>
            </w:r>
          </w:p>
        </w:tc>
        <w:tc>
          <w:p>
            <w:pPr>
              <w:pStyle w:val="Compact"/>
              <w:jc w:val="left"/>
            </w:pPr>
            <w:r>
              <w:rPr>
                <w:bCs/>
                <w:b/>
                <w:sz w:val="18"/>
              </w:rPr>
              <w:t xml:space="preserve">CINTURÓN</w:t>
            </w:r>
          </w:p>
        </w:tc>
        <w:tc>
          <w:p>
            <w:pPr>
              <w:pStyle w:val="Compact"/>
              <w:jc w:val="left"/>
            </w:pPr>
            <w:r>
              <w:rPr>
                <w:sz w:val="18"/>
              </w:rPr>
              <w:t xml:space="preserve">Vida cotidiana</w:t>
            </w:r>
          </w:p>
        </w:tc>
      </w:tr>
      <w:tr>
        <w:trPr>
          <w:cantSplit/>
        </w:trPr>
        <w:tc>
          <w:p>
            <w:pPr>
              <w:pStyle w:val="Compact"/>
              <w:jc w:val="left"/>
            </w:pPr>
            <w:r>
              <w:rPr>
                <w:bCs/>
                <w:b/>
                <w:sz w:val="18"/>
              </w:rPr>
              <w:t xml:space="preserve">DIMENSIÓN EN EL ITVC</w:t>
            </w:r>
          </w:p>
        </w:tc>
        <w:tc>
          <w:p>
            <w:pPr>
              <w:pStyle w:val="Compact"/>
              <w:jc w:val="left"/>
            </w:pPr>
            <w:r>
              <w:rPr>
                <w:sz w:val="18"/>
              </w:rPr>
              <w:t xml:space="preserve">Vulnerabilidad financiera</w:t>
            </w:r>
          </w:p>
        </w:tc>
        <w:tc>
          <w:p>
            <w:pPr>
              <w:pStyle w:val="Compact"/>
              <w:jc w:val="left"/>
            </w:pPr>
            <w:r>
              <w:rPr>
                <w:bCs/>
                <w:b/>
                <w:sz w:val="18"/>
              </w:rPr>
              <w:t xml:space="preserve">UNIDAD DE MEDIDA</w:t>
            </w:r>
          </w:p>
        </w:tc>
        <w:tc>
          <w:p>
            <w:pPr>
              <w:pStyle w:val="Compact"/>
              <w:jc w:val="left"/>
            </w:pPr>
            <w:r>
              <w:rPr>
                <w:sz w:val="18"/>
              </w:rPr>
              <w:t xml:space="preserve">% de la cartera en situación irregular</w:t>
            </w:r>
          </w:p>
        </w:tc>
      </w:tr>
      <w:tr>
        <w:trPr>
          <w:cantSplit/>
        </w:trPr>
        <w:tc>
          <w:p>
            <w:pPr>
              <w:pStyle w:val="Compact"/>
              <w:jc w:val="left"/>
            </w:pPr>
            <w:r>
              <w:rPr>
                <w:bCs/>
                <w:b/>
                <w:sz w:val="18"/>
              </w:rPr>
              <w:t xml:space="preserve">SERIE DISPONIBLE</w:t>
            </w:r>
          </w:p>
        </w:tc>
        <w:tc>
          <w:p>
            <w:pPr>
              <w:pStyle w:val="Compact"/>
              <w:jc w:val="left"/>
            </w:pPr>
            <w:r>
              <w:rPr>
                <w:sz w:val="18"/>
              </w:rPr>
              <w:t xml:space="preserve">2021-07 → 2026-05 (59 puntos)</w:t>
            </w:r>
          </w:p>
        </w:tc>
        <w:tc>
          <w:p>
            <w:pPr>
              <w:pStyle w:val="Compact"/>
              <w:jc w:val="left"/>
            </w:pPr>
            <w:r>
              <w:rPr>
                <w:bCs/>
                <w:b/>
                <w:sz w:val="18"/>
              </w:rPr>
              <w:t xml:space="preserve">REZAGO DE PUBLICACIÓN</w:t>
            </w:r>
          </w:p>
        </w:tc>
        <w:tc>
          <w:p>
            <w:pPr>
              <w:pStyle w:val="Compact"/>
              <w:jc w:val="left"/>
            </w:pPr>
            <w:r>
              <w:rPr>
                <w:sz w:val="18"/>
              </w:rPr>
              <w:t xml:space="preserve">El anexo del Informe sobre Bancos se publica con ~2 meses de rezago.</w:t>
            </w:r>
          </w:p>
        </w:tc>
      </w:tr>
      <w:tr>
        <w:trPr>
          <w:cantSplit/>
        </w:trPr>
        <w:tc>
          <w:p>
            <w:pPr>
              <w:pStyle w:val="Compact"/>
              <w:jc w:val="left"/>
            </w:pPr>
            <w:r>
              <w:rPr>
                <w:bCs/>
                <w:b/>
                <w:sz w:val="18"/>
              </w:rPr>
              <w:t xml:space="preserve">PRODUCTOR DEL DATO</w:t>
            </w:r>
          </w:p>
        </w:tc>
        <w:tc>
          <w:p>
            <w:pPr>
              <w:pStyle w:val="Compact"/>
              <w:jc w:val="left"/>
            </w:pPr>
            <w:r>
              <w:rPr>
                <w:sz w:val="18"/>
              </w:rPr>
              <w:t xml:space="preserve">BCRA</w:t>
            </w:r>
          </w:p>
        </w:tc>
        <w:tc>
          <w:p>
            <w:pPr>
              <w:pStyle w:val="Compact"/>
              <w:jc w:val="left"/>
            </w:pPr>
            <w:r>
              <w:rPr>
                <w:bCs/>
                <w:b/>
                <w:sz w:val="18"/>
              </w:rPr>
              <w:t xml:space="preserve">OPERACIÓN ESTADÍSTICA</w:t>
            </w:r>
          </w:p>
        </w:tc>
        <w:tc>
          <w:p>
            <w:pPr>
              <w:pStyle w:val="Compact"/>
              <w:jc w:val="left"/>
            </w:pPr>
            <w:r>
              <w:rPr>
                <w:sz w:val="18"/>
              </w:rPr>
              <w:t xml:space="preserve">Anexo del Informe sobre Bancos — planilla de calidad de cartera, sección Familias: ratio de irregularidad y saldos de préstamos personales y tarjetas</w:t>
            </w:r>
          </w:p>
        </w:tc>
      </w:tr>
      <w:tr>
        <w:trPr>
          <w:cantSplit/>
        </w:trPr>
        <w:tc>
          <w:p>
            <w:pPr>
              <w:pStyle w:val="Compact"/>
              <w:jc w:val="left"/>
            </w:pPr>
            <w:r>
              <w:rPr>
                <w:bCs/>
                <w:b/>
                <w:sz w:val="18"/>
              </w:rPr>
              <w:t xml:space="preserve">MODO DE ACCESO</w:t>
            </w:r>
          </w:p>
        </w:tc>
        <w:tc>
          <w:p>
            <w:pPr>
              <w:pStyle w:val="Compact"/>
              <w:jc w:val="left"/>
            </w:pPr>
            <w:r>
              <w:rPr>
                <w:sz w:val="18"/>
              </w:rPr>
              <w:t xml:space="preserve">Automático: lectura de la planilla oficial; el titular es el último punto de la serie mensual.</w:t>
            </w:r>
          </w:p>
        </w:tc>
        <w:tc>
          <w:p>
            <w:pPr>
              <w:pStyle w:val="Compact"/>
              <w:jc w:val="left"/>
            </w:pPr>
            <w:r>
              <w:rPr>
                <w:bCs/>
                <w:b/>
                <w:sz w:val="18"/>
              </w:rPr>
              <w:t xml:space="preserve">ÚLTIMA ACTUALIZACIÓN</w:t>
            </w:r>
          </w:p>
        </w:tc>
        <w:tc>
          <w:p>
            <w:pPr>
              <w:pStyle w:val="Compact"/>
              <w:jc w:val="left"/>
            </w:pPr>
            <w:r>
              <w:rPr>
                <w:sz w:val="18"/>
              </w:rPr>
              <w:t xml:space="preserve">Dato a 2026-05 · informe generado el 2026-08-09</w:t>
            </w:r>
          </w:p>
        </w:tc>
      </w:tr>
    </w:tbl>
    <w:bookmarkEnd w:id="174"/>
    <w:bookmarkStart w:id="175" w:name="definición-qué-mide-y-por-qué-importa-15"/>
    <w:p>
      <w:pPr>
        <w:pStyle w:val="Heading2"/>
        <w:keepNext/>
      </w:pPr>
      <w:r>
        <w:t xml:space="preserve">Definición — qué mide y por qué importa</w:t>
      </w:r>
    </w:p>
    <w:p>
      <w:pPr>
        <w:pStyle w:val="FirstParagraph"/>
      </w:pPr>
      <w:r>
        <w:t xml:space="preserve">Qué porcentaje del crédito de consumo de las familias (préstamos personales y tarjetas) está en situación irregular — con atrasos de pago —, ponderado por el saldo de cada línea.</w:t>
      </w:r>
    </w:p>
    <w:p>
      <w:pPr>
        <w:pStyle w:val="BodyText"/>
      </w:pPr>
      <w:r>
        <w:t xml:space="preserve">Es la señal directa de estrés financiero de los hogares: la deuda puede crecer por acceso sano o por necesidad, pero la mora que se dispara solo tiene una lectura. Puntúa invertida: más mora, peor.</w:t>
      </w:r>
    </w:p>
    <w:p>
      <w:pPr>
        <w:pStyle w:val="BodyText"/>
      </w:pPr>
      <w:r>
        <w:rPr>
          <w:bCs/>
          <w:b/>
        </w:rPr>
        <w:t xml:space="preserve">Dimensión que integra — Vulnerabilidad financiera.</w:t>
      </w:r>
      <w:r>
        <w:t xml:space="preserve"> </w:t>
      </w:r>
      <w:r>
        <w:t xml:space="preserve">Cuán expuestas están las familias por su deuda de consumo, en dos señales: el nivel de crédito real (acceso al financiamiento) y la mora de esa cartera (si esa deuda se puede pagar). Deuda que crece con mora estable es acceso; con mora en aumento es fragilidad.</w:t>
      </w:r>
    </w:p>
    <w:bookmarkEnd w:id="175"/>
    <w:bookmarkStart w:id="176" w:name="método-de-cómputo-15"/>
    <w:p>
      <w:pPr>
        <w:pStyle w:val="Heading2"/>
        <w:keepNext/>
      </w:pPr>
      <w:r>
        <w:t xml:space="preserve">Método de cómputo</w:t>
      </w:r>
    </w:p>
    <w:p>
      <w:pPr>
        <w:numPr>
          <w:ilvl w:val="0"/>
          <w:numId w:val="1063"/>
        </w:numPr>
        <w:pStyle w:val="Compact"/>
      </w:pPr>
      <w:r>
        <w:t xml:space="preserve">Mora ponderada: el ratio de irregularidad de préstamos personales y el de tarjetas de crédito se combinan según el saldo de cada línea.</w:t>
      </w:r>
    </w:p>
    <w:p>
      <w:pPr>
        <w:numPr>
          <w:ilvl w:val="0"/>
          <w:numId w:val="1063"/>
        </w:numPr>
        <w:pStyle w:val="Compact"/>
      </w:pPr>
      <w:r>
        <w:t xml:space="preserve">En el ITVC puntúa por el nivel relativo al 4º trimestre de 2023 (índice base 100), invertido: más mora que en la base, peor puntaje.</w:t>
      </w:r>
    </w:p>
    <w:p>
      <w:pPr>
        <w:numPr>
          <w:ilvl w:val="0"/>
          <w:numId w:val="1063"/>
        </w:numPr>
        <w:pStyle w:val="Compact"/>
      </w:pPr>
      <w:r>
        <w:t xml:space="preserve">Sin piso de recorte, igual que el resto de los componentes: el deterioro no se maquilla.</w:t>
      </w:r>
    </w:p>
    <w:bookmarkEnd w:id="176"/>
    <w:bookmarkStart w:id="177" w:name="X8797a617a46fa23875915c569ac62b6d653dda8"/>
    <w:p>
      <w:pPr>
        <w:pStyle w:val="Heading2"/>
        <w:keepNext/>
      </w:pPr>
      <w:r>
        <w:t xml:space="preserve">Semáforo — valores que determinan el color</w:t>
      </w:r>
    </w:p>
    <w:p>
      <w:pPr>
        <w:pStyle w:val="FirstParagraph"/>
      </w:pPr>
      <w:r>
        <w:t xml:space="preserve">Este cinturón no usa tablas de bandas por indicador: cada componente entra al índice como un número rebaseado a 100 = promedio del 4º trimestre de 2023, el arranque del mandato. Por encima de 100 hay mejora acumulada; por debajo, deterioro. El color se lee sobre ese número rebaseado, no sobre el valor en su unidad original.</w:t>
      </w:r>
    </w:p>
    <w:p>
      <w:pPr>
        <w:pStyle w:val="BodyText"/>
      </w:pPr>
      <w:r>
        <w:rPr>
          <w:bCs/>
          <w:b/>
        </w:rPr>
        <w:t xml:space="preserve">Valores que definen cada color</w:t>
      </w:r>
    </w:p>
    <w:tbl>
      <w:tblPr>
        <w:tblStyle w:val="Table"/>
        <w:tblW w:type="pct" w:w="0.0"/>
        <w:tblLayout w:type="autofit"/>
        <w:tblLook w:firstRow="1" w:lastRow="0" w:firstColumn="0" w:lastColumn="0" w:noHBand="0" w:noVBand="0" w:val="0020"/>
        <w:tblBorders>
          <w:top w:val="single" w:sz="4" w:color="D9DEDC"/>
          <w:left w:val="single" w:sz="4" w:color="D9DEDC"/>
          <w:bottom w:val="single" w:sz="4" w:color="D9DEDC"/>
          <w:right w:val="single" w:sz="4" w:color="D9DEDC"/>
          <w:insideH w:val="single" w:sz="4" w:color="D9DEDC"/>
          <w:insideV w:val="single" w:sz="4" w:color="D9DEDC"/>
        </w:tblBorders>
        <w:tblCellMar>
          <w:top w:w="80" w:type="dxa"/>
          <w:bottom w:w="80" w:type="dxa"/>
          <w:left w:w="140" w:type="dxa"/>
          <w:right w:w="140" w:type="dxa"/>
        </w:tblCellMar>
      </w:tblPr>
      <w:tblGrid/>
      <w:tr>
        <w:trPr>
          <w:cantSplit/>
          <w:tblHeader/>
        </w:trPr>
        <w:tc>
          <w:tcPr>
            <w:shd w:val="clear" w:color="auto" w:fill="1F3A34"/>
          </w:tcPr>
          <w:p>
            <w:pPr>
              <w:pStyle w:val="Compact"/>
              <w:jc w:val="left"/>
            </w:pPr>
            <w:r>
              <w:rPr>
                <w:b/>
                <w:sz w:val="18"/>
                <w:color w:val="FFFFFF"/>
              </w:rPr>
              <w:t xml:space="preserve">Rango (índice base 100 = 4º trim. 2023)</w:t>
            </w:r>
          </w:p>
        </w:tc>
        <w:tc>
          <w:tcPr>
            <w:shd w:val="clear" w:color="auto" w:fill="1F3A34"/>
          </w:tcPr>
          <w:p>
            <w:pPr>
              <w:pStyle w:val="Compact"/>
              <w:jc w:val="left"/>
            </w:pPr>
            <w:r>
              <w:rPr>
                <w:b/>
                <w:sz w:val="18"/>
                <w:color w:val="FFFFFF"/>
              </w:rPr>
              <w:t xml:space="preserve">Color</w:t>
            </w:r>
          </w:p>
        </w:tc>
      </w:tr>
      <w:tr>
        <w:trPr>
          <w:cantSplit/>
        </w:trPr>
        <w:tc>
          <w:p>
            <w:pPr>
              <w:pStyle w:val="Compact"/>
              <w:jc w:val="left"/>
            </w:pPr>
            <w:r>
              <w:rPr>
                <w:sz w:val="18"/>
              </w:rPr>
              <w:t xml:space="preserve">105 o más</w:t>
            </w:r>
          </w:p>
        </w:tc>
        <w:tc>
          <w:tcPr>
            <w:shd w:val="clear" w:color="auto" w:fill="DCFCE7"/>
          </w:tcPr>
          <w:p>
            <w:pPr>
              <w:pStyle w:val="Compact"/>
              <w:jc w:val="center"/>
            </w:pPr>
            <w:r>
              <w:rPr>
                <w:b/>
                <w:sz w:val="18"/>
                <w:color w:val="14532D"/>
              </w:rPr>
              <w:t xml:space="preserve">VERDE</w:t>
            </w:r>
          </w:p>
        </w:tc>
      </w:tr>
      <w:tr>
        <w:trPr>
          <w:cantSplit/>
        </w:trPr>
        <w:tc>
          <w:tcPr>
            <w:shd w:val="clear" w:color="auto" w:fill="F6F8F7"/>
          </w:tcPr>
          <w:p>
            <w:pPr>
              <w:pStyle w:val="Compact"/>
              <w:jc w:val="left"/>
            </w:pPr>
            <w:r>
              <w:rPr>
                <w:sz w:val="18"/>
              </w:rPr>
              <w:t xml:space="preserve">de 95 a 105</w:t>
            </w:r>
          </w:p>
        </w:tc>
        <w:tc>
          <w:tcPr>
            <w:shd w:val="clear" w:color="auto" w:fill="FEF3C7"/>
          </w:tcPr>
          <w:p>
            <w:pPr>
              <w:pStyle w:val="Compact"/>
              <w:jc w:val="center"/>
            </w:pPr>
            <w:r>
              <w:rPr>
                <w:b/>
                <w:sz w:val="18"/>
                <w:color w:val="713F12"/>
              </w:rPr>
              <w:t xml:space="preserve">AMARILLO</w:t>
            </w:r>
          </w:p>
        </w:tc>
      </w:tr>
      <w:tr>
        <w:trPr>
          <w:cantSplit/>
        </w:trPr>
        <w:tc>
          <w:p>
            <w:pPr>
              <w:pStyle w:val="Compact"/>
              <w:jc w:val="left"/>
            </w:pPr>
            <w:r>
              <w:rPr>
                <w:sz w:val="18"/>
              </w:rPr>
              <w:t xml:space="preserve">de 85 a 95</w:t>
            </w:r>
          </w:p>
        </w:tc>
        <w:tc>
          <w:tcPr>
            <w:shd w:val="clear" w:color="auto" w:fill="FFEDD5"/>
          </w:tcPr>
          <w:p>
            <w:pPr>
              <w:pStyle w:val="Compact"/>
              <w:jc w:val="center"/>
            </w:pPr>
            <w:r>
              <w:rPr>
                <w:b/>
                <w:sz w:val="18"/>
                <w:color w:val="7C2D12"/>
              </w:rPr>
              <w:t xml:space="preserve">NARANJA</w:t>
            </w:r>
          </w:p>
        </w:tc>
      </w:tr>
      <w:tr>
        <w:trPr>
          <w:cantSplit/>
        </w:trPr>
        <w:tc>
          <w:tcPr>
            <w:shd w:val="clear" w:color="auto" w:fill="F6F8F7"/>
          </w:tcPr>
          <w:p>
            <w:pPr>
              <w:pStyle w:val="Compact"/>
              <w:jc w:val="left"/>
            </w:pPr>
            <w:r>
              <w:rPr>
                <w:sz w:val="18"/>
              </w:rPr>
              <w:t xml:space="preserve">menos de 85</w:t>
            </w:r>
          </w:p>
        </w:tc>
        <w:tc>
          <w:tcPr>
            <w:shd w:val="clear" w:color="auto" w:fill="FEE2E2"/>
          </w:tcPr>
          <w:p>
            <w:pPr>
              <w:pStyle w:val="Compact"/>
              <w:jc w:val="center"/>
            </w:pPr>
            <w:r>
              <w:rPr>
                <w:b/>
                <w:sz w:val="18"/>
                <w:color w:val="7F1D1D"/>
              </w:rPr>
              <w:t xml:space="preserve">ROJO</w:t>
            </w:r>
          </w:p>
        </w:tc>
      </w:tr>
    </w:tbl>
    <w:p>
      <w:pPr>
        <w:pStyle w:val="BodyText"/>
      </w:pPr>
      <w:r>
        <w:t xml:space="preserve">Este componente está hoy en</w:t>
      </w:r>
      <w:r>
        <w:t xml:space="preserve"> </w:t>
      </w:r>
      <w:r>
        <w:rPr>
          <w:bCs/>
          <w:b/>
        </w:rPr>
        <w:t xml:space="preserve">17,2</w:t>
      </w:r>
      <w:r>
        <w:t xml:space="preserve">.</w:t>
      </w:r>
    </w:p>
    <w:bookmarkEnd w:id="177"/>
    <w:bookmarkStart w:id="178" w:name="datos-concretos-detrás-del-valor-15"/>
    <w:p>
      <w:pPr>
        <w:pStyle w:val="Heading2"/>
        <w:keepNext/>
      </w:pPr>
      <w:r>
        <w:t xml:space="preserve">Datos concretos detrás del valor</w:t>
      </w:r>
    </w:p>
    <w:p>
      <w:pPr>
        <w:pStyle w:val="FirstParagraph"/>
      </w:pPr>
      <w:r>
        <w:t xml:space="preserve">Qué hay, específicamente, detrás del dato que define el color de este mes — o qué falta publicar para poder verificarlo con precisión.</w:t>
      </w:r>
    </w:p>
    <w:p>
      <w:pPr>
        <w:numPr>
          <w:ilvl w:val="0"/>
          <w:numId w:val="1064"/>
        </w:numPr>
        <w:pStyle w:val="Compact"/>
      </w:pPr>
      <w:r>
        <w:t xml:space="preserve">Porcentaje del crédito de consumo de las familias (préstamos personales y tarjetas) con atrasos de pago, ponderado por el saldo de cada línea.</w:t>
      </w:r>
    </w:p>
    <w:bookmarkEnd w:id="178"/>
    <w:bookmarkStart w:id="179" w:name="color-vigente-y-por-qué-15"/>
    <w:p>
      <w:pPr>
        <w:pStyle w:val="Heading2"/>
        <w:keepNext/>
      </w:pPr>
      <w:r>
        <w:t xml:space="preserve">Color vigente y por qué</w:t>
      </w:r>
    </w:p>
    <w:p>
      <w:pPr>
        <w:pStyle w:val="FirstParagraph"/>
      </w:pPr>
      <w:r>
        <w:t xml:space="preserve">Dato vigente: 14,52 % de la cartera en situación irregular (2026-05).</w:t>
      </w:r>
    </w:p>
    <w:p>
      <w:pPr>
        <w:pStyle w:val="BodyText"/>
      </w:pPr>
      <w:r>
        <w:t xml:space="preserve">El componente está en 17,2 sobre la base 100 del 4º trimestre de 2023 — menos de 85 —, que es el tramo ROJO. Está por debajo del punto donde la tensión toca 10, así que el semáforo ya no distingue deterioros adicionales: seguiría rojo igual.</w:t>
      </w:r>
    </w:p>
    <w:p>
      <w:pPr>
        <w:pStyle w:val="BodyText"/>
      </w:pPr>
      <w:r>
        <w:rPr>
          <w:bCs/>
          <w:b/>
        </w:rPr>
        <w:t xml:space="preserve">Color vigente: ROJO</w:t>
      </w:r>
    </w:p>
    <w:p>
      <w:pPr>
        <w:pStyle w:val="BodyText"/>
      </w:pPr>
      <w:r>
        <w:t xml:space="preserve">Ponderación vigente en el ITVC: 10 % efectivo. El color es una lectura adicional — no reemplaza ni cambia esta ponderación.</w:t>
      </w:r>
    </w:p>
    <w:bookmarkEnd w:id="179"/>
    <w:bookmarkStart w:id="180" w:name="transparencia-limitaciones-declaradas-15"/>
    <w:p>
      <w:pPr>
        <w:pStyle w:val="Heading2"/>
        <w:keepNext/>
      </w:pPr>
      <w:r>
        <w:t xml:space="preserve">Transparencia — limitaciones declaradas</w:t>
      </w:r>
    </w:p>
    <w:p>
      <w:pPr>
        <w:numPr>
          <w:ilvl w:val="0"/>
          <w:numId w:val="1065"/>
        </w:numPr>
        <w:pStyle w:val="Compact"/>
      </w:pPr>
      <w:r>
        <w:t xml:space="preserve">La mora de las familias se multiplicó por varias veces desde la base 4T-2023: el componente concentra buena parte del arrastre del índice, y así se publica.</w:t>
      </w:r>
    </w:p>
    <w:p>
      <w:pPr>
        <w:numPr>
          <w:ilvl w:val="0"/>
          <w:numId w:val="1065"/>
        </w:numPr>
        <w:pStyle w:val="Compact"/>
      </w:pPr>
      <w:r>
        <w:t xml:space="preserve">Cubre el crédito bancario regulado: no ve el endeudamiento no bancario (fintech, cadenas de consumo, prestamistas informales), donde el estrés suele ser mayor.</w:t>
      </w:r>
    </w:p>
    <w:p>
      <w:pPr>
        <w:numPr>
          <w:ilvl w:val="0"/>
          <w:numId w:val="1065"/>
        </w:numPr>
        <w:pStyle w:val="Compact"/>
      </w:pPr>
      <w:r>
        <w:t xml:space="preserve">El corte es la cartera consolidada del sistema, con el rezago de la planilla oficial.</w:t>
      </w:r>
    </w:p>
    <w:bookmarkEnd w:id="180"/>
    <w:bookmarkStart w:id="181" w:name="X0c45de6897a5612009ee621684988b95b96a817"/>
    <w:p>
      <w:pPr>
        <w:pStyle w:val="Heading2"/>
        <w:keepNext/>
      </w:pPr>
      <w:r>
        <w:t xml:space="preserve">Si falta el dato / Política de revisiones</w:t>
      </w:r>
    </w:p>
    <w:p>
      <w:pPr>
        <w:numPr>
          <w:ilvl w:val="0"/>
          <w:numId w:val="1066"/>
        </w:numPr>
      </w:pPr>
      <w:r>
        <w:rPr>
          <w:bCs/>
          <w:b/>
        </w:rPr>
        <w:t xml:space="preserve">Si falta el dato:</w:t>
      </w:r>
      <w:r>
        <w:t xml:space="preserve"> </w:t>
      </w:r>
      <w:r>
        <w:t xml:space="preserve">Si la planilla no está disponible, la serie conserva sus puntos previos y el titular queda en el último mes publicado. Es el único componente de su dimensión, así que no hay con qué renormalizar dentro de ella: si se quedara sin dato, la dimensión entera no se calcula y su diez por ciento se reparte entre las otras cinco. Ese es el costo de haber dejado la dimensión con un solo indicador, y queda declarado.</w:t>
      </w:r>
    </w:p>
    <w:p>
      <w:pPr>
        <w:numPr>
          <w:ilvl w:val="0"/>
          <w:numId w:val="1066"/>
        </w:numPr>
      </w:pPr>
      <w:r>
        <w:rPr>
          <w:bCs/>
          <w:b/>
        </w:rPr>
        <w:t xml:space="preserve">Política de revisiones:</w:t>
      </w:r>
      <w:r>
        <w:t xml:space="preserve"> </w:t>
      </w:r>
      <w:r>
        <w:t xml:space="preserve">La planilla oficial se relee completa en cada actualización y adopta las revisiones del BCRA.</w:t>
      </w:r>
    </w:p>
    <w:bookmarkEnd w:id="181"/>
    <w:bookmarkStart w:id="182" w:name="X4ab0c5eb5abca5f38141be4205cfacb1b6608f5"/>
    <w:p>
      <w:pPr>
        <w:pStyle w:val="Heading2"/>
        <w:keepNext/>
      </w:pPr>
      <w:r>
        <w:t xml:space="preserve">Historial — cambios metodológicos documentados</w:t>
      </w:r>
    </w:p>
    <w:p>
      <w:pPr>
        <w:pStyle w:val="FirstParagraph"/>
      </w:pPr>
      <w:r>
        <w:rPr>
          <w:bCs/>
          <w:b/>
        </w:rPr>
        <w:t xml:space="preserve">2026-07-15</w:t>
      </w:r>
      <w:r>
        <w:t xml:space="preserve"> </w:t>
      </w:r>
      <w:r>
        <w:t xml:space="preserve">— Entra al ITVC como indicador propio: hasta ahora la mora vivía adentro del componente de endeudamiento (deuda real × mora); separarla hace legible cada señal — acceso al crédito por un lado, estrés de pago por el otro — sin cambiar la información que el índice procesa.</w:t>
      </w:r>
    </w:p>
    <w:bookmarkEnd w:id="182"/>
    <w:bookmarkEnd w:id="183"/>
    <w:sectPr>
      <w:headerReference r:id="rId9" w:type="default"/>
      <w:footerReference r:id="rId10" w:type="default"/>
      <w:pgMar w:bottom="1134"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BFBFBF"/>
      </w:pBdr>
    </w:pPr>
    <w:r>
      <w:rPr>
        <w:rFonts w:ascii="Calibri" w:hAnsi="Calibri" w:cs="Calibri" w:eastAsia="Calibri"/>
        <w:color w:val="5F6360"/>
        <w:sz w:val="16"/>
      </w:rPr>
      <w:t xml:space="preserve">Fundación CiGob   ·   página </w:t>
    </w:r>
    <w:r>
      <w:rPr>
        <w:rFonts w:ascii="Calibri" w:hAnsi="Calibri" w:cs="Calibri" w:eastAsia="Calibri"/>
        <w:color w:val="5F6360"/>
        <w:sz w:val="16"/>
      </w:rPr>
      <w:fldChar w:fldCharType="begin"/>
      <w:instrText>PAGE</w:instrText>
      <w:fldChar w:fldCharType="end"/>
    </w:r>
    <w:r>
      <w:rPr>
        <w:rFonts w:ascii="Calibri" w:hAnsi="Calibri" w:cs="Calibri" w:eastAsia="Calibri"/>
        <w:color w:val="5F6360"/>
        <w:sz w:val="16"/>
      </w:rPr>
      <w:t xml:space="preserve"> de </w:t>
    </w:r>
    <w:r>
      <w:rPr>
        <w:rFonts w:ascii="Calibri" w:hAnsi="Calibri" w:cs="Calibri" w:eastAsia="Calibri"/>
        <w:color w:val="5F6360"/>
        <w:sz w:val="16"/>
      </w:rPr>
      <w:fldChar w:fldCharType="begin"/>
      <w:instrText>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8" w:color="1D67CD"/>
      </w:pBdr>
    </w:pPr>
    <w:r>
      <w:drawing>
        <wp:inline xmlns:a="http://schemas.openxmlformats.org/drawingml/2006/main" xmlns:pic="http://schemas.openxmlformats.org/drawingml/2006/picture">
          <wp:extent cx="1196883" cy="360000"/>
          <wp:docPr id="1" name="Picture 1"/>
          <wp:cNvGraphicFramePr>
            <a:graphicFrameLocks noChangeAspect="1"/>
          </wp:cNvGraphicFramePr>
          <a:graphic>
            <a:graphicData uri="http://schemas.openxmlformats.org/drawingml/2006/picture">
              <pic:pic>
                <pic:nvPicPr>
                  <pic:cNvPr id="0" name="cigob_logo.png"/>
                  <pic:cNvPicPr/>
                </pic:nvPicPr>
                <pic:blipFill>
                  <a:blip r:embed="rId1"/>
                  <a:stretch>
                    <a:fillRect/>
                  </a:stretch>
                </pic:blipFill>
                <pic:spPr>
                  <a:xfrm>
                    <a:off x="0" y="0"/>
                    <a:ext cx="1196883" cy="360000"/>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b w:val="0"/>
      <w:i w:val="0"/>
      <w:color w:val="333333"/>
      <w:sz w:val="22"/>
    </w:rPr>
    <w:pPr>
      <w:spacing w:after="120" w:before="0"/>
    </w:pPr>
  </w:style>
  <w:style w:styleId="BodyText" w:type="paragraph">
    <w:name w:val="Body Text"/>
    <w:basedOn w:val="Normal"/>
    <w:link w:val="BodyTextChar"/>
    <w:pPr>
      <w:spacing w:after="120" w:before="0"/>
    </w:pPr>
    <w:qFormat/>
    <w:rPr>
      <w:rFonts w:ascii="Calibri" w:cs="Calibri" w:eastAsia="Calibri" w:hAnsi="Calibri"/>
      <w:b w:val="0"/>
      <w:i w:val="0"/>
      <w:color w:val="333333"/>
      <w:sz w:val="22"/>
    </w:rPr>
  </w:style>
  <w:style w:customStyle="1" w:styleId="FirstParagraph" w:type="paragraph">
    <w:name w:val="First Paragraph"/>
    <w:basedOn w:val="BodyText"/>
    <w:next w:val="BodyText"/>
    <w:qFormat/>
    <w:rPr>
      <w:rFonts w:ascii="Calibri" w:cs="Calibri" w:eastAsia="Calibri" w:hAnsi="Calibri"/>
      <w:b w:val="0"/>
      <w:i w:val="0"/>
      <w:color w:val="333333"/>
      <w:sz w:val="22"/>
    </w:rPr>
    <w:pPr>
      <w:spacing w:after="120" w:before="0"/>
    </w:pPr>
  </w:style>
  <w:style w:customStyle="1" w:styleId="Compact" w:type="paragraph">
    <w:name w:val="Compact"/>
    <w:basedOn w:val="BodyText"/>
    <w:qFormat/>
    <w:pPr>
      <w:spacing w:after="40" w:before="0"/>
    </w:pPr>
    <w:rPr>
      <w:rFonts w:ascii="Calibri" w:cs="Calibri" w:eastAsia="Calibri" w:hAnsi="Calibri"/>
      <w:b w:val="0"/>
      <w:i w:val="0"/>
      <w:color w:val="333333"/>
      <w:sz w:val="22"/>
    </w:rPr>
  </w:style>
  <w:style w:styleId="Title" w:type="paragraph">
    <w:name w:val="Title"/>
    <w:basedOn w:val="Normal"/>
    <w:next w:val="BodyText"/>
    <w:qFormat/>
    <w:pPr>
      <w:keepNext/>
      <w:keepLines/>
      <w:spacing w:after="160" w:before="0"/>
      <w:jc w:val="center"/>
    </w:pPr>
    <w:rPr>
      <w:rFonts w:ascii="Calibri" w:asciiTheme="majorHAnsi" w:cs="Calibri" w:cstheme="majorBidi" w:eastAsia="Calibri" w:eastAsiaTheme="majorEastAsia" w:hAnsi="Calibri" w:hAnsiTheme="majorHAnsi"/>
      <w:b/>
      <w:bCs/>
      <w:i w:val="0"/>
      <w:color w:val="0F3D7A"/>
      <w:sz w:val="52"/>
      <w:szCs w:val="36"/>
    </w:rPr>
  </w:style>
  <w:style w:styleId="Subtitle" w:type="paragraph">
    <w:name w:val="Subtitle"/>
    <w:basedOn w:val="Title"/>
    <w:next w:val="BodyText"/>
    <w:qFormat/>
    <w:pPr>
      <w:keepNext/>
      <w:keepLines/>
      <w:spacing w:after="360" w:before="0"/>
      <w:jc w:val="center"/>
    </w:pPr>
    <w:rPr>
      <w:rFonts w:ascii="Calibri" w:cs="Calibri" w:eastAsia="Calibri" w:hAnsi="Calibri"/>
      <w:b w:val="0"/>
      <w:i/>
      <w:color w:val="5F6360"/>
      <w:sz w:val="28"/>
      <w:szCs w:val="30"/>
    </w:rPr>
  </w:style>
  <w:style w:customStyle="1" w:styleId="Author" w:type="paragraph">
    <w:name w:val="Author"/>
    <w:next w:val="BodyText"/>
    <w:qFormat/>
    <w:pPr>
      <w:keepNext/>
      <w:keepLines/>
      <w:jc w:val="center"/>
      <w:spacing w:after="40" w:before="0"/>
    </w:pPr>
    <w:rPr>
      <w:rFonts w:ascii="Calibri" w:cs="Calibri" w:eastAsia="Calibri" w:hAnsi="Calibri"/>
      <w:b w:val="0"/>
      <w:i/>
      <w:color w:val="5F6360"/>
      <w:sz w:val="22"/>
    </w:rPr>
  </w:style>
  <w:style w:styleId="Date" w:type="paragraph">
    <w:name w:val="Date"/>
    <w:next w:val="BodyText"/>
    <w:qFormat/>
    <w:pPr>
      <w:keepNext/>
      <w:keepLines/>
      <w:jc w:val="center"/>
      <w:spacing w:after="360" w:before="0"/>
    </w:pPr>
    <w:rPr>
      <w:rFonts w:ascii="Calibri" w:cs="Calibri" w:eastAsia="Calibri" w:hAnsi="Calibri"/>
      <w:b w:val="0"/>
      <w:i/>
      <w:color w:val="5F6360"/>
      <w:sz w:val="22"/>
    </w:rPr>
  </w:style>
  <w:style w:customStyle="1" w:styleId="Abstract" w:type="paragraph">
    <w:name w:val="Abstract"/>
    <w:basedOn w:val="Normal"/>
    <w:next w:val="BodyText"/>
    <w:qFormat/>
    <w:pPr>
      <w:keepNext/>
      <w:keepLines/>
      <w:spacing w:after="240" w:before="240"/>
    </w:pPr>
    <w:rPr>
      <w:rFonts w:ascii="Calibri" w:cs="Calibri" w:eastAsia="Calibri" w:hAnsi="Calibri"/>
      <w:b w:val="0"/>
      <w:i/>
      <w:color w:val="333333"/>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outlineLvl w:val="0"/>
      <w:pBdr>
        <w:bottom w:color="1D67CD" w:space="4" w:sz="8" w:val="single"/>
      </w:pBdr>
    </w:pPr>
    <w:rPr>
      <w:rFonts w:ascii="Calibri" w:asciiTheme="majorHAnsi" w:cs="Calibri" w:cstheme="majorBidi" w:eastAsia="Calibri" w:eastAsiaTheme="majorEastAsia" w:hAnsi="Calibri" w:hAnsiTheme="majorHAnsi"/>
      <w:b/>
      <w:bCs/>
      <w:i w:val="0"/>
      <w:color w:val="1D67CD"/>
      <w:sz w:val="36"/>
      <w:szCs w:val="32"/>
    </w:rPr>
  </w:style>
  <w:style w:styleId="Heading2" w:type="paragraph">
    <w:name w:val="Heading 2"/>
    <w:basedOn w:val="Normal"/>
    <w:next w:val="BodyText"/>
    <w:uiPriority w:val="9"/>
    <w:unhideWhenUsed/>
    <w:qFormat/>
    <w:pPr>
      <w:keepNext/>
      <w:keepLines/>
      <w:spacing w:after="120" w:before="360"/>
      <w:outlineLvl w:val="1"/>
    </w:pPr>
    <w:rPr>
      <w:rFonts w:ascii="Calibri" w:asciiTheme="majorHAnsi" w:cs="Calibri" w:cstheme="majorBidi" w:eastAsia="Calibri" w:eastAsiaTheme="majorEastAsia" w:hAnsi="Calibri" w:hAnsiTheme="majorHAnsi"/>
      <w:b/>
      <w:bCs/>
      <w:i w:val="0"/>
      <w:color w:val="1D67CD"/>
      <w:sz w:val="28"/>
      <w:szCs w:val="28"/>
    </w:rPr>
  </w:style>
  <w:style w:styleId="Heading3" w:type="paragraph">
    <w:name w:val="Heading 3"/>
    <w:basedOn w:val="Normal"/>
    <w:next w:val="BodyText"/>
    <w:uiPriority w:val="9"/>
    <w:unhideWhenUsed/>
    <w:qFormat/>
    <w:pPr>
      <w:keepNext/>
      <w:keepLines/>
      <w:spacing w:after="80" w:before="240"/>
      <w:outlineLvl w:val="2"/>
    </w:pPr>
    <w:rPr>
      <w:rFonts w:ascii="Calibri" w:asciiTheme="majorHAnsi" w:cs="Calibri" w:cstheme="majorBidi" w:eastAsia="Calibri" w:eastAsiaTheme="majorEastAsia" w:hAnsi="Calibri" w:hAnsiTheme="majorHAnsi"/>
      <w:b/>
      <w:bCs/>
      <w:i w:val="0"/>
      <w:color w:val="0F3D7A"/>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Calibri" w:cstheme="majorBidi" w:eastAsia="Calibri" w:eastAsiaTheme="majorEastAsia" w:hAnsi="Calibri" w:hAnsiTheme="majorHAnsi"/>
      <w:i/>
      <w:b/>
      <w:bCs/>
      <w:color w:val="333333"/>
      <w:sz w:val="22"/>
      <w:szCs w:val="24"/>
    </w:rPr>
  </w:style>
  <w:style w:styleId="Heading5" w:type="paragraph">
    <w:name w:val="Heading 5"/>
    <w:basedOn w:val="Normal"/>
    <w:next w:val="BodyText"/>
    <w:uiPriority w:val="9"/>
    <w:unhideWhenUsed/>
    <w:qFormat/>
    <w:pPr>
      <w:keepNext/>
      <w:keepLines/>
      <w:spacing w:after="60" w:before="160"/>
      <w:outlineLvl w:val="4"/>
    </w:pPr>
    <w:rPr>
      <w:rFonts w:ascii="Calibri" w:asciiTheme="majorHAnsi" w:cs="Calibri" w:cstheme="majorBidi" w:eastAsia="Calibri" w:eastAsiaTheme="majorEastAsia" w:hAnsi="Calibri" w:hAnsiTheme="majorHAnsi"/>
      <w:b/>
      <w:i w:val="0"/>
      <w:iCs/>
      <w:color w:val="333333"/>
      <w:sz w:val="22"/>
      <w:szCs w:val="24"/>
    </w:rPr>
  </w:style>
  <w:style w:styleId="Heading6" w:type="paragraph">
    <w:name w:val="Heading 6"/>
    <w:basedOn w:val="Normal"/>
    <w:next w:val="BodyText"/>
    <w:uiPriority w:val="9"/>
    <w:unhideWhenUsed/>
    <w:qFormat/>
    <w:pPr>
      <w:keepNext/>
      <w:keepLines/>
      <w:spacing w:after="60" w:before="160"/>
      <w:outlineLvl w:val="5"/>
    </w:pPr>
    <w:rPr>
      <w:rFonts w:ascii="Calibri" w:asciiTheme="majorHAnsi" w:cs="Calibri" w:cstheme="majorBidi" w:eastAsia="Calibri" w:eastAsiaTheme="majorEastAsia" w:hAnsi="Calibri" w:hAnsiTheme="majorHAnsi"/>
      <w:b w:val="0"/>
      <w:i/>
      <w:color w:val="5F6360"/>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60"/>
      <w:ind w:firstLine="0" w:left="480" w:right="480"/>
    </w:pPr>
    <w:rPr>
      <w:rFonts w:ascii="Calibri" w:cs="Calibri" w:eastAsia="Calibri" w:hAnsi="Calibri"/>
      <w:b w:val="0"/>
      <w:i/>
      <w:color w:val="5F6360"/>
      <w:sz w:val="22"/>
    </w:rPr>
  </w:style>
  <w:style w:styleId="FootnoteText" w:type="paragraph">
    <w:name w:val="Footnote Text"/>
    <w:basedOn w:val="Normal"/>
    <w:next w:val="FootnoteText"/>
    <w:uiPriority w:val="9"/>
    <w:unhideWhenUsed/>
    <w:qFormat/>
    <w:rPr>
      <w:rFonts w:ascii="Calibri" w:cs="Calibri" w:eastAsia="Calibri" w:hAnsi="Calibri"/>
      <w:b w:val="0"/>
      <w:i w:val="0"/>
      <w:color w:val="333333"/>
      <w:sz w:val="18"/>
    </w:rPr>
    <w:pPr>
      <w:spacing w:after="40" w:before="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FBFBF" w:sz="4" w:val="single"/>
        <w:left w:color="BFBFBF" w:sz="4" w:val="single"/>
        <w:bottom w:color="BFBFBF" w:sz="4" w:val="single"/>
        <w:right w:color="BFBFBF" w:sz="4" w:val="single"/>
        <w:insideH w:color="BFBFBF" w:sz="4" w:val="single"/>
        <w:insideV w:color="BFBFBF"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20"/>
    </w:pPr>
    <w:rPr>
      <w:rFonts w:ascii="Calibri" w:cs="Calibri" w:eastAsia="Calibri" w:hAnsi="Calibri"/>
      <w:b/>
      <w:i w:val="0"/>
      <w:color w:val="0F3D7A"/>
      <w:sz w:val="22"/>
    </w:rPr>
  </w:style>
  <w:style w:customStyle="1" w:styleId="Definition" w:type="paragraph">
    <w:name w:val="Definition"/>
    <w:basedOn w:val="Normal"/>
    <w:rPr>
      <w:rFonts w:ascii="Calibri" w:cs="Calibri" w:eastAsia="Calibri" w:hAnsi="Calibri"/>
      <w:b w:val="0"/>
      <w:i w:val="0"/>
      <w:color w:val="333333"/>
      <w:sz w:val="22"/>
    </w:rPr>
    <w:pPr>
      <w:spacing w:after="120" w:before="0"/>
    </w:pPr>
  </w:style>
  <w:style w:styleId="Caption" w:type="paragraph">
    <w:name w:val="Caption"/>
    <w:basedOn w:val="Normal"/>
    <w:link w:val="BodyTextChar"/>
    <w:pPr>
      <w:spacing w:after="160" w:before="40"/>
    </w:pPr>
    <w:rPr>
      <w:rFonts w:ascii="Calibri" w:cs="Calibri" w:eastAsia="Calibri" w:hAnsi="Calibri"/>
      <w:b w:val="0"/>
      <w:i/>
      <w:color w:val="5F6360"/>
      <w:sz w:val="18"/>
    </w:rPr>
  </w:style>
  <w:style w:customStyle="1" w:styleId="TableCaption" w:type="paragraph">
    <w:name w:val="Table Caption"/>
    <w:basedOn w:val="Caption"/>
    <w:pPr>
      <w:keepNext/>
      <w:spacing w:after="160" w:before="40"/>
    </w:pPr>
    <w:rPr>
      <w:rFonts w:ascii="Calibri" w:cs="Calibri" w:eastAsia="Calibri" w:hAnsi="Calibri"/>
      <w:b w:val="0"/>
      <w:i/>
      <w:color w:val="5F6360"/>
      <w:sz w:val="18"/>
    </w:rPr>
  </w:style>
  <w:style w:customStyle="1" w:styleId="ImageCaption" w:type="paragraph">
    <w:name w:val="Image Caption"/>
    <w:basedOn w:val="Caption"/>
    <w:rPr>
      <w:rFonts w:ascii="Calibri" w:cs="Calibri" w:eastAsia="Calibri" w:hAnsi="Calibri"/>
      <w:b w:val="0"/>
      <w:i/>
      <w:color w:val="5F6360"/>
      <w:sz w:val="18"/>
    </w:rPr>
    <w:pPr>
      <w:spacing w:after="160" w:before="40"/>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3D7A"/>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67C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Fichas metodológicas · Cinturón Vida cotidiana</dc:title>
  <dc:creator>Fundación CIGOB</dc:creator>
  <cp:keywords/>
  <dcterms:created xsi:type="dcterms:W3CDTF">2026-08-09T18:48:03Z</dcterms:created>
  <dcterms:modified xsi:type="dcterms:W3CDTF">2026-08-09T18:48:03Z</dcterms:modified>
  <dc:description>fichas-cigob: estilado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Informe de Coyuntura · Capa de semáforo (4 colores)</vt:lpwstr>
  </property>
</Properties>
</file>