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9114" w14:textId="77777777" w:rsidR="00AE18AF" w:rsidRDefault="00000000">
      <w:pPr>
        <w:spacing w:after="40"/>
        <w:jc w:val="center"/>
      </w:pPr>
      <w:r>
        <w:rPr>
          <w:b/>
          <w:bCs/>
          <w:color w:val="1F4E78"/>
        </w:rPr>
        <w:t>FUNDACIÓN CIGOB</w:t>
      </w:r>
    </w:p>
    <w:p w14:paraId="5CC09AB5" w14:textId="77777777" w:rsidR="00AE18AF" w:rsidRDefault="00000000">
      <w:pPr>
        <w:spacing w:after="240"/>
        <w:jc w:val="center"/>
      </w:pPr>
      <w:r>
        <w:rPr>
          <w:b/>
          <w:bCs/>
          <w:color w:val="1F4E78"/>
          <w:sz w:val="26"/>
          <w:szCs w:val="26"/>
        </w:rPr>
        <w:t>CATÁLOGO DE FUENTES DE INFORMACIÓN</w:t>
      </w:r>
    </w:p>
    <w:p w14:paraId="63FC07EA" w14:textId="77777777" w:rsidR="00AE18AF" w:rsidRDefault="00000000">
      <w:pPr>
        <w:spacing w:after="240"/>
        <w:jc w:val="center"/>
      </w:pPr>
      <w:r>
        <w:rPr>
          <w:color w:val="595959"/>
        </w:rPr>
        <w:t>7 Indicadores para Fórmula Paramétrica de Macroeconomía (ITCM)</w:t>
      </w:r>
    </w:p>
    <w:p w14:paraId="56C88701" w14:textId="77777777" w:rsidR="00AE18AF" w:rsidRDefault="00000000">
      <w:pPr>
        <w:pStyle w:val="Ttulo1"/>
      </w:pPr>
      <w:r>
        <w:t>Introducción</w:t>
      </w:r>
    </w:p>
    <w:p w14:paraId="65F019E3" w14:textId="77777777" w:rsidR="00AE18AF" w:rsidRDefault="00000000">
      <w:pPr>
        <w:spacing w:after="240" w:line="360" w:lineRule="auto"/>
      </w:pPr>
      <w:r>
        <w:t>Este catálogo identifica para CADA UNO de los 7 indicadores de la fórmula paramétrica de macroeconomía ITCM:  1. ORGANISMO responsable (quién produce el dato) 2. PERIODICIDAD (cuándo se publica) 3. DATOS PÚBLICOS (dónde acceder) 4. CONFIABILIDAD (qué tan confiable es) 5. ESCALA DE PUNTAJE (cómo se convierte a puntaje 0-100) 6. APLICACIÓN MAYO 2026 (valor actual)</w:t>
      </w:r>
    </w:p>
    <w:p w14:paraId="471E0237" w14:textId="77777777" w:rsidR="00AE18AF" w:rsidRDefault="00000000">
      <w:pPr>
        <w:pStyle w:val="Ttulo1"/>
      </w:pPr>
      <w:r>
        <w:t>INDICADOR 1: INFLACIÓN MENSUAL (IPC) - P_IPC</w:t>
      </w:r>
    </w:p>
    <w:p w14:paraId="6547CF45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Estabilidad Monetaria-Inflacionaria (35% total, 50% de D1 = 17,5% del ITCM)</w:t>
      </w:r>
    </w:p>
    <w:p w14:paraId="0EE77B5C" w14:textId="77777777" w:rsidR="00AE18AF" w:rsidRDefault="00000000">
      <w:pPr>
        <w:spacing w:after="100" w:line="360" w:lineRule="auto"/>
      </w:pPr>
      <w:r>
        <w:rPr>
          <w:b/>
          <w:bCs/>
        </w:rPr>
        <w:t>DEFINICIÓN:</w:t>
      </w:r>
      <w:r>
        <w:t xml:space="preserve"> Variación mensual del Índice de Precios al Consumidor</w:t>
      </w:r>
    </w:p>
    <w:p w14:paraId="61744479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INDEC (Instituto Nacional de Estadística y Censos) </w:t>
      </w:r>
      <w:proofErr w:type="spellStart"/>
      <w:r>
        <w:t>Organo</w:t>
      </w:r>
      <w:proofErr w:type="spellEnd"/>
      <w:r>
        <w:t xml:space="preserve"> dependiente de Ministerio de Economía de Argentina</w:t>
      </w:r>
    </w:p>
    <w:p w14:paraId="4473BDCF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Mensual. Se publica entre 8-12 días del mes siguiente</w:t>
      </w:r>
    </w:p>
    <w:p w14:paraId="27457E99" w14:textId="77777777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www.indec.gob.ar (Buscar "IPC") Alternos: Twitter @IndecArgentina, Trading </w:t>
      </w:r>
      <w:proofErr w:type="spellStart"/>
      <w:r>
        <w:t>Economics</w:t>
      </w:r>
      <w:proofErr w:type="spellEnd"/>
      <w:r>
        <w:t xml:space="preserve">, Focus </w:t>
      </w:r>
      <w:proofErr w:type="spellStart"/>
      <w:r>
        <w:t>Economics</w:t>
      </w:r>
      <w:proofErr w:type="spellEnd"/>
    </w:p>
    <w:p w14:paraId="3016899A" w14:textId="77777777" w:rsidR="00AE18AF" w:rsidRDefault="00000000">
      <w:pPr>
        <w:spacing w:after="100" w:line="360" w:lineRule="auto"/>
      </w:pPr>
      <w:r>
        <w:rPr>
          <w:b/>
          <w:bCs/>
        </w:rPr>
        <w:t>ESCALA DE PUNTAJE (EXACTA DEL DOCUMENTO):</w:t>
      </w:r>
      <w:r>
        <w:t xml:space="preserve"> IPC ≤ 1,0% → 100/100 (control óptimo) IPC 1,0-2,0% → 85/100 (control efectivo) IPC 2,0-3,0% → 65/100 (control moderado, riesgo de aceleración) IPC 3,0-5,0% → 40/100 (control débil) IPC &gt; 5,0% → 10/100 (pérdida de control)</w:t>
      </w:r>
    </w:p>
    <w:p w14:paraId="6BA9A080" w14:textId="77777777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2,58% Puntaje: 65/100 (control moderado, ligeramente arriba de meta 1,5-2%)</w:t>
      </w:r>
    </w:p>
    <w:p w14:paraId="657F3A3F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ALTA actual, pero con CAVEATS históricos: • Período 2007-2015: INDEC fue acusado de manipular (subestimar inflación) • Desde 2016: Mejoró confiabilidad con reforma metodológica • ACTUAL (2026): Considerado confiable • Recomendación: Validar con fuentes privadas</w:t>
      </w:r>
    </w:p>
    <w:p w14:paraId="5CEA645E" w14:textId="77777777" w:rsidR="00AE18AF" w:rsidRDefault="00000000">
      <w:pPr>
        <w:pStyle w:val="Ttulo1"/>
      </w:pPr>
      <w:r>
        <w:t>INDICADOR 2: EXPECTATIVAS INFLACIONARIAS REM - P_EXP</w:t>
      </w:r>
    </w:p>
    <w:p w14:paraId="2719500E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Estabilidad Monetaria-Inflacionaria (35% total, 50% de D1 = 17,5% del ITCM)</w:t>
      </w:r>
    </w:p>
    <w:p w14:paraId="1120DDC4" w14:textId="77777777" w:rsidR="00AE18AF" w:rsidRDefault="00000000">
      <w:pPr>
        <w:spacing w:after="100" w:line="360" w:lineRule="auto"/>
      </w:pPr>
      <w:r>
        <w:rPr>
          <w:b/>
          <w:bCs/>
        </w:rPr>
        <w:lastRenderedPageBreak/>
        <w:t>DEFINICIÓN:</w:t>
      </w:r>
      <w:r>
        <w:t xml:space="preserve"> Expectativas de inflación a 12 meses del Relevamiento de Expectativas de Mercado</w:t>
      </w:r>
    </w:p>
    <w:p w14:paraId="34E84FEB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BCRA (Banco Central de la República Argentina) Dirección de Análisis de Política Monetaria</w:t>
      </w:r>
    </w:p>
    <w:p w14:paraId="4F4EA830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Mensual. Se publica generalmente primeros 10 días del mes</w:t>
      </w:r>
    </w:p>
    <w:p w14:paraId="17970DA9" w14:textId="77777777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www.bcra.gob.ar (Estadísticas → "REM" → Expectativas de Mercado) Alternos: Twitter @BancoCentralAR, FIEL (Fundación de Investigaciones Económicas)</w:t>
      </w:r>
    </w:p>
    <w:p w14:paraId="18F3C62B" w14:textId="06975F26" w:rsidR="00AE18AF" w:rsidRDefault="00000000">
      <w:pPr>
        <w:spacing w:after="100" w:line="360" w:lineRule="auto"/>
      </w:pPr>
      <w:r>
        <w:rPr>
          <w:b/>
          <w:bCs/>
        </w:rPr>
        <w:t>ESCALA DE PUNTAJE (EXACTA DEL DOCUMENTO):</w:t>
      </w:r>
      <w:r>
        <w:t xml:space="preserve"> </w:t>
      </w:r>
      <w:proofErr w:type="spellStart"/>
      <w:r>
        <w:t>Exp</w:t>
      </w:r>
      <w:proofErr w:type="spellEnd"/>
      <w:r>
        <w:t xml:space="preserve"> ≤ 10% → 100/100 (máxima credibilidad) </w:t>
      </w:r>
      <w:proofErr w:type="spellStart"/>
      <w:r>
        <w:t>Exp</w:t>
      </w:r>
      <w:proofErr w:type="spellEnd"/>
      <w:r>
        <w:t xml:space="preserve"> 10-15% → 85/100 (buena credibilidad) </w:t>
      </w:r>
      <w:proofErr w:type="spellStart"/>
      <w:r>
        <w:t>Exp</w:t>
      </w:r>
      <w:proofErr w:type="spellEnd"/>
      <w:r>
        <w:t xml:space="preserve"> 15-20% → 60/100 (credibilidad moderada) </w:t>
      </w:r>
      <w:proofErr w:type="spellStart"/>
      <w:r>
        <w:t>Exp</w:t>
      </w:r>
      <w:proofErr w:type="spellEnd"/>
      <w:r>
        <w:t xml:space="preserve"> 20-30% → 35/100 (baja credibilidad, desconfianza) </w:t>
      </w:r>
      <w:proofErr w:type="spellStart"/>
      <w:r>
        <w:t>Exp</w:t>
      </w:r>
      <w:proofErr w:type="spellEnd"/>
      <w:r>
        <w:t xml:space="preserve"> &gt; 30% → 10/100 (desconfianza severa)</w:t>
      </w:r>
      <w:r w:rsidR="006D14DB">
        <w:t xml:space="preserve"> </w:t>
      </w:r>
    </w:p>
    <w:p w14:paraId="7BD4D769" w14:textId="785C3288" w:rsidR="002C618E" w:rsidRDefault="002C618E">
      <w:pPr>
        <w:spacing w:after="100" w:line="360" w:lineRule="auto"/>
      </w:pPr>
      <w:r w:rsidRPr="002C618E">
        <w:rPr>
          <w:highlight w:val="yellow"/>
        </w:rPr>
        <w:t>Calcular la raíz 12 del valor del rem, si estas es menor al 1% es máxima credibilidad, si esta entre el 1 y el 2 % credibilidad moderada , si esta entre el 3 y el 5 % desconfianza y arriba del 5% desconfianza severa</w:t>
      </w:r>
    </w:p>
    <w:p w14:paraId="5B0614D2" w14:textId="77777777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24,2% Puntaje: 35/100 (baja credibilidad, desconfianza en sostenibilidad)</w:t>
      </w:r>
    </w:p>
    <w:p w14:paraId="135994C8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ALTA: • Consenso de analistas privados y bancos • Refleja creencias de mercado • Se publica consistentemente • Indicador de alerta temprana crítico</w:t>
      </w:r>
    </w:p>
    <w:p w14:paraId="6EAD83FC" w14:textId="77777777" w:rsidR="00AE18AF" w:rsidRDefault="00000000">
      <w:pPr>
        <w:pStyle w:val="Ttulo1"/>
      </w:pPr>
      <w:r>
        <w:t>INDICADOR 3: RECAUDACIÓN TRIBUTARIA - P_REC</w:t>
      </w:r>
    </w:p>
    <w:p w14:paraId="11AD57C1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Viabilidad Fiscal-Comercial (30% total, 60% de D2 = 18% del ITCM)</w:t>
      </w:r>
    </w:p>
    <w:p w14:paraId="420C4EAC" w14:textId="7E2901B2" w:rsidR="00AE18AF" w:rsidRDefault="00000000">
      <w:pPr>
        <w:spacing w:after="100" w:line="360" w:lineRule="auto"/>
      </w:pPr>
      <w:r>
        <w:rPr>
          <w:b/>
          <w:bCs/>
        </w:rPr>
        <w:t>DEFINICIÓN:</w:t>
      </w:r>
      <w:r>
        <w:t xml:space="preserve"> Variación </w:t>
      </w:r>
      <w:r w:rsidR="00236677">
        <w:t xml:space="preserve">anual </w:t>
      </w:r>
      <w:r>
        <w:t xml:space="preserve"> (</w:t>
      </w:r>
      <w:r w:rsidR="00236677">
        <w:t>variación respecto al mismo mes del año anterior</w:t>
      </w:r>
      <w:r>
        <w:t>) de ingresos tributarios totales</w:t>
      </w:r>
    </w:p>
    <w:p w14:paraId="6D32E1DE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AFIP (Administración Federal de Ingresos Públicos) Dependencia del Ministerio de Economía</w:t>
      </w:r>
    </w:p>
    <w:p w14:paraId="540FE321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Mensual. Se publica 15-20 días del mes siguiente</w:t>
      </w:r>
    </w:p>
    <w:p w14:paraId="00894EF8" w14:textId="2C4FB0F6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</w:t>
      </w:r>
      <w:r w:rsidR="00236677">
        <w:t>www.afip.gob.ar (Estadísticas → "Recaudación Tributaria</w:t>
      </w:r>
      <w:r w:rsidR="00236677">
        <w:t xml:space="preserve"> </w:t>
      </w:r>
      <w:r>
        <w:t xml:space="preserve">") </w:t>
      </w:r>
    </w:p>
    <w:p w14:paraId="2EA73BBD" w14:textId="070FF787" w:rsidR="00AE18AF" w:rsidRDefault="00000000">
      <w:pPr>
        <w:spacing w:after="100" w:line="360" w:lineRule="auto"/>
      </w:pPr>
      <w:r w:rsidRPr="00236677">
        <w:rPr>
          <w:b/>
          <w:bCs/>
          <w:highlight w:val="yellow"/>
        </w:rPr>
        <w:t>ESCALA DE PUNTAJE (EXACTA DEL DOCUMENTO):</w:t>
      </w:r>
      <w:r w:rsidRPr="00236677">
        <w:rPr>
          <w:highlight w:val="yellow"/>
        </w:rPr>
        <w:t xml:space="preserve"> Variación &gt; 10% </w:t>
      </w:r>
      <w:proofErr w:type="spellStart"/>
      <w:r w:rsidR="00236677" w:rsidRPr="00236677">
        <w:rPr>
          <w:highlight w:val="yellow"/>
        </w:rPr>
        <w:t>a</w:t>
      </w:r>
      <w:r w:rsidRPr="00236677">
        <w:rPr>
          <w:highlight w:val="yellow"/>
        </w:rPr>
        <w:t>/</w:t>
      </w:r>
      <w:r w:rsidR="00236677" w:rsidRPr="00236677">
        <w:rPr>
          <w:highlight w:val="yellow"/>
        </w:rPr>
        <w:t>a</w:t>
      </w:r>
      <w:proofErr w:type="spellEnd"/>
      <w:r w:rsidRPr="00236677">
        <w:rPr>
          <w:highlight w:val="yellow"/>
        </w:rPr>
        <w:t xml:space="preserve"> → 100/100 (recuperación fuerte) Variación 5-10% → 80/100 (recuperación moderada) </w:t>
      </w:r>
      <w:r w:rsidRPr="00236677">
        <w:rPr>
          <w:highlight w:val="yellow"/>
        </w:rPr>
        <w:lastRenderedPageBreak/>
        <w:t>Variación 0-5% → 60/100 (estable) Variación -5 a 0% → 40/100 (caída leve) Variación &lt; -5% → 10/100 (caída fuerte, crisis fiscal)</w:t>
      </w:r>
      <w:r w:rsidR="00236677" w:rsidRPr="00236677">
        <w:rPr>
          <w:highlight w:val="yellow"/>
        </w:rPr>
        <w:br/>
        <w:t xml:space="preserve">las variaciones anuales deben ser corregidas por inflación de acuerdo al </w:t>
      </w:r>
      <w:proofErr w:type="spellStart"/>
      <w:r w:rsidR="00236677" w:rsidRPr="00236677">
        <w:rPr>
          <w:highlight w:val="yellow"/>
        </w:rPr>
        <w:t>iPC</w:t>
      </w:r>
      <w:proofErr w:type="spellEnd"/>
      <w:r w:rsidR="00236677" w:rsidRPr="00236677">
        <w:rPr>
          <w:highlight w:val="yellow"/>
        </w:rPr>
        <w:t xml:space="preserve"> publicado por el INDEC para el mismo periodo</w:t>
      </w:r>
    </w:p>
    <w:p w14:paraId="60AB8B9D" w14:textId="77777777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8,27% m/m Puntaje: 75/100 (recaudación en ruta ascendente, recuperación moderada)</w:t>
      </w:r>
    </w:p>
    <w:p w14:paraId="3017F617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MUY ALTA: • Dato contable de AFIP • Se publica oficialmente • Verificable contra depósitos en Tesorería • Variable crítica para política fiscal</w:t>
      </w:r>
    </w:p>
    <w:p w14:paraId="2248AFBE" w14:textId="77777777" w:rsidR="00AE18AF" w:rsidRDefault="00000000">
      <w:pPr>
        <w:pStyle w:val="Ttulo1"/>
      </w:pPr>
      <w:r>
        <w:t>INDICADOR 4: SALDO COMERCIAL - P_COM</w:t>
      </w:r>
    </w:p>
    <w:p w14:paraId="598AC844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Viabilidad Fiscal-Comercial (30% total, 40% de D2 = 12% del ITCM)</w:t>
      </w:r>
    </w:p>
    <w:p w14:paraId="3C31B40B" w14:textId="68FA1C3B" w:rsidR="00AE18AF" w:rsidRDefault="00000000">
      <w:pPr>
        <w:spacing w:after="100" w:line="360" w:lineRule="auto"/>
      </w:pPr>
      <w:r>
        <w:rPr>
          <w:b/>
          <w:bCs/>
        </w:rPr>
        <w:t>DEFINICIÓN:</w:t>
      </w:r>
      <w:r>
        <w:t xml:space="preserve"> Diferencia entre exportaciones e importaciones últimos 12 meses acumulados (USD millones)</w:t>
      </w:r>
      <w:r w:rsidR="0031177A">
        <w:t xml:space="preserve"> </w:t>
      </w:r>
      <w:r w:rsidR="0031177A" w:rsidRPr="0031177A">
        <w:rPr>
          <w:highlight w:val="yellow"/>
        </w:rPr>
        <w:t>siempre que al diferencia no este originada por la caída de las importaciones en mayor medida que el crecimiento de las exportaciones</w:t>
      </w:r>
    </w:p>
    <w:p w14:paraId="59D4CD95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INDEC (Instituto Nacional de Estadística y Censos) Sección Estadísticas de Comercio Exterior</w:t>
      </w:r>
    </w:p>
    <w:p w14:paraId="53DFA0D3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Mensual. Se publica 15-20 días del mes siguiente Cuenta 12 meses móviles</w:t>
      </w:r>
    </w:p>
    <w:p w14:paraId="4529945F" w14:textId="77777777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www.indec.gob.ar (Comercio Exterior) Alternos: BCRA (Balanza de Pagos), OEC (</w:t>
      </w:r>
      <w:proofErr w:type="spellStart"/>
      <w:r>
        <w:t>Observatory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)</w:t>
      </w:r>
    </w:p>
    <w:p w14:paraId="672DD28E" w14:textId="77777777" w:rsidR="00AE18AF" w:rsidRDefault="00000000">
      <w:pPr>
        <w:spacing w:after="100" w:line="360" w:lineRule="auto"/>
      </w:pPr>
      <w:r>
        <w:rPr>
          <w:b/>
          <w:bCs/>
        </w:rPr>
        <w:t>ESCALA DE PUNTAJE (EXACTA DEL DOCUMENTO):</w:t>
      </w:r>
      <w:r>
        <w:t xml:space="preserve"> Superávit &gt; USD 15.000M → 85/100 (sólida generación de divisas) Superávit USD 10-15.000M → 75/100 (buena posición) Superávit USD 5-10.000M → 60/100 (moderado) Equilibrio ±USD 5.000M → 50/100 Déficit USD 5-15.000M → 30/100 (presión de divisas) Déficit &gt; USD 15.000M → 10/100 (crisis de divisas)</w:t>
      </w:r>
    </w:p>
    <w:p w14:paraId="63F38DD1" w14:textId="77777777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USD 17.125 millones Puntaje: 60/100 </w:t>
      </w:r>
      <w:r w:rsidRPr="006D14DB">
        <w:rPr>
          <w:highlight w:val="yellow"/>
        </w:rPr>
        <w:t>(ajustado por contracción económica - superávit por reducción de importaciones, no expansión de exportaciones</w:t>
      </w:r>
      <w:r>
        <w:t>)</w:t>
      </w:r>
    </w:p>
    <w:p w14:paraId="321DB2D0" w14:textId="77777777" w:rsidR="0031177A" w:rsidRDefault="0031177A">
      <w:pPr>
        <w:spacing w:after="100" w:line="360" w:lineRule="auto"/>
      </w:pPr>
    </w:p>
    <w:p w14:paraId="11946AE9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MUY ALTA: • Basado en datos aduanales (registros obligatorios) • Se publica en múltiples fuentes • Variable crítica para balanza de pagos</w:t>
      </w:r>
    </w:p>
    <w:p w14:paraId="05D63A46" w14:textId="77777777" w:rsidR="00AE18AF" w:rsidRDefault="00000000">
      <w:pPr>
        <w:pStyle w:val="Ttulo1"/>
      </w:pPr>
      <w:r>
        <w:lastRenderedPageBreak/>
        <w:t>INDICADOR 5: RESERVAS INTERNACIONALES BCRA - P_RES</w:t>
      </w:r>
    </w:p>
    <w:p w14:paraId="068649CD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Capacidad de Financiamiento (20% total, 50% de D3 = 10% del ITCM)</w:t>
      </w:r>
    </w:p>
    <w:p w14:paraId="68CA040E" w14:textId="4EC8FC03" w:rsidR="00AE18AF" w:rsidRDefault="00000000">
      <w:pPr>
        <w:spacing w:after="100" w:line="360" w:lineRule="auto"/>
      </w:pPr>
      <w:r>
        <w:rPr>
          <w:b/>
          <w:bCs/>
        </w:rPr>
        <w:t>DEFINICIÓN:</w:t>
      </w:r>
      <w:r>
        <w:t xml:space="preserve"> Reservas </w:t>
      </w:r>
      <w:r w:rsidR="00236677">
        <w:t xml:space="preserve">netas </w:t>
      </w:r>
      <w:r>
        <w:t>internacionales del Banco Central (USD millones)</w:t>
      </w:r>
    </w:p>
    <w:p w14:paraId="290A6AF9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BCRA (Banco Central de la República Argentina)</w:t>
      </w:r>
    </w:p>
    <w:p w14:paraId="0FB69CCA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Diaria. Se publica al cierre de cada día hábil Para ITCM: usar dato al cierre del mes</w:t>
      </w:r>
    </w:p>
    <w:p w14:paraId="6BA9AC0D" w14:textId="77777777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www.bcra.gob.ar (Estadísticas → "Reservas Internacionales" - datos diarios) Alternos: Twitter @BancoCentralAR (publica reservas diarias), FMI, IFS</w:t>
      </w:r>
    </w:p>
    <w:p w14:paraId="673A512D" w14:textId="01FB61DF" w:rsidR="00AE18AF" w:rsidRDefault="00000000">
      <w:pPr>
        <w:spacing w:after="100" w:line="360" w:lineRule="auto"/>
      </w:pPr>
      <w:r w:rsidRPr="00236677">
        <w:rPr>
          <w:b/>
          <w:bCs/>
          <w:highlight w:val="yellow"/>
        </w:rPr>
        <w:t>ESCALA DE PUNTAJE (EXACTA DEL DOCUMENTO):</w:t>
      </w:r>
      <w:r w:rsidRPr="00236677">
        <w:rPr>
          <w:highlight w:val="yellow"/>
        </w:rPr>
        <w:t xml:space="preserve"> Reservas </w:t>
      </w:r>
      <w:r w:rsidR="00236677" w:rsidRPr="00236677">
        <w:rPr>
          <w:highlight w:val="yellow"/>
        </w:rPr>
        <w:t xml:space="preserve"> netas</w:t>
      </w:r>
      <w:r w:rsidRPr="00236677">
        <w:rPr>
          <w:highlight w:val="yellow"/>
        </w:rPr>
        <w:t xml:space="preserve">&gt; USD </w:t>
      </w:r>
      <w:r w:rsidR="00236677" w:rsidRPr="00236677">
        <w:rPr>
          <w:highlight w:val="yellow"/>
        </w:rPr>
        <w:t>20</w:t>
      </w:r>
      <w:r w:rsidRPr="00236677">
        <w:rPr>
          <w:highlight w:val="yellow"/>
        </w:rPr>
        <w:t xml:space="preserve">.000M → 100/100 (posición muy sólida) Reservas USD </w:t>
      </w:r>
      <w:r w:rsidR="00236677" w:rsidRPr="00236677">
        <w:rPr>
          <w:highlight w:val="yellow"/>
        </w:rPr>
        <w:t xml:space="preserve">15 </w:t>
      </w:r>
      <w:r w:rsidRPr="00236677">
        <w:rPr>
          <w:highlight w:val="yellow"/>
        </w:rPr>
        <w:t>-</w:t>
      </w:r>
      <w:r w:rsidR="00236677" w:rsidRPr="00236677">
        <w:rPr>
          <w:highlight w:val="yellow"/>
        </w:rPr>
        <w:t>2</w:t>
      </w:r>
      <w:r w:rsidRPr="00236677">
        <w:rPr>
          <w:highlight w:val="yellow"/>
        </w:rPr>
        <w:t xml:space="preserve">0.000M → 85/100 (sólida) Reservas USD </w:t>
      </w:r>
      <w:r w:rsidR="00236677" w:rsidRPr="00236677">
        <w:rPr>
          <w:highlight w:val="yellow"/>
        </w:rPr>
        <w:t>10</w:t>
      </w:r>
      <w:r w:rsidRPr="00236677">
        <w:rPr>
          <w:highlight w:val="yellow"/>
        </w:rPr>
        <w:t>-</w:t>
      </w:r>
      <w:r w:rsidR="00236677" w:rsidRPr="00236677">
        <w:rPr>
          <w:highlight w:val="yellow"/>
        </w:rPr>
        <w:t>15</w:t>
      </w:r>
      <w:r w:rsidRPr="00236677">
        <w:rPr>
          <w:highlight w:val="yellow"/>
        </w:rPr>
        <w:t xml:space="preserve">.000M → 70/100 (adecuada) Reservas USD </w:t>
      </w:r>
      <w:r w:rsidR="00236677" w:rsidRPr="00236677">
        <w:rPr>
          <w:highlight w:val="yellow"/>
        </w:rPr>
        <w:t>5</w:t>
      </w:r>
      <w:r w:rsidRPr="00236677">
        <w:rPr>
          <w:highlight w:val="yellow"/>
        </w:rPr>
        <w:t>-</w:t>
      </w:r>
      <w:r w:rsidR="00236677" w:rsidRPr="00236677">
        <w:rPr>
          <w:highlight w:val="yellow"/>
        </w:rPr>
        <w:t>10</w:t>
      </w:r>
      <w:r w:rsidRPr="00236677">
        <w:rPr>
          <w:highlight w:val="yellow"/>
        </w:rPr>
        <w:t xml:space="preserve">.000M → 50/100 (bajo, vulnerable) Reservas USD </w:t>
      </w:r>
      <w:r w:rsidR="00236677" w:rsidRPr="00236677">
        <w:rPr>
          <w:highlight w:val="yellow"/>
        </w:rPr>
        <w:t>menores a 5</w:t>
      </w:r>
      <w:r w:rsidRPr="00236677">
        <w:rPr>
          <w:highlight w:val="yellow"/>
        </w:rPr>
        <w:t xml:space="preserve">.000M → 30/100 (muy bajo, crisis) Reservas &lt; </w:t>
      </w:r>
      <w:r w:rsidR="00236677" w:rsidRPr="00236677">
        <w:rPr>
          <w:highlight w:val="yellow"/>
        </w:rPr>
        <w:t>negativas</w:t>
      </w:r>
      <w:r w:rsidRPr="00236677">
        <w:rPr>
          <w:highlight w:val="yellow"/>
        </w:rPr>
        <w:t>→ 10/100 (crítico)</w:t>
      </w:r>
    </w:p>
    <w:p w14:paraId="43491F1D" w14:textId="2D7654D1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USD </w:t>
      </w:r>
      <w:r w:rsidR="00236677">
        <w:t>2.000</w:t>
      </w:r>
      <w:r>
        <w:t xml:space="preserve"> millones Puntaje: </w:t>
      </w:r>
      <w:r w:rsidR="00236677">
        <w:t>30</w:t>
      </w:r>
      <w:r>
        <w:t>/100 (</w:t>
      </w:r>
      <w:r w:rsidR="00236677">
        <w:t>crisis</w:t>
      </w:r>
      <w:r>
        <w:t>)</w:t>
      </w:r>
    </w:p>
    <w:p w14:paraId="673B675C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MUY ALTA: • Dato contable del BCRA • Se publica diariamente • Verificable en múltiples fuentes • Variable crítica para autonomía de política económica</w:t>
      </w:r>
    </w:p>
    <w:p w14:paraId="6CF92DBA" w14:textId="77777777" w:rsidR="00AE18AF" w:rsidRDefault="00000000">
      <w:pPr>
        <w:pStyle w:val="Ttulo1"/>
      </w:pPr>
      <w:r>
        <w:t>INDICADOR 6: TASA BADLAR - P_BADLAR</w:t>
      </w:r>
    </w:p>
    <w:p w14:paraId="2E5C3BB2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Capacidad de Financiamiento (20% total, 50% de D3 = 10% del ITCM)</w:t>
      </w:r>
    </w:p>
    <w:p w14:paraId="236AF08F" w14:textId="77777777" w:rsidR="00AE18AF" w:rsidRDefault="00000000">
      <w:pPr>
        <w:spacing w:after="100" w:line="360" w:lineRule="auto"/>
      </w:pPr>
      <w:r>
        <w:rPr>
          <w:b/>
          <w:bCs/>
        </w:rPr>
        <w:t>DEFINICIÓN:</w:t>
      </w:r>
      <w:r>
        <w:t xml:space="preserve"> Tasa de interés de depósitos a plazo entre bancos (proxy de costo de crédito)</w:t>
      </w:r>
    </w:p>
    <w:p w14:paraId="589B7012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BCRA (Banco Central de la República Argentina) Calculada a partir de operaciones reportadas por bancos</w:t>
      </w:r>
    </w:p>
    <w:p w14:paraId="5E273F60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Diaria. Se calcula al cierre de cada día hábil Para análisis mensual: usar promedio del mes o cierre de mes</w:t>
      </w:r>
    </w:p>
    <w:p w14:paraId="22B721BD" w14:textId="77777777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www.bcra.gob.ar (Tasas de Interés → "BADLAR" - datos diarios) Alternos: www.ambito.com, www.cronista.com, Bloomberg (profesionales)</w:t>
      </w:r>
    </w:p>
    <w:p w14:paraId="66961DA9" w14:textId="77777777" w:rsidR="00AE18AF" w:rsidRDefault="00000000">
      <w:pPr>
        <w:spacing w:after="100" w:line="360" w:lineRule="auto"/>
      </w:pPr>
      <w:r>
        <w:rPr>
          <w:b/>
          <w:bCs/>
        </w:rPr>
        <w:t>ESCALA DE PUNTAJE (EXACTA DEL DOCUMENTO):</w:t>
      </w:r>
      <w:r>
        <w:t xml:space="preserve"> BADLAR &lt; 5% → 100/100 (crédito expansivo, confianza alta) BADLAR 5-10% → 80/100 (crédito moderado) BADLAR 10-15% → 60/100 (crédito restrictivo pero funcional) BADLAR 15-25% → </w:t>
      </w:r>
      <w:r>
        <w:lastRenderedPageBreak/>
        <w:t>35/100 (muy restrictivo, desconfianza) BADLAR &gt; 25% → 10/100 (sistema financiero colapsado)</w:t>
      </w:r>
    </w:p>
    <w:p w14:paraId="27FCB99B" w14:textId="77777777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20,62% anual Puntaje: 35/100 (muy restrictivo, desconfianza - el crédito es muy caro, limita inversión privada)</w:t>
      </w:r>
    </w:p>
    <w:p w14:paraId="256947A7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ALTA: • Basada en operaciones reales entre bancos • Refleja condiciones reales de liquidez del sistema • Se publica diariamente • Indicador de confianza del mercado financiero</w:t>
      </w:r>
    </w:p>
    <w:p w14:paraId="41268128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Python</w:t>
      </w:r>
    </w:p>
    <w:p w14:paraId="7D35A40F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#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Let's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define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the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formula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mathematically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using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a Python script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to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ensure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technical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rigor</w:t>
      </w:r>
    </w:p>
    <w:p w14:paraId="0DE3CD10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#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We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need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an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Index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of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Lending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Capacity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IdC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based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on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the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3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components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: Price,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Volume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Allocation</w:t>
      </w:r>
      <w:proofErr w:type="spellEnd"/>
    </w:p>
    <w:p w14:paraId="773E8ACB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#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IdC_t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= w_1 *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Price_Component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+ w_2 *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Volume_Component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+ w_3 *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Allocation_Component</w:t>
      </w:r>
      <w:proofErr w:type="spellEnd"/>
    </w:p>
    <w:p w14:paraId="355F7F7D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</w:p>
    <w:p w14:paraId="2BAAADE9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w1, w2, w3 = 0.30, 0.40, 0.30 #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Weights</w:t>
      </w:r>
      <w:proofErr w:type="spellEnd"/>
    </w:p>
    <w:p w14:paraId="4DDE92C5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proofErr w:type="spellStart"/>
      <w:r w:rsidRPr="00236677">
        <w:rPr>
          <w:rFonts w:ascii="Calibri" w:eastAsia="Calibri" w:hAnsi="Calibri" w:cs="Calibri"/>
          <w:sz w:val="22"/>
          <w:szCs w:val="22"/>
        </w:rPr>
        <w:t>print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(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f"Suma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de ponderadores: {w1 + w2 + w3}")</w:t>
      </w:r>
    </w:p>
    <w:p w14:paraId="6EB16236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</w:p>
    <w:p w14:paraId="261198DF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Salida de código</w:t>
      </w:r>
    </w:p>
    <w:p w14:paraId="0C226208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Suma de ponderadores: 1.0</w:t>
      </w:r>
    </w:p>
    <w:p w14:paraId="1E17772B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</w:p>
    <w:p w14:paraId="0543712F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Para estandarizar el 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>Índice de Capacidad Prestable (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IdC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)</w:t>
      </w:r>
      <w:r w:rsidRPr="00236677">
        <w:rPr>
          <w:rFonts w:ascii="Calibri" w:eastAsia="Calibri" w:hAnsi="Calibri" w:cs="Calibri"/>
          <w:sz w:val="22"/>
          <w:szCs w:val="22"/>
        </w:rPr>
        <w:t xml:space="preserve"> en tus informes de coyuntura de acá en adelante, es fundamental estructurar una 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>fórmula paramétrica</w:t>
      </w:r>
      <w:r w:rsidRPr="00236677">
        <w:rPr>
          <w:rFonts w:ascii="Calibri" w:eastAsia="Calibri" w:hAnsi="Calibri" w:cs="Calibri"/>
          <w:sz w:val="22"/>
          <w:szCs w:val="22"/>
        </w:rPr>
        <w:t>. Esto te permitirá cargar los datos crudos mes a mes, automatizar el cálculo y obtener un número índice final (entre 0 y 100, o base 100 = promedio histórico) que defina el color del semáforo macroeconómico de forma objetiva.</w:t>
      </w:r>
    </w:p>
    <w:p w14:paraId="0759D345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A continuación, te presento el diseño metodológico de la paramétrica para el 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IdC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:</w:t>
      </w:r>
    </w:p>
    <w:p w14:paraId="1C0AC494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236677">
        <w:rPr>
          <w:rFonts w:ascii="Apple Color Emoji" w:eastAsia="Calibri" w:hAnsi="Apple Color Emoji" w:cs="Apple Color Emoji"/>
          <w:b/>
          <w:bCs/>
          <w:sz w:val="22"/>
          <w:szCs w:val="22"/>
        </w:rPr>
        <w:t>📈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 xml:space="preserve"> Estructura General de la Paramétrica</w:t>
      </w:r>
    </w:p>
    <w:p w14:paraId="64241251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lastRenderedPageBreak/>
        <w:t xml:space="preserve">El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IdC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se calculará mensualmente como una suma ponderada de tres subíndices normalizados, con una ponderación total del 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>10% dentro del ITCM</w:t>
      </w:r>
      <w:r w:rsidRPr="00236677">
        <w:rPr>
          <w:rFonts w:ascii="Calibri" w:eastAsia="Calibri" w:hAnsi="Calibri" w:cs="Calibri"/>
          <w:sz w:val="22"/>
          <w:szCs w:val="22"/>
        </w:rPr>
        <w:t xml:space="preserve"> (Índice Total de Coyuntura Macro):</w:t>
      </w:r>
    </w:p>
    <w:p w14:paraId="56DFA23D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$$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IdC_t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= w_1 \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cdot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P_t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+ w_2 \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cdot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V_t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+ w_3 \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cdot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A_t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$$</w:t>
      </w:r>
    </w:p>
    <w:p w14:paraId="5C5FDED1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Donde los ponderadores sugeridos para reflejar el impacto real en la liquidez bancaria son:</w:t>
      </w:r>
    </w:p>
    <w:p w14:paraId="64F3DDE7" w14:textId="77777777" w:rsidR="00236677" w:rsidRPr="00236677" w:rsidRDefault="00236677" w:rsidP="00236677">
      <w:pPr>
        <w:numPr>
          <w:ilvl w:val="0"/>
          <w:numId w:val="2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$w_1 = 0,30$ (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>30%</w:t>
      </w:r>
      <w:r w:rsidRPr="00236677">
        <w:rPr>
          <w:rFonts w:ascii="Calibri" w:eastAsia="Calibri" w:hAnsi="Calibri" w:cs="Calibri"/>
          <w:sz w:val="22"/>
          <w:szCs w:val="22"/>
        </w:rPr>
        <w:t xml:space="preserve"> - Componente Precio / Fondeo)</w:t>
      </w:r>
    </w:p>
    <w:p w14:paraId="7A94C8EC" w14:textId="77777777" w:rsidR="00236677" w:rsidRPr="00236677" w:rsidRDefault="00236677" w:rsidP="00236677">
      <w:pPr>
        <w:numPr>
          <w:ilvl w:val="0"/>
          <w:numId w:val="2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$w_2 = 0,40$ (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>40%</w:t>
      </w:r>
      <w:r w:rsidRPr="00236677">
        <w:rPr>
          <w:rFonts w:ascii="Calibri" w:eastAsia="Calibri" w:hAnsi="Calibri" w:cs="Calibri"/>
          <w:sz w:val="22"/>
          <w:szCs w:val="22"/>
        </w:rPr>
        <w:t xml:space="preserve"> - Componente Volumen / Oferta Genuina)</w:t>
      </w:r>
    </w:p>
    <w:p w14:paraId="38ECF60D" w14:textId="77777777" w:rsidR="00236677" w:rsidRPr="00236677" w:rsidRDefault="00236677" w:rsidP="00236677">
      <w:pPr>
        <w:numPr>
          <w:ilvl w:val="0"/>
          <w:numId w:val="2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$w_3 = 0,30$ (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>30%</w:t>
      </w:r>
      <w:r w:rsidRPr="00236677">
        <w:rPr>
          <w:rFonts w:ascii="Calibri" w:eastAsia="Calibri" w:hAnsi="Calibri" w:cs="Calibri"/>
          <w:sz w:val="22"/>
          <w:szCs w:val="22"/>
        </w:rPr>
        <w:t xml:space="preserve"> - Componente Asignación / Destino)</w:t>
      </w:r>
    </w:p>
    <w:p w14:paraId="75A83559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236677">
        <w:rPr>
          <w:rFonts w:ascii="Apple Color Emoji" w:eastAsia="Calibri" w:hAnsi="Apple Color Emoji" w:cs="Apple Color Emoji"/>
          <w:b/>
          <w:bCs/>
          <w:sz w:val="22"/>
          <w:szCs w:val="22"/>
        </w:rPr>
        <w:t>⚙️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 xml:space="preserve"> Especificación de los Subcomponentes ($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P_t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V_t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A_t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$)</w:t>
      </w:r>
    </w:p>
    <w:p w14:paraId="5113955C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Para que las variables con distintas unidades (tasas %, pesos, ratios) puedan sumarse, cada componente se transforma en un subíndice mensual de variación o brecha:</w:t>
      </w:r>
    </w:p>
    <w:p w14:paraId="7755D830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1. Componente Precio ($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P_t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$): Tasa BADLAR Real</w:t>
      </w:r>
    </w:p>
    <w:p w14:paraId="3353AD9D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Mide el atractivo del sistema para retener la materia prima (pesos).</w:t>
      </w:r>
    </w:p>
    <w:p w14:paraId="2C382366" w14:textId="77777777" w:rsidR="00236677" w:rsidRPr="00236677" w:rsidRDefault="00236677" w:rsidP="00236677">
      <w:pPr>
        <w:numPr>
          <w:ilvl w:val="0"/>
          <w:numId w:val="3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Variable base ($i_{real}$):</w:t>
      </w:r>
      <w:r w:rsidRPr="00236677">
        <w:rPr>
          <w:rFonts w:ascii="Calibri" w:eastAsia="Calibri" w:hAnsi="Calibri" w:cs="Calibri"/>
          <w:sz w:val="22"/>
          <w:szCs w:val="22"/>
        </w:rPr>
        <w:t xml:space="preserve"> Tasa Efectiva Mensual (TEM) de la BADLAR privada menos la inflación (IPC) del mes.</w:t>
      </w:r>
    </w:p>
    <w:p w14:paraId="00B2BED9" w14:textId="77777777" w:rsidR="00236677" w:rsidRPr="00236677" w:rsidRDefault="00236677" w:rsidP="00236677">
      <w:pPr>
        <w:numPr>
          <w:ilvl w:val="0"/>
          <w:numId w:val="3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Fórmula del subcomponente:</w:t>
      </w:r>
    </w:p>
    <w:p w14:paraId="6450468C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$$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P_t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= 1 + i_{real}$$</w:t>
      </w:r>
    </w:p>
    <w:p w14:paraId="76AF6025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i/>
          <w:iCs/>
          <w:sz w:val="22"/>
          <w:szCs w:val="22"/>
        </w:rPr>
        <w:t>(Si la tasa real es +1% mensual, $</w:t>
      </w:r>
      <w:proofErr w:type="spellStart"/>
      <w:r w:rsidRPr="00236677">
        <w:rPr>
          <w:rFonts w:ascii="Calibri" w:eastAsia="Calibri" w:hAnsi="Calibri" w:cs="Calibri"/>
          <w:i/>
          <w:iCs/>
          <w:sz w:val="22"/>
          <w:szCs w:val="22"/>
        </w:rPr>
        <w:t>P_t</w:t>
      </w:r>
      <w:proofErr w:type="spellEnd"/>
      <w:r w:rsidRPr="00236677">
        <w:rPr>
          <w:rFonts w:ascii="Calibri" w:eastAsia="Calibri" w:hAnsi="Calibri" w:cs="Calibri"/>
          <w:i/>
          <w:iCs/>
          <w:sz w:val="22"/>
          <w:szCs w:val="22"/>
        </w:rPr>
        <w:t xml:space="preserve"> = 1,01$. Si es -0,5% mensual, $</w:t>
      </w:r>
      <w:proofErr w:type="spellStart"/>
      <w:r w:rsidRPr="00236677">
        <w:rPr>
          <w:rFonts w:ascii="Calibri" w:eastAsia="Calibri" w:hAnsi="Calibri" w:cs="Calibri"/>
          <w:i/>
          <w:iCs/>
          <w:sz w:val="22"/>
          <w:szCs w:val="22"/>
        </w:rPr>
        <w:t>P_t</w:t>
      </w:r>
      <w:proofErr w:type="spellEnd"/>
      <w:r w:rsidRPr="00236677">
        <w:rPr>
          <w:rFonts w:ascii="Calibri" w:eastAsia="Calibri" w:hAnsi="Calibri" w:cs="Calibri"/>
          <w:i/>
          <w:iCs/>
          <w:sz w:val="22"/>
          <w:szCs w:val="22"/>
        </w:rPr>
        <w:t xml:space="preserve"> = 0,995$)</w:t>
      </w:r>
      <w:r w:rsidRPr="00236677">
        <w:rPr>
          <w:rFonts w:ascii="Calibri" w:eastAsia="Calibri" w:hAnsi="Calibri" w:cs="Calibri"/>
          <w:sz w:val="22"/>
          <w:szCs w:val="22"/>
        </w:rPr>
        <w:t>.</w:t>
      </w:r>
    </w:p>
    <w:p w14:paraId="41085757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2. Componente Volumen ($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V_t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$): Depósitos Privados Reales</w:t>
      </w:r>
    </w:p>
    <w:p w14:paraId="780B6DA8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Mide la variación real de la masa de dinero disponible.</w:t>
      </w:r>
    </w:p>
    <w:p w14:paraId="697ACA0D" w14:textId="77777777" w:rsidR="00236677" w:rsidRPr="00236677" w:rsidRDefault="00236677" w:rsidP="00236677">
      <w:pPr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Variable base ($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Dep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_{real}$):</w:t>
      </w:r>
      <w:r w:rsidRPr="00236677">
        <w:rPr>
          <w:rFonts w:ascii="Calibri" w:eastAsia="Calibri" w:hAnsi="Calibri" w:cs="Calibri"/>
          <w:sz w:val="22"/>
          <w:szCs w:val="22"/>
        </w:rPr>
        <w:t xml:space="preserve"> Stock de depósitos a plazo fijo y caja de ahorro del sector privado, deflactado por IPC.</w:t>
      </w:r>
    </w:p>
    <w:p w14:paraId="26A656E0" w14:textId="77777777" w:rsidR="00236677" w:rsidRPr="00236677" w:rsidRDefault="00236677" w:rsidP="00236677">
      <w:pPr>
        <w:numPr>
          <w:ilvl w:val="0"/>
          <w:numId w:val="4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Fórmula del subcomponente (Variación Intermensual):</w:t>
      </w:r>
    </w:p>
    <w:p w14:paraId="565F9668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$$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V_t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= \frac{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Dep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_{real, t}}{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Dep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_{real, t-1}}$$</w:t>
      </w:r>
    </w:p>
    <w:p w14:paraId="2C19F51D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lastRenderedPageBreak/>
        <w:t>3. Componente Asignación ($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A_t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$): Capacidad de Reacción Crediticia</w:t>
      </w:r>
    </w:p>
    <w:p w14:paraId="7ADD317F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Mide cuánto cupo libre les queda a los bancos para prestar (a menor ratio Préstamos/Depósitos, más capacidad prestable latente tiene el sistema).</w:t>
      </w:r>
    </w:p>
    <w:p w14:paraId="12C0DEC8" w14:textId="77777777" w:rsidR="00236677" w:rsidRPr="00236677" w:rsidRDefault="00236677" w:rsidP="00236677">
      <w:pPr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Variable base ($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R_t</w:t>
      </w:r>
      <w:proofErr w:type="spellEnd"/>
      <w:r w:rsidRPr="00236677">
        <w:rPr>
          <w:rFonts w:ascii="Calibri" w:eastAsia="Calibri" w:hAnsi="Calibri" w:cs="Calibri"/>
          <w:b/>
          <w:bCs/>
          <w:sz w:val="22"/>
          <w:szCs w:val="22"/>
        </w:rPr>
        <w:t>$):</w:t>
      </w:r>
      <w:r w:rsidRPr="00236677">
        <w:rPr>
          <w:rFonts w:ascii="Calibri" w:eastAsia="Calibri" w:hAnsi="Calibri" w:cs="Calibri"/>
          <w:sz w:val="22"/>
          <w:szCs w:val="22"/>
        </w:rPr>
        <w:t xml:space="preserve"> $\frac{\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text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{Préstamos Totales al Sector Privado}}{\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text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{Depósitos Totales Sector Privado}}$.</w:t>
      </w:r>
    </w:p>
    <w:p w14:paraId="0C2F6C10" w14:textId="77777777" w:rsidR="00236677" w:rsidRPr="00236677" w:rsidRDefault="00236677" w:rsidP="00236677">
      <w:pPr>
        <w:numPr>
          <w:ilvl w:val="0"/>
          <w:numId w:val="5"/>
        </w:num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b/>
          <w:bCs/>
          <w:sz w:val="22"/>
          <w:szCs w:val="22"/>
        </w:rPr>
        <w:t>Fórmula del subcomponente (Inversa de utilización):</w:t>
      </w:r>
    </w:p>
    <w:p w14:paraId="12514748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>$$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A_t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= 1 -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R_t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>$$</w:t>
      </w:r>
    </w:p>
    <w:p w14:paraId="532841BD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i/>
          <w:iCs/>
          <w:sz w:val="22"/>
          <w:szCs w:val="22"/>
        </w:rPr>
        <w:t>(Si el ratio de préstamos sobre depósitos baja, significa que los bancos retienen más liquidez atrapada, elevando la capacidad prestable potencial del sistema)</w:t>
      </w:r>
      <w:r w:rsidRPr="00236677">
        <w:rPr>
          <w:rFonts w:ascii="Calibri" w:eastAsia="Calibri" w:hAnsi="Calibri" w:cs="Calibri"/>
          <w:sz w:val="22"/>
          <w:szCs w:val="22"/>
        </w:rPr>
        <w:t>.</w:t>
      </w:r>
    </w:p>
    <w:p w14:paraId="4A6ECC6C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236677">
        <w:rPr>
          <w:rFonts w:ascii="Apple Color Emoji" w:eastAsia="Calibri" w:hAnsi="Apple Color Emoji" w:cs="Apple Color Emoji"/>
          <w:b/>
          <w:bCs/>
          <w:sz w:val="22"/>
          <w:szCs w:val="22"/>
        </w:rPr>
        <w:t>📊</w:t>
      </w:r>
      <w:r w:rsidRPr="00236677">
        <w:rPr>
          <w:rFonts w:ascii="Calibri" w:eastAsia="Calibri" w:hAnsi="Calibri" w:cs="Calibri"/>
          <w:b/>
          <w:bCs/>
          <w:sz w:val="22"/>
          <w:szCs w:val="22"/>
        </w:rPr>
        <w:t xml:space="preserve"> Matriz de Carga Mensual y Semáforo de Control</w:t>
      </w:r>
    </w:p>
    <w:p w14:paraId="17A52022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t xml:space="preserve">Para la visualización rápida en tu informe, el resultado final del </w:t>
      </w:r>
      <w:proofErr w:type="spellStart"/>
      <w:r w:rsidRPr="00236677">
        <w:rPr>
          <w:rFonts w:ascii="Calibri" w:eastAsia="Calibri" w:hAnsi="Calibri" w:cs="Calibri"/>
          <w:b/>
          <w:bCs/>
          <w:sz w:val="22"/>
          <w:szCs w:val="22"/>
        </w:rPr>
        <w:t>IdC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se interpreta bajo tres rangos de desestacionalización o niveles base: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878"/>
        <w:gridCol w:w="1335"/>
        <w:gridCol w:w="4441"/>
      </w:tblGrid>
      <w:tr w:rsidR="00236677" w:rsidRPr="00236677" w14:paraId="6405FB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E641C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Rango de </w:t>
            </w:r>
            <w:proofErr w:type="spellStart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36301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Estado del Crédito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A1F96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Semáforo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AB1DC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Interpretación Económica</w:t>
            </w:r>
          </w:p>
        </w:tc>
      </w:tr>
      <w:tr w:rsidR="00236677" w:rsidRPr="00236677" w14:paraId="4E9E7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8CE8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IdC</w:t>
            </w:r>
            <w:proofErr w:type="spellEnd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&gt; 1,02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28009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Expansión Líquida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6DEB8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Apple Color Emoji" w:eastAsia="Calibri" w:hAnsi="Apple Color Emoji" w:cs="Apple Color Emoji"/>
                <w:sz w:val="22"/>
                <w:szCs w:val="22"/>
              </w:rPr>
              <w:t>🟢</w:t>
            </w:r>
            <w:r w:rsidRPr="00236677">
              <w:rPr>
                <w:rFonts w:ascii="Calibri" w:eastAsia="Calibri" w:hAnsi="Calibri" w:cs="Calibri"/>
                <w:sz w:val="22"/>
                <w:szCs w:val="22"/>
              </w:rPr>
              <w:t xml:space="preserve"> Verde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AFFA7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sz w:val="22"/>
                <w:szCs w:val="22"/>
              </w:rPr>
              <w:t>Fondos creciendo por encima de la inflación, tasas reales atractivas y alta disponibilidad para volcar al sector productivo.</w:t>
            </w:r>
          </w:p>
        </w:tc>
      </w:tr>
      <w:tr w:rsidR="00236677" w:rsidRPr="00236677" w14:paraId="538A6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5B0D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0,98 $\le$ </w:t>
            </w:r>
            <w:proofErr w:type="spellStart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IdC</w:t>
            </w:r>
            <w:proofErr w:type="spellEnd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$\le$ 1,02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BD84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Estabilización / Neutro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48D8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Apple Color Emoji" w:eastAsia="Calibri" w:hAnsi="Apple Color Emoji" w:cs="Apple Color Emoji"/>
                <w:sz w:val="22"/>
                <w:szCs w:val="22"/>
              </w:rPr>
              <w:t>🟡</w:t>
            </w:r>
            <w:r w:rsidRPr="00236677">
              <w:rPr>
                <w:rFonts w:ascii="Calibri" w:eastAsia="Calibri" w:hAnsi="Calibri" w:cs="Calibri"/>
                <w:sz w:val="22"/>
                <w:szCs w:val="22"/>
              </w:rPr>
              <w:t xml:space="preserve"> Amarillo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62C8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sz w:val="22"/>
                <w:szCs w:val="22"/>
              </w:rPr>
              <w:t>Fase de transición. El sistema sostiene su estructura pero el crédito real está estancado o retenido por falta de demanda (Caso de Mayo 2026).</w:t>
            </w:r>
          </w:p>
        </w:tc>
      </w:tr>
      <w:tr w:rsidR="00236677" w:rsidRPr="00236677" w14:paraId="1B0AC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244A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IdC</w:t>
            </w:r>
            <w:proofErr w:type="spellEnd"/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&lt; 0,98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02BD5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Contracción / Restricción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E7B73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Apple Color Emoji" w:eastAsia="Calibri" w:hAnsi="Apple Color Emoji" w:cs="Apple Color Emoji"/>
                <w:sz w:val="22"/>
                <w:szCs w:val="22"/>
              </w:rPr>
              <w:t>🔴</w:t>
            </w:r>
            <w:r w:rsidRPr="00236677">
              <w:rPr>
                <w:rFonts w:ascii="Calibri" w:eastAsia="Calibri" w:hAnsi="Calibri" w:cs="Calibri"/>
                <w:sz w:val="22"/>
                <w:szCs w:val="22"/>
              </w:rPr>
              <w:t xml:space="preserve"> Rojo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A1EC" w14:textId="77777777" w:rsidR="00236677" w:rsidRPr="00236677" w:rsidRDefault="00236677" w:rsidP="00236677">
            <w:pPr>
              <w:spacing w:after="240"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36677">
              <w:rPr>
                <w:rFonts w:ascii="Calibri" w:eastAsia="Calibri" w:hAnsi="Calibri" w:cs="Calibri"/>
                <w:sz w:val="22"/>
                <w:szCs w:val="22"/>
              </w:rPr>
              <w:t xml:space="preserve">Desmonetización. Los depósitos caen en términos reales, las tasas reales negativas </w:t>
            </w:r>
            <w:r w:rsidRPr="00236677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provocan fuga de pesos y el sistema pierde capacidad prestable.</w:t>
            </w:r>
          </w:p>
        </w:tc>
      </w:tr>
    </w:tbl>
    <w:p w14:paraId="08B20F8E" w14:textId="77777777" w:rsidR="00236677" w:rsidRPr="00236677" w:rsidRDefault="00236677" w:rsidP="00236677">
      <w:pPr>
        <w:spacing w:after="240" w:line="360" w:lineRule="auto"/>
        <w:rPr>
          <w:rFonts w:ascii="Calibri" w:eastAsia="Calibri" w:hAnsi="Calibri" w:cs="Calibri"/>
          <w:sz w:val="22"/>
          <w:szCs w:val="22"/>
        </w:rPr>
      </w:pPr>
      <w:r w:rsidRPr="00236677">
        <w:rPr>
          <w:rFonts w:ascii="Calibri" w:eastAsia="Calibri" w:hAnsi="Calibri" w:cs="Calibri"/>
          <w:sz w:val="22"/>
          <w:szCs w:val="22"/>
        </w:rPr>
        <w:lastRenderedPageBreak/>
        <w:t xml:space="preserve">Con esta estructura paramétrica, solo </w:t>
      </w:r>
      <w:proofErr w:type="spellStart"/>
      <w:r w:rsidRPr="00236677">
        <w:rPr>
          <w:rFonts w:ascii="Calibri" w:eastAsia="Calibri" w:hAnsi="Calibri" w:cs="Calibri"/>
          <w:sz w:val="22"/>
          <w:szCs w:val="22"/>
        </w:rPr>
        <w:t>necesitás</w:t>
      </w:r>
      <w:proofErr w:type="spellEnd"/>
      <w:r w:rsidRPr="00236677">
        <w:rPr>
          <w:rFonts w:ascii="Calibri" w:eastAsia="Calibri" w:hAnsi="Calibri" w:cs="Calibri"/>
          <w:sz w:val="22"/>
          <w:szCs w:val="22"/>
        </w:rPr>
        <w:t xml:space="preserve"> actualizar cuatro datos crudos al cierre de cada mes (BADLAR promedio, IPC INDEC, Stock de Depósitos y Stock de Préstamos) para obtener el vector de dirección crediticia de la economía argentina de manera automática.</w:t>
      </w:r>
    </w:p>
    <w:p w14:paraId="484703DE" w14:textId="77777777" w:rsidR="00236677" w:rsidRDefault="00236677">
      <w:pPr>
        <w:spacing w:after="240" w:line="360" w:lineRule="auto"/>
      </w:pPr>
    </w:p>
    <w:p w14:paraId="52EE8B10" w14:textId="77777777" w:rsidR="00AE18AF" w:rsidRDefault="00000000">
      <w:pPr>
        <w:pStyle w:val="Ttulo1"/>
      </w:pPr>
      <w:r>
        <w:t>INDICADOR 7: ACTIVIDAD ECONÓMICA EMAE - P_EMAE</w:t>
      </w:r>
    </w:p>
    <w:p w14:paraId="2459C3E6" w14:textId="77777777" w:rsidR="00AE18AF" w:rsidRDefault="00000000">
      <w:pPr>
        <w:spacing w:after="100" w:line="360" w:lineRule="auto"/>
      </w:pPr>
      <w:r>
        <w:rPr>
          <w:b/>
          <w:bCs/>
        </w:rPr>
        <w:t>DIMENSIÓN:</w:t>
      </w:r>
      <w:r>
        <w:t xml:space="preserve"> Actividad Económica (15% total = 15% del ITCM)</w:t>
      </w:r>
    </w:p>
    <w:p w14:paraId="22BD154A" w14:textId="77777777" w:rsidR="00AE18AF" w:rsidRDefault="00000000">
      <w:pPr>
        <w:spacing w:after="100" w:line="360" w:lineRule="auto"/>
      </w:pPr>
      <w:r>
        <w:rPr>
          <w:b/>
          <w:bCs/>
        </w:rPr>
        <w:t>DEFINICIÓN:</w:t>
      </w:r>
      <w:r>
        <w:t xml:space="preserve"> Estimador Mensual de Actividad Económica (proxy del PBI mensual, variación interanual %)</w:t>
      </w:r>
    </w:p>
    <w:p w14:paraId="4AE67D57" w14:textId="77777777" w:rsidR="00AE18AF" w:rsidRDefault="00000000">
      <w:pPr>
        <w:spacing w:after="100" w:line="360" w:lineRule="auto"/>
      </w:pPr>
      <w:r>
        <w:rPr>
          <w:b/>
          <w:bCs/>
        </w:rPr>
        <w:t>ORGANISMO:</w:t>
      </w:r>
      <w:r>
        <w:t xml:space="preserve"> INDEC (Instituto Nacional de Estadística y Censos)</w:t>
      </w:r>
    </w:p>
    <w:p w14:paraId="07635B0F" w14:textId="77777777" w:rsidR="00AE18AF" w:rsidRDefault="00000000">
      <w:pPr>
        <w:spacing w:after="100" w:line="360" w:lineRule="auto"/>
      </w:pPr>
      <w:r>
        <w:rPr>
          <w:b/>
          <w:bCs/>
        </w:rPr>
        <w:t>PERIODICIDAD:</w:t>
      </w:r>
      <w:r>
        <w:t xml:space="preserve"> Mensual. Se publica 20-25 días del mes siguiente</w:t>
      </w:r>
    </w:p>
    <w:p w14:paraId="09A909DF" w14:textId="77777777" w:rsidR="00AE18AF" w:rsidRDefault="00000000">
      <w:pPr>
        <w:spacing w:after="100" w:line="360" w:lineRule="auto"/>
      </w:pPr>
      <w:r>
        <w:rPr>
          <w:b/>
          <w:bCs/>
        </w:rPr>
        <w:t>DÓNDE ACCEDER:</w:t>
      </w:r>
      <w:r>
        <w:t xml:space="preserve"> Primario: www.indec.gob.ar (Buscar "EMAE") Alternos: BCRA (incluye EMAE en análisis), CEPAL, OCDE</w:t>
      </w:r>
    </w:p>
    <w:p w14:paraId="34EC6510" w14:textId="77777777" w:rsidR="00AE18AF" w:rsidRDefault="00000000">
      <w:pPr>
        <w:spacing w:after="100" w:line="360" w:lineRule="auto"/>
      </w:pPr>
      <w:r>
        <w:rPr>
          <w:b/>
          <w:bCs/>
        </w:rPr>
        <w:t>ESCALA DE PUNTAJE (EXACTA DEL DOCUMENTO):</w:t>
      </w:r>
      <w:r>
        <w:t xml:space="preserve"> EMAE &gt; 5% → 100/100 (crecimiento robusto) EMAE 3-5% → 80/100 (crecimiento moderado) EMAE 0-3% → 60/100 (estancamiento bajo) EMAE -2 a 0% → 40/100 (recesión leve) EMAE -5 a -2% → 20/100 (recesión moderada) EMAE &lt; -5% → 5/100 (recesión severa)</w:t>
      </w:r>
    </w:p>
    <w:p w14:paraId="6BEDE15D" w14:textId="506791B9" w:rsidR="00AE18AF" w:rsidRDefault="00000000">
      <w:pPr>
        <w:spacing w:after="100" w:line="360" w:lineRule="auto"/>
      </w:pPr>
      <w:r>
        <w:rPr>
          <w:b/>
          <w:bCs/>
        </w:rPr>
        <w:t>APLICACIÓN MAYO 2026:</w:t>
      </w:r>
      <w:r>
        <w:t xml:space="preserve"> Valor: 5,48% </w:t>
      </w:r>
      <w:proofErr w:type="spellStart"/>
      <w:r>
        <w:t>i.a</w:t>
      </w:r>
      <w:proofErr w:type="spellEnd"/>
      <w:r>
        <w:t>. Puntaje: 85/100 (crecimiento robusto, justo por encima del 5% - recuperación desde mínimos)</w:t>
      </w:r>
      <w:r w:rsidR="0031177A">
        <w:t xml:space="preserve"> </w:t>
      </w:r>
      <w:r w:rsidR="0031177A" w:rsidRPr="0031177A">
        <w:rPr>
          <w:highlight w:val="yellow"/>
        </w:rPr>
        <w:t>el valor corresponde a marzo 202</w:t>
      </w:r>
      <w:r w:rsidR="00E0216F">
        <w:t>6</w:t>
      </w:r>
    </w:p>
    <w:p w14:paraId="1FEBA2B9" w14:textId="77777777" w:rsidR="00AE18AF" w:rsidRDefault="00000000">
      <w:pPr>
        <w:spacing w:after="240" w:line="360" w:lineRule="auto"/>
      </w:pPr>
      <w:r>
        <w:rPr>
          <w:b/>
          <w:bCs/>
        </w:rPr>
        <w:t>CONFIABILIDAD:</w:t>
      </w:r>
      <w:r>
        <w:t xml:space="preserve"> ALTA: • INDEC construye a partir de componentes del PBI • Incluye industria, comercio, servicios • Comparable con PBI trimestral • Variable crítica para política económica</w:t>
      </w:r>
    </w:p>
    <w:p w14:paraId="0FD1190C" w14:textId="77777777" w:rsidR="00AE18AF" w:rsidRDefault="00000000">
      <w:pPr>
        <w:pBdr>
          <w:top w:val="single" w:sz="6" w:space="0" w:color="1F4E78"/>
        </w:pBdr>
        <w:spacing w:before="400"/>
        <w:jc w:val="center"/>
      </w:pPr>
      <w:r>
        <w:rPr>
          <w:b/>
          <w:bCs/>
          <w:color w:val="1F4E78"/>
          <w:sz w:val="20"/>
          <w:szCs w:val="20"/>
        </w:rPr>
        <w:t>Catálogo de Fuentes | 7 Indicadores ITCM | Fundación CIGOB</w:t>
      </w:r>
    </w:p>
    <w:sectPr w:rsidR="00AE18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16F"/>
    <w:multiLevelType w:val="multilevel"/>
    <w:tmpl w:val="406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62D7"/>
    <w:multiLevelType w:val="multilevel"/>
    <w:tmpl w:val="454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1244"/>
    <w:multiLevelType w:val="multilevel"/>
    <w:tmpl w:val="CAF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80AB9"/>
    <w:multiLevelType w:val="hybridMultilevel"/>
    <w:tmpl w:val="3DB8175E"/>
    <w:lvl w:ilvl="0" w:tplc="E2C07FDA">
      <w:start w:val="1"/>
      <w:numFmt w:val="bullet"/>
      <w:lvlText w:val="●"/>
      <w:lvlJc w:val="left"/>
      <w:pPr>
        <w:ind w:left="720" w:hanging="360"/>
      </w:pPr>
    </w:lvl>
    <w:lvl w:ilvl="1" w:tplc="4184B28A">
      <w:start w:val="1"/>
      <w:numFmt w:val="bullet"/>
      <w:lvlText w:val="○"/>
      <w:lvlJc w:val="left"/>
      <w:pPr>
        <w:ind w:left="1440" w:hanging="360"/>
      </w:pPr>
    </w:lvl>
    <w:lvl w:ilvl="2" w:tplc="0F849676">
      <w:start w:val="1"/>
      <w:numFmt w:val="bullet"/>
      <w:lvlText w:val="■"/>
      <w:lvlJc w:val="left"/>
      <w:pPr>
        <w:ind w:left="2160" w:hanging="360"/>
      </w:pPr>
    </w:lvl>
    <w:lvl w:ilvl="3" w:tplc="C2EC6EC8">
      <w:start w:val="1"/>
      <w:numFmt w:val="bullet"/>
      <w:lvlText w:val="●"/>
      <w:lvlJc w:val="left"/>
      <w:pPr>
        <w:ind w:left="2880" w:hanging="360"/>
      </w:pPr>
    </w:lvl>
    <w:lvl w:ilvl="4" w:tplc="5EDEF1A8">
      <w:start w:val="1"/>
      <w:numFmt w:val="bullet"/>
      <w:lvlText w:val="○"/>
      <w:lvlJc w:val="left"/>
      <w:pPr>
        <w:ind w:left="3600" w:hanging="360"/>
      </w:pPr>
    </w:lvl>
    <w:lvl w:ilvl="5" w:tplc="6A14F794">
      <w:start w:val="1"/>
      <w:numFmt w:val="bullet"/>
      <w:lvlText w:val="■"/>
      <w:lvlJc w:val="left"/>
      <w:pPr>
        <w:ind w:left="4320" w:hanging="360"/>
      </w:pPr>
    </w:lvl>
    <w:lvl w:ilvl="6" w:tplc="9A3436B8">
      <w:start w:val="1"/>
      <w:numFmt w:val="bullet"/>
      <w:lvlText w:val="●"/>
      <w:lvlJc w:val="left"/>
      <w:pPr>
        <w:ind w:left="5040" w:hanging="360"/>
      </w:pPr>
    </w:lvl>
    <w:lvl w:ilvl="7" w:tplc="87A41F64">
      <w:start w:val="1"/>
      <w:numFmt w:val="bullet"/>
      <w:lvlText w:val="●"/>
      <w:lvlJc w:val="left"/>
      <w:pPr>
        <w:ind w:left="5760" w:hanging="360"/>
      </w:pPr>
    </w:lvl>
    <w:lvl w:ilvl="8" w:tplc="C36CBC1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3696D95"/>
    <w:multiLevelType w:val="multilevel"/>
    <w:tmpl w:val="9C02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158854">
    <w:abstractNumId w:val="3"/>
    <w:lvlOverride w:ilvl="0">
      <w:startOverride w:val="1"/>
    </w:lvlOverride>
  </w:num>
  <w:num w:numId="2" w16cid:durableId="1883011499">
    <w:abstractNumId w:val="0"/>
  </w:num>
  <w:num w:numId="3" w16cid:durableId="533469979">
    <w:abstractNumId w:val="4"/>
  </w:num>
  <w:num w:numId="4" w16cid:durableId="540749931">
    <w:abstractNumId w:val="1"/>
  </w:num>
  <w:num w:numId="5" w16cid:durableId="1579707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AF"/>
    <w:rsid w:val="00127808"/>
    <w:rsid w:val="00236677"/>
    <w:rsid w:val="002A243A"/>
    <w:rsid w:val="002C618E"/>
    <w:rsid w:val="0031177A"/>
    <w:rsid w:val="004763F0"/>
    <w:rsid w:val="006D14DB"/>
    <w:rsid w:val="006E13D6"/>
    <w:rsid w:val="00AE18AF"/>
    <w:rsid w:val="00DD7A2B"/>
    <w:rsid w:val="00E0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E69715"/>
  <w15:docId w15:val="{31E23139-8E2F-0A44-9335-347C8585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677"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1914</Words>
  <Characters>11007</Characters>
  <Application>Microsoft Office Word</Application>
  <DocSecurity>0</DocSecurity>
  <Lines>183</Lines>
  <Paragraphs>97</Paragraphs>
  <ScaleCrop>false</ScaleCrop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babino</cp:lastModifiedBy>
  <cp:revision>3</cp:revision>
  <dcterms:created xsi:type="dcterms:W3CDTF">2026-06-26T23:35:00Z</dcterms:created>
  <dcterms:modified xsi:type="dcterms:W3CDTF">2026-06-26T23:36:00Z</dcterms:modified>
</cp:coreProperties>
</file>