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000000" w:themeColor="text1"/>
          <w:sz w:val="24"/>
          <w:szCs w:val="24"/>
        </w:rPr>
        <w:id w:val="-1690364256"/>
        <w:docPartObj>
          <w:docPartGallery w:val="Table of Contents"/>
          <w:docPartUnique/>
        </w:docPartObj>
      </w:sdtPr>
      <w:sdtContent>
        <w:p w14:paraId="75032974" w14:textId="6BB9B802" w:rsidR="006B61FC" w:rsidRPr="00D847CB" w:rsidRDefault="006B61FC">
          <w:pPr>
            <w:pStyle w:val="TtuloTDC"/>
            <w:rPr>
              <w:color w:val="000000" w:themeColor="text1"/>
            </w:rPr>
          </w:pPr>
        </w:p>
        <w:p w14:paraId="155A2A80" w14:textId="77777777" w:rsidR="00D847CB" w:rsidRPr="00D847CB" w:rsidRDefault="00000000">
          <w:pPr>
            <w:pStyle w:val="TDC2"/>
            <w:tabs>
              <w:tab w:val="right" w:leader="dot" w:pos="8828"/>
            </w:tabs>
            <w:rPr>
              <w:noProof/>
              <w:color w:val="000000" w:themeColor="text1"/>
            </w:rPr>
          </w:pPr>
          <w:r w:rsidRPr="00D847CB">
            <w:rPr>
              <w:color w:val="000000" w:themeColor="text1"/>
            </w:rPr>
            <w:fldChar w:fldCharType="begin"/>
          </w:r>
          <w:r w:rsidRPr="00D847CB">
            <w:rPr>
              <w:color w:val="000000" w:themeColor="text1"/>
            </w:rPr>
            <w:instrText>TOC \o "1-2" \h \z \u</w:instrText>
          </w:r>
          <w:r w:rsidRPr="00D847CB">
            <w:rPr>
              <w:color w:val="000000" w:themeColor="text1"/>
            </w:rPr>
            <w:fldChar w:fldCharType="separate"/>
          </w:r>
          <w:hyperlink w:anchor="_Toc233900753" w:history="1">
            <w:r w:rsidR="00D847CB" w:rsidRPr="00D847CB">
              <w:rPr>
                <w:rStyle w:val="Hipervnculo"/>
                <w:noProof/>
                <w:color w:val="000000" w:themeColor="text1"/>
              </w:rPr>
              <w:t>Resumen ejecutivo de la reformulación</w:t>
            </w:r>
            <w:r w:rsidR="00D847CB" w:rsidRPr="00D847CB">
              <w:rPr>
                <w:noProof/>
                <w:webHidden/>
                <w:color w:val="000000" w:themeColor="text1"/>
              </w:rPr>
              <w:tab/>
            </w:r>
            <w:r w:rsidR="00D847CB" w:rsidRPr="00D847CB">
              <w:rPr>
                <w:noProof/>
                <w:webHidden/>
                <w:color w:val="000000" w:themeColor="text1"/>
              </w:rPr>
              <w:fldChar w:fldCharType="begin"/>
            </w:r>
            <w:r w:rsidR="00D847CB" w:rsidRPr="00D847CB">
              <w:rPr>
                <w:noProof/>
                <w:webHidden/>
                <w:color w:val="000000" w:themeColor="text1"/>
              </w:rPr>
              <w:instrText xml:space="preserve"> PAGEREF _Toc233900753 \h </w:instrText>
            </w:r>
            <w:r w:rsidR="00D847CB" w:rsidRPr="00D847CB">
              <w:rPr>
                <w:noProof/>
                <w:webHidden/>
                <w:color w:val="000000" w:themeColor="text1"/>
              </w:rPr>
            </w:r>
            <w:r w:rsidR="00D847CB" w:rsidRPr="00D847CB">
              <w:rPr>
                <w:noProof/>
                <w:webHidden/>
                <w:color w:val="000000" w:themeColor="text1"/>
              </w:rPr>
              <w:fldChar w:fldCharType="separate"/>
            </w:r>
            <w:r w:rsidR="00D847CB" w:rsidRPr="00D847CB">
              <w:rPr>
                <w:noProof/>
                <w:webHidden/>
                <w:color w:val="000000" w:themeColor="text1"/>
              </w:rPr>
              <w:t>1</w:t>
            </w:r>
            <w:r w:rsidR="00D847CB" w:rsidRPr="00D847CB">
              <w:rPr>
                <w:noProof/>
                <w:webHidden/>
                <w:color w:val="000000" w:themeColor="text1"/>
              </w:rPr>
              <w:fldChar w:fldCharType="end"/>
            </w:r>
          </w:hyperlink>
        </w:p>
        <w:p w14:paraId="3F1D1E6E" w14:textId="77777777" w:rsidR="00D847CB" w:rsidRPr="00D847CB" w:rsidRDefault="00D847CB">
          <w:pPr>
            <w:pStyle w:val="TDC1"/>
            <w:tabs>
              <w:tab w:val="right" w:leader="dot" w:pos="8828"/>
            </w:tabs>
            <w:rPr>
              <w:noProof/>
              <w:color w:val="000000" w:themeColor="text1"/>
            </w:rPr>
          </w:pPr>
          <w:hyperlink w:anchor="_Toc233900754" w:history="1">
            <w:r w:rsidRPr="00D847CB">
              <w:rPr>
                <w:rStyle w:val="Hipervnculo"/>
                <w:noProof/>
                <w:color w:val="000000" w:themeColor="text1"/>
              </w:rPr>
              <w:t>I. Metodología general de rebasing</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_Toc233900754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5B254910" w14:textId="77777777" w:rsidR="00D847CB" w:rsidRPr="00D847CB" w:rsidRDefault="00D847CB">
          <w:pPr>
            <w:pStyle w:val="TDC2"/>
            <w:tabs>
              <w:tab w:val="right" w:leader="dot" w:pos="8828"/>
            </w:tabs>
            <w:rPr>
              <w:noProof/>
              <w:color w:val="000000" w:themeColor="text1"/>
            </w:rPr>
          </w:pPr>
          <w:hyperlink w:anchor="_Toc233900755" w:history="1">
            <w:r w:rsidRPr="00D847CB">
              <w:rPr>
                <w:rStyle w:val="Hipervnculo"/>
                <w:noProof/>
                <w:color w:val="000000" w:themeColor="text1"/>
              </w:rPr>
              <w:t>Regla general de rebasing</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_Toc233900755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4070C241" w14:textId="77777777" w:rsidR="00D847CB" w:rsidRPr="00D847CB" w:rsidRDefault="00D847CB">
          <w:pPr>
            <w:pStyle w:val="TDC2"/>
            <w:tabs>
              <w:tab w:val="right" w:leader="dot" w:pos="8828"/>
            </w:tabs>
            <w:rPr>
              <w:noProof/>
              <w:color w:val="000000" w:themeColor="text1"/>
            </w:rPr>
          </w:pPr>
          <w:hyperlink w:anchor="_Toc233900756" w:history="1">
            <w:r w:rsidRPr="00D847CB">
              <w:rPr>
                <w:rStyle w:val="Hipervnculo"/>
                <w:noProof/>
                <w:color w:val="000000" w:themeColor="text1"/>
              </w:rPr>
              <w:t>Caso especial: indicadores que son tasas mensuales, no niveles</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_Toc233900756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40D9107A" w14:textId="77777777" w:rsidR="00D847CB" w:rsidRPr="00D847CB" w:rsidRDefault="00D847CB">
          <w:pPr>
            <w:pStyle w:val="TDC1"/>
            <w:tabs>
              <w:tab w:val="right" w:leader="dot" w:pos="8828"/>
            </w:tabs>
            <w:rPr>
              <w:noProof/>
              <w:color w:val="000000" w:themeColor="text1"/>
            </w:rPr>
          </w:pPr>
          <w:hyperlink w:anchor="_Toc233900757" w:history="1">
            <w:r w:rsidRPr="00D847CB">
              <w:rPr>
                <w:rStyle w:val="Hipervnculo"/>
                <w:noProof/>
                <w:color w:val="000000" w:themeColor="text1"/>
              </w:rPr>
              <w:t>II. Los doce indicadores: fuente, fórmula y relevancia</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_Toc233900757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625A027E" w14:textId="77777777" w:rsidR="00D847CB" w:rsidRPr="00D847CB" w:rsidRDefault="00D847CB">
          <w:pPr>
            <w:pStyle w:val="TDC2"/>
            <w:tabs>
              <w:tab w:val="right" w:leader="dot" w:pos="8828"/>
            </w:tabs>
            <w:rPr>
              <w:noProof/>
              <w:color w:val="000000" w:themeColor="text1"/>
            </w:rPr>
          </w:pPr>
          <w:hyperlink w:anchor="_Toc233900758" w:history="1">
            <w:r w:rsidRPr="00D847CB">
              <w:rPr>
                <w:rStyle w:val="Hipervnculo"/>
                <w:noProof/>
                <w:color w:val="000000" w:themeColor="text1"/>
              </w:rPr>
              <w:t>DIMENSIÓN 1: SOSTENIBILIDAD DE INGRESOS (35% del total)</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_Toc233900758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321E8460" w14:textId="77777777" w:rsidR="00D847CB" w:rsidRPr="00D847CB" w:rsidRDefault="00D847CB">
          <w:pPr>
            <w:pStyle w:val="TDC2"/>
            <w:tabs>
              <w:tab w:val="right" w:leader="dot" w:pos="8828"/>
            </w:tabs>
            <w:rPr>
              <w:noProof/>
              <w:color w:val="000000" w:themeColor="text1"/>
            </w:rPr>
          </w:pPr>
          <w:hyperlink w:anchor="_Toc233900759" w:history="1">
            <w:r w:rsidRPr="00D847CB">
              <w:rPr>
                <w:rStyle w:val="Hipervnculo"/>
                <w:noProof/>
                <w:color w:val="000000" w:themeColor="text1"/>
              </w:rPr>
              <w:t>DIMENSIÓN 2: PRESIÓN DE PRECIOS (25% del total)</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_Toc233900759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57C9203B" w14:textId="77777777" w:rsidR="00D847CB" w:rsidRPr="00D847CB" w:rsidRDefault="00D847CB">
          <w:pPr>
            <w:pStyle w:val="TDC2"/>
            <w:tabs>
              <w:tab w:val="right" w:leader="dot" w:pos="8828"/>
            </w:tabs>
            <w:rPr>
              <w:noProof/>
              <w:color w:val="000000" w:themeColor="text1"/>
            </w:rPr>
          </w:pPr>
          <w:hyperlink w:anchor="_Toc233900760" w:history="1">
            <w:r w:rsidRPr="00D847CB">
              <w:rPr>
                <w:rStyle w:val="Hipervnculo"/>
                <w:noProof/>
                <w:color w:val="000000" w:themeColor="text1"/>
              </w:rPr>
              <w:t>DIMENSIÓN 3: VULNERABILIDAD FINANCIERA (10% del total)</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_Toc233900760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59E64A9A" w14:textId="77777777" w:rsidR="00D847CB" w:rsidRPr="00D847CB" w:rsidRDefault="00D847CB">
          <w:pPr>
            <w:pStyle w:val="TDC2"/>
            <w:tabs>
              <w:tab w:val="right" w:leader="dot" w:pos="8828"/>
            </w:tabs>
            <w:rPr>
              <w:noProof/>
              <w:color w:val="000000" w:themeColor="text1"/>
            </w:rPr>
          </w:pPr>
          <w:hyperlink w:anchor="_Toc233900761" w:history="1">
            <w:r w:rsidRPr="00D847CB">
              <w:rPr>
                <w:rStyle w:val="Hipervnculo"/>
                <w:noProof/>
                <w:color w:val="000000" w:themeColor="text1"/>
              </w:rPr>
              <w:t>DIMENSIÓN 4: PROSPECTIVAS DE EMPLEO (15% del total)</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_Toc233900761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72C8E79C" w14:textId="77777777" w:rsidR="00D847CB" w:rsidRPr="00D847CB" w:rsidRDefault="00D847CB">
          <w:pPr>
            <w:pStyle w:val="TDC2"/>
            <w:tabs>
              <w:tab w:val="right" w:leader="dot" w:pos="8828"/>
            </w:tabs>
            <w:rPr>
              <w:noProof/>
              <w:color w:val="000000" w:themeColor="text1"/>
            </w:rPr>
          </w:pPr>
          <w:hyperlink w:anchor="_Toc233900762" w:history="1">
            <w:r w:rsidRPr="00D847CB">
              <w:rPr>
                <w:rStyle w:val="Hipervnculo"/>
                <w:noProof/>
                <w:color w:val="000000" w:themeColor="text1"/>
              </w:rPr>
              <w:t>DIMENSIÓN 5: CONFIANZA Y SEGURIDAD (15% del total)</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_Toc233900762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206A3A91" w14:textId="77777777" w:rsidR="00D847CB" w:rsidRPr="00D847CB" w:rsidRDefault="00D847CB">
          <w:pPr>
            <w:pStyle w:val="TDC1"/>
            <w:tabs>
              <w:tab w:val="right" w:leader="dot" w:pos="8828"/>
            </w:tabs>
            <w:rPr>
              <w:noProof/>
              <w:color w:val="000000" w:themeColor="text1"/>
            </w:rPr>
          </w:pPr>
          <w:hyperlink w:anchor="_Toc233900763" w:history="1">
            <w:r w:rsidRPr="00D847CB">
              <w:rPr>
                <w:rStyle w:val="Hipervnculo"/>
                <w:noProof/>
                <w:color w:val="000000" w:themeColor="text1"/>
              </w:rPr>
              <w:t>III. La fórmula paramétrica integrada (versión base 100)</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_Toc233900763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26559FEC" w14:textId="77777777" w:rsidR="00D847CB" w:rsidRPr="00D847CB" w:rsidRDefault="00D847CB">
          <w:pPr>
            <w:pStyle w:val="TDC2"/>
            <w:tabs>
              <w:tab w:val="right" w:leader="dot" w:pos="8828"/>
            </w:tabs>
            <w:rPr>
              <w:noProof/>
              <w:color w:val="000000" w:themeColor="text1"/>
            </w:rPr>
          </w:pPr>
          <w:hyperlink w:anchor="_Toc233900764" w:history="1">
            <w:r w:rsidRPr="00D847CB">
              <w:rPr>
                <w:rStyle w:val="Hipervnculo"/>
                <w:noProof/>
                <w:color w:val="000000" w:themeColor="text1"/>
              </w:rPr>
              <w:t>Escala de interpretación (versión base 100)</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_Toc233900764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3DE4F302" w14:textId="77777777" w:rsidR="00D847CB" w:rsidRPr="00D847CB" w:rsidRDefault="00D847CB">
          <w:pPr>
            <w:pStyle w:val="TDC1"/>
            <w:tabs>
              <w:tab w:val="right" w:leader="dot" w:pos="8828"/>
            </w:tabs>
            <w:rPr>
              <w:noProof/>
              <w:color w:val="000000" w:themeColor="text1"/>
            </w:rPr>
          </w:pPr>
          <w:hyperlink w:anchor="_Toc233900765" w:history="1">
            <w:r w:rsidRPr="00D847CB">
              <w:rPr>
                <w:rStyle w:val="Hipervnculo"/>
                <w:noProof/>
                <w:color w:val="000000" w:themeColor="text1"/>
              </w:rPr>
              <w:t>IV. Correcciones metodológicas incorporadas y limitaciones residuales</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_Toc233900765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134B5824" w14:textId="77777777" w:rsidR="00D847CB" w:rsidRPr="00D847CB" w:rsidRDefault="00D847CB">
          <w:pPr>
            <w:pStyle w:val="TDC2"/>
            <w:tabs>
              <w:tab w:val="right" w:leader="dot" w:pos="8828"/>
            </w:tabs>
            <w:rPr>
              <w:noProof/>
              <w:color w:val="000000" w:themeColor="text1"/>
            </w:rPr>
          </w:pPr>
          <w:hyperlink w:anchor="_Toc233900766" w:history="1">
            <w:r w:rsidRPr="00D847CB">
              <w:rPr>
                <w:rStyle w:val="Hipervnculo"/>
                <w:noProof/>
                <w:color w:val="000000" w:themeColor="text1"/>
              </w:rPr>
              <w:t>IV.1 Correcciones ya incorporadas en este diseño</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_Toc233900766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4C810A56" w14:textId="77777777" w:rsidR="00D847CB" w:rsidRPr="00D847CB" w:rsidRDefault="00D847CB">
          <w:pPr>
            <w:pStyle w:val="TDC2"/>
            <w:tabs>
              <w:tab w:val="right" w:leader="dot" w:pos="8828"/>
            </w:tabs>
            <w:rPr>
              <w:noProof/>
              <w:color w:val="000000" w:themeColor="text1"/>
            </w:rPr>
          </w:pPr>
          <w:hyperlink w:anchor="_Toc233900767" w:history="1">
            <w:r w:rsidRPr="00D847CB">
              <w:rPr>
                <w:rStyle w:val="Hipervnculo"/>
                <w:noProof/>
                <w:color w:val="000000" w:themeColor="text1"/>
              </w:rPr>
              <w:t>IV.2 Limitaciones residuales a declarar en el informe</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_Toc233900767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0D7653FF" w14:textId="77777777" w:rsidR="00D847CB" w:rsidRPr="00D847CB" w:rsidRDefault="00D847CB">
          <w:pPr>
            <w:pStyle w:val="TDC1"/>
            <w:tabs>
              <w:tab w:val="right" w:leader="dot" w:pos="8828"/>
            </w:tabs>
            <w:rPr>
              <w:noProof/>
              <w:color w:val="000000" w:themeColor="text1"/>
            </w:rPr>
          </w:pPr>
          <w:hyperlink w:anchor="_Toc233900768" w:history="1">
            <w:r w:rsidRPr="00D847CB">
              <w:rPr>
                <w:rStyle w:val="Hipervnculo"/>
                <w:noProof/>
                <w:color w:val="000000" w:themeColor="text1"/>
              </w:rPr>
              <w:t>V. Automatización recomendada</w:t>
            </w:r>
            <w:r w:rsidRPr="00D847CB">
              <w:rPr>
                <w:noProof/>
                <w:webHidden/>
                <w:color w:val="000000" w:themeColor="text1"/>
              </w:rPr>
              <w:tab/>
            </w:r>
            <w:r w:rsidRPr="00D847CB">
              <w:rPr>
                <w:noProof/>
                <w:webHidden/>
                <w:color w:val="000000" w:themeColor="text1"/>
              </w:rPr>
              <w:fldChar w:fldCharType="begin"/>
            </w:r>
            <w:r w:rsidRPr="00D847CB">
              <w:rPr>
                <w:noProof/>
                <w:webHidden/>
                <w:color w:val="000000" w:themeColor="text1"/>
              </w:rPr>
              <w:instrText xml:space="preserve"> PAGEREF _Toc233900768 \h </w:instrText>
            </w:r>
            <w:r w:rsidRPr="00D847CB">
              <w:rPr>
                <w:noProof/>
                <w:webHidden/>
                <w:color w:val="000000" w:themeColor="text1"/>
              </w:rPr>
            </w:r>
            <w:r w:rsidRPr="00D847CB">
              <w:rPr>
                <w:noProof/>
                <w:webHidden/>
                <w:color w:val="000000" w:themeColor="text1"/>
              </w:rPr>
              <w:fldChar w:fldCharType="separate"/>
            </w:r>
            <w:r w:rsidRPr="00D847CB">
              <w:rPr>
                <w:noProof/>
                <w:webHidden/>
                <w:color w:val="000000" w:themeColor="text1"/>
              </w:rPr>
              <w:t>1</w:t>
            </w:r>
            <w:r w:rsidRPr="00D847CB">
              <w:rPr>
                <w:noProof/>
                <w:webHidden/>
                <w:color w:val="000000" w:themeColor="text1"/>
              </w:rPr>
              <w:fldChar w:fldCharType="end"/>
            </w:r>
          </w:hyperlink>
        </w:p>
        <w:p w14:paraId="0F810D72" w14:textId="77777777" w:rsidR="006B61FC" w:rsidRPr="00D847CB" w:rsidRDefault="00000000">
          <w:pPr>
            <w:rPr>
              <w:color w:val="000000" w:themeColor="text1"/>
            </w:rPr>
          </w:pPr>
          <w:r w:rsidRPr="00D847CB">
            <w:rPr>
              <w:color w:val="000000" w:themeColor="text1"/>
            </w:rPr>
            <w:fldChar w:fldCharType="end"/>
          </w:r>
        </w:p>
      </w:sdtContent>
    </w:sdt>
    <w:p w14:paraId="64ED7D8B" w14:textId="77777777" w:rsidR="006B61FC" w:rsidRPr="00D847CB" w:rsidRDefault="00000000">
      <w:pPr>
        <w:pStyle w:val="FirstParagraph"/>
        <w:rPr>
          <w:color w:val="000000" w:themeColor="text1"/>
        </w:rPr>
      </w:pPr>
      <w:r w:rsidRPr="00D847CB">
        <w:rPr>
          <w:b/>
          <w:bCs/>
          <w:color w:val="000000" w:themeColor="text1"/>
        </w:rPr>
        <w:t>FUNDACIÓN CIGOB</w:t>
      </w:r>
    </w:p>
    <w:p w14:paraId="05F62101" w14:textId="77777777" w:rsidR="006B61FC" w:rsidRPr="00D847CB" w:rsidRDefault="00000000">
      <w:pPr>
        <w:pStyle w:val="Textoindependiente"/>
        <w:rPr>
          <w:color w:val="000000" w:themeColor="text1"/>
        </w:rPr>
      </w:pPr>
      <w:r w:rsidRPr="00D847CB">
        <w:rPr>
          <w:color w:val="000000" w:themeColor="text1"/>
        </w:rPr>
        <w:t>Ciencias y Métodos de Gobierno</w:t>
      </w:r>
    </w:p>
    <w:p w14:paraId="4E5CDF3B" w14:textId="77777777" w:rsidR="006B61FC" w:rsidRPr="00D847CB" w:rsidRDefault="00000000">
      <w:pPr>
        <w:pStyle w:val="Textoindependiente"/>
        <w:rPr>
          <w:color w:val="000000" w:themeColor="text1"/>
        </w:rPr>
      </w:pPr>
      <w:r w:rsidRPr="00D847CB">
        <w:rPr>
          <w:b/>
          <w:bCs/>
          <w:color w:val="000000" w:themeColor="text1"/>
        </w:rPr>
        <w:t>ÍNDICE DE TENSIÓN DEL CINTURÓN DE VIDA COTIDIANA (ITVC) — VERSIÓN BASE 100</w:t>
      </w:r>
    </w:p>
    <w:p w14:paraId="5BECB94B" w14:textId="77777777" w:rsidR="006B61FC" w:rsidRPr="00D847CB" w:rsidRDefault="00000000">
      <w:pPr>
        <w:pStyle w:val="Textoindependiente"/>
        <w:rPr>
          <w:color w:val="000000" w:themeColor="text1"/>
        </w:rPr>
      </w:pPr>
      <w:r w:rsidRPr="00D847CB">
        <w:rPr>
          <w:color w:val="000000" w:themeColor="text1"/>
        </w:rPr>
        <w:t>Metodología de seguimiento de gestión: Argentina, promedio 4º trimestre 2023 = 100</w:t>
      </w:r>
    </w:p>
    <w:p w14:paraId="238D4A70" w14:textId="77777777" w:rsidR="006B61FC" w:rsidRPr="00D847CB" w:rsidRDefault="00000000">
      <w:pPr>
        <w:pStyle w:val="Textoindependiente"/>
        <w:rPr>
          <w:color w:val="000000" w:themeColor="text1"/>
        </w:rPr>
      </w:pPr>
      <w:r w:rsidRPr="00D847CB">
        <w:rPr>
          <w:b/>
          <w:bCs/>
          <w:color w:val="000000" w:themeColor="text1"/>
        </w:rPr>
        <w:t>Documento final — versión para producción</w:t>
      </w:r>
    </w:p>
    <w:p w14:paraId="7E6D7C81" w14:textId="77777777" w:rsidR="006B61FC" w:rsidRPr="00D847CB" w:rsidRDefault="00000000">
      <w:pPr>
        <w:pStyle w:val="Ttulo2"/>
        <w:rPr>
          <w:color w:val="000000" w:themeColor="text1"/>
        </w:rPr>
      </w:pPr>
      <w:bookmarkStart w:id="0" w:name="resumen-ejecutivo-de-la-reformulación"/>
      <w:bookmarkStart w:id="1" w:name="_Toc233900753"/>
      <w:r w:rsidRPr="00D847CB">
        <w:rPr>
          <w:color w:val="000000" w:themeColor="text1"/>
        </w:rPr>
        <w:t>Resumen ejecutivo de la reformulación</w:t>
      </w:r>
      <w:bookmarkEnd w:id="1"/>
    </w:p>
    <w:p w14:paraId="494E6E8D" w14:textId="77777777" w:rsidR="006B61FC" w:rsidRPr="00D847CB" w:rsidRDefault="00000000">
      <w:pPr>
        <w:pStyle w:val="FirstParagraph"/>
        <w:rPr>
          <w:color w:val="000000" w:themeColor="text1"/>
        </w:rPr>
      </w:pPr>
      <w:r w:rsidRPr="00D847CB">
        <w:rPr>
          <w:color w:val="000000" w:themeColor="text1"/>
        </w:rPr>
        <w:t xml:space="preserve">Este documento reformula el ITVC original de CIGOB (mayo 2026) para convertirlo en un </w:t>
      </w:r>
      <w:r w:rsidRPr="00D847CB">
        <w:rPr>
          <w:b/>
          <w:bCs/>
          <w:color w:val="000000" w:themeColor="text1"/>
        </w:rPr>
        <w:t>índice de seguimiento de gestión</w:t>
      </w:r>
      <w:r w:rsidRPr="00D847CB">
        <w:rPr>
          <w:color w:val="000000" w:themeColor="text1"/>
        </w:rPr>
        <w:t>, en vez de una fotografía de nivel absoluto. Mantiene intactas las 5 dimensiones, los 12 indicadores y los pesos relativos del documento original; lo que cambia es exclusivamente el método de puntuación. Los tres ajustes incorporados son:</w:t>
      </w:r>
    </w:p>
    <w:p w14:paraId="60F403A4" w14:textId="77777777" w:rsidR="006B61FC" w:rsidRPr="00D847CB" w:rsidRDefault="00000000">
      <w:pPr>
        <w:pStyle w:val="Compact"/>
        <w:numPr>
          <w:ilvl w:val="0"/>
          <w:numId w:val="2"/>
        </w:numPr>
        <w:rPr>
          <w:color w:val="000000" w:themeColor="text1"/>
        </w:rPr>
      </w:pPr>
      <w:r w:rsidRPr="00D847CB">
        <w:rPr>
          <w:b/>
          <w:bCs/>
          <w:color w:val="000000" w:themeColor="text1"/>
        </w:rPr>
        <w:t>Línea de base trimestral.</w:t>
      </w:r>
      <w:r w:rsidRPr="00D847CB">
        <w:rPr>
          <w:color w:val="000000" w:themeColor="text1"/>
        </w:rPr>
        <w:t xml:space="preserve"> Cada indicador se rebasea a 100 en el </w:t>
      </w:r>
      <w:r w:rsidRPr="00D847CB">
        <w:rPr>
          <w:b/>
          <w:bCs/>
          <w:color w:val="000000" w:themeColor="text1"/>
        </w:rPr>
        <w:t>promedio del 4º trimestre de 2023</w:t>
      </w:r>
      <w:r w:rsidRPr="00D847CB">
        <w:rPr>
          <w:color w:val="000000" w:themeColor="text1"/>
        </w:rPr>
        <w:t xml:space="preserve"> (octubre-noviembre-diciembre), en vez de </w:t>
      </w:r>
      <w:r w:rsidRPr="00D847CB">
        <w:rPr>
          <w:color w:val="000000" w:themeColor="text1"/>
        </w:rPr>
        <w:lastRenderedPageBreak/>
        <w:t>diciembre puntual, para atenuar la distorsión que introduce la devaluación de fin de diciembre de 2023 en los indicadores más sensibles al tipo de cambio.</w:t>
      </w:r>
    </w:p>
    <w:p w14:paraId="0C3CA46A" w14:textId="77777777" w:rsidR="006B61FC" w:rsidRPr="00D847CB" w:rsidRDefault="00000000">
      <w:pPr>
        <w:pStyle w:val="Compact"/>
        <w:numPr>
          <w:ilvl w:val="0"/>
          <w:numId w:val="2"/>
        </w:numPr>
        <w:rPr>
          <w:color w:val="000000" w:themeColor="text1"/>
        </w:rPr>
      </w:pPr>
      <w:r w:rsidRPr="00D847CB">
        <w:rPr>
          <w:b/>
          <w:bCs/>
          <w:color w:val="000000" w:themeColor="text1"/>
        </w:rPr>
        <w:t>Corrección de indicadores de tasa mensual.</w:t>
      </w:r>
      <w:r w:rsidRPr="00D847CB">
        <w:rPr>
          <w:color w:val="000000" w:themeColor="text1"/>
        </w:rPr>
        <w:t xml:space="preserve"> Inflación de alimentos, tarifas, actividad industrial (IPI) y construcción (ISAC) dejan de puntuarse con la variación de un mes puntual y pasan </w:t>
      </w:r>
      <w:proofErr w:type="gramStart"/>
      <w:r w:rsidRPr="00D847CB">
        <w:rPr>
          <w:color w:val="000000" w:themeColor="text1"/>
        </w:rPr>
        <w:t>a</w:t>
      </w:r>
      <w:proofErr w:type="gramEnd"/>
      <w:r w:rsidRPr="00D847CB">
        <w:rPr>
          <w:color w:val="000000" w:themeColor="text1"/>
        </w:rPr>
        <w:t xml:space="preserve"> indexar el </w:t>
      </w:r>
      <w:r w:rsidRPr="00D847CB">
        <w:rPr>
          <w:b/>
          <w:bCs/>
          <w:color w:val="000000" w:themeColor="text1"/>
        </w:rPr>
        <w:t>nivel</w:t>
      </w:r>
      <w:r w:rsidRPr="00D847CB">
        <w:rPr>
          <w:color w:val="000000" w:themeColor="text1"/>
        </w:rPr>
        <w:t xml:space="preserve"> del índice de precios o actividad correspondiente, para acumular correctamente la ganancia o pérdida en el tiempo.</w:t>
      </w:r>
    </w:p>
    <w:p w14:paraId="0D7C3753" w14:textId="77777777" w:rsidR="006B61FC" w:rsidRPr="00D847CB" w:rsidRDefault="00000000">
      <w:pPr>
        <w:pStyle w:val="Compact"/>
        <w:numPr>
          <w:ilvl w:val="0"/>
          <w:numId w:val="2"/>
        </w:numPr>
        <w:rPr>
          <w:color w:val="000000" w:themeColor="text1"/>
        </w:rPr>
      </w:pPr>
      <w:r w:rsidRPr="00D847CB">
        <w:rPr>
          <w:b/>
          <w:bCs/>
          <w:color w:val="000000" w:themeColor="text1"/>
        </w:rPr>
        <w:t>Corrección de polaridad en endeudamiento de consumo.</w:t>
      </w:r>
      <w:r w:rsidRPr="00D847CB">
        <w:rPr>
          <w:color w:val="000000" w:themeColor="text1"/>
        </w:rPr>
        <w:t xml:space="preserve"> Deja de invertirse automáticamente (asumiendo que “menos deuda = mejora”) y se corrige con la tasa de mora de la cartera de consumo, que es la variable que efectivamente distingue mayor acceso al crédito de sobreendeudamiento por necesidad.</w:t>
      </w:r>
    </w:p>
    <w:p w14:paraId="71632332" w14:textId="77777777" w:rsidR="006B61FC" w:rsidRPr="00D847CB" w:rsidRDefault="00000000">
      <w:pPr>
        <w:pStyle w:val="Ttulo1"/>
        <w:rPr>
          <w:color w:val="000000" w:themeColor="text1"/>
        </w:rPr>
      </w:pPr>
      <w:bookmarkStart w:id="2" w:name="i.-metodología-general-de-rebasing"/>
      <w:bookmarkStart w:id="3" w:name="_Toc233900754"/>
      <w:bookmarkEnd w:id="0"/>
      <w:r w:rsidRPr="00D847CB">
        <w:rPr>
          <w:color w:val="000000" w:themeColor="text1"/>
        </w:rPr>
        <w:t>I. Metodología general de rebasing</w:t>
      </w:r>
      <w:bookmarkEnd w:id="3"/>
    </w:p>
    <w:p w14:paraId="034A3046" w14:textId="77777777" w:rsidR="006B61FC" w:rsidRPr="00D847CB" w:rsidRDefault="00000000">
      <w:pPr>
        <w:pStyle w:val="Ttulo2"/>
        <w:rPr>
          <w:color w:val="000000" w:themeColor="text1"/>
        </w:rPr>
      </w:pPr>
      <w:bookmarkStart w:id="4" w:name="regla-general-de-rebasing"/>
      <w:bookmarkStart w:id="5" w:name="_Toc233900755"/>
      <w:r w:rsidRPr="00D847CB">
        <w:rPr>
          <w:color w:val="000000" w:themeColor="text1"/>
        </w:rPr>
        <w:t>Regla general de rebasing</w:t>
      </w:r>
      <w:bookmarkEnd w:id="5"/>
    </w:p>
    <w:p w14:paraId="502AB1B0" w14:textId="77777777" w:rsidR="006B61FC" w:rsidRPr="00D847CB" w:rsidRDefault="00000000">
      <w:pPr>
        <w:pStyle w:val="FirstParagraph"/>
        <w:rPr>
          <w:color w:val="000000" w:themeColor="text1"/>
        </w:rPr>
      </w:pPr>
      <w:r w:rsidRPr="00D847CB">
        <w:rPr>
          <w:color w:val="000000" w:themeColor="text1"/>
        </w:rPr>
        <w:t xml:space="preserve">Para cada indicador </w:t>
      </w:r>
      <w:r w:rsidRPr="00D847CB">
        <w:rPr>
          <w:i/>
          <w:iCs/>
          <w:color w:val="000000" w:themeColor="text1"/>
        </w:rPr>
        <w:t>i</w:t>
      </w:r>
      <w:r w:rsidRPr="00D847CB">
        <w:rPr>
          <w:color w:val="000000" w:themeColor="text1"/>
        </w:rPr>
        <w:t>, con V₀ᵢ = valor promedio del 4º trimestre de 2023 (octubre-noviembre-diciembre) y Vₜᵢ = valor observado en el mes de análisis:</w:t>
      </w:r>
    </w:p>
    <w:p w14:paraId="10EF98FD" w14:textId="77777777" w:rsidR="006B61FC" w:rsidRPr="00D847CB" w:rsidRDefault="00000000">
      <w:pPr>
        <w:pStyle w:val="Textoindependiente"/>
        <w:rPr>
          <w:color w:val="000000" w:themeColor="text1"/>
        </w:rPr>
      </w:pPr>
      <w:r w:rsidRPr="00D847CB">
        <w:rPr>
          <w:b/>
          <w:bCs/>
          <w:color w:val="000000" w:themeColor="text1"/>
        </w:rPr>
        <w:t>Si el indicador es “cuanto más alto, mejor”</w:t>
      </w:r>
      <w:r w:rsidRPr="00D847CB">
        <w:rPr>
          <w:color w:val="000000" w:themeColor="text1"/>
        </w:rPr>
        <w:t xml:space="preserve"> (ej. salario real, actividad industrial, confianza):</w:t>
      </w:r>
    </w:p>
    <w:p w14:paraId="52CCE98A" w14:textId="77777777" w:rsidR="006B61FC" w:rsidRPr="00D847CB" w:rsidRDefault="00000000">
      <w:pPr>
        <w:pStyle w:val="SourceCode"/>
        <w:rPr>
          <w:color w:val="000000" w:themeColor="text1"/>
        </w:rPr>
      </w:pPr>
      <w:r w:rsidRPr="00D847CB">
        <w:rPr>
          <w:rStyle w:val="VerbatimChar"/>
          <w:color w:val="000000" w:themeColor="text1"/>
        </w:rPr>
        <w:t>Iᵢ(t) = (Vₜᵢ / V₀ᵢ) × 100</w:t>
      </w:r>
    </w:p>
    <w:p w14:paraId="1A2845DA" w14:textId="77777777" w:rsidR="006B61FC" w:rsidRPr="00D847CB" w:rsidRDefault="00000000">
      <w:pPr>
        <w:pStyle w:val="FirstParagraph"/>
        <w:rPr>
          <w:color w:val="000000" w:themeColor="text1"/>
        </w:rPr>
      </w:pPr>
      <w:r w:rsidRPr="00D847CB">
        <w:rPr>
          <w:b/>
          <w:bCs/>
          <w:color w:val="000000" w:themeColor="text1"/>
        </w:rPr>
        <w:t>Si el indicador es “cuanto más alto, peor”</w:t>
      </w:r>
      <w:r w:rsidRPr="00D847CB">
        <w:rPr>
          <w:color w:val="000000" w:themeColor="text1"/>
        </w:rPr>
        <w:t xml:space="preserve"> (ej. informalidad, inflación de alimentos, tarifas, delitos):</w:t>
      </w:r>
    </w:p>
    <w:p w14:paraId="160C7332" w14:textId="77777777" w:rsidR="006B61FC" w:rsidRPr="00D847CB" w:rsidRDefault="00000000">
      <w:pPr>
        <w:pStyle w:val="SourceCode"/>
        <w:rPr>
          <w:color w:val="000000" w:themeColor="text1"/>
        </w:rPr>
      </w:pPr>
      <w:r w:rsidRPr="00D847CB">
        <w:rPr>
          <w:rStyle w:val="VerbatimChar"/>
          <w:color w:val="000000" w:themeColor="text1"/>
        </w:rPr>
        <w:t>Iᵢ(t) = (V₀ᵢ / Vₜᵢ) × 100</w:t>
      </w:r>
    </w:p>
    <w:p w14:paraId="76AC0513" w14:textId="77777777" w:rsidR="006B61FC" w:rsidRPr="00D847CB" w:rsidRDefault="00000000">
      <w:pPr>
        <w:pStyle w:val="FirstParagraph"/>
        <w:rPr>
          <w:color w:val="000000" w:themeColor="text1"/>
        </w:rPr>
      </w:pPr>
      <w:r w:rsidRPr="00D847CB">
        <w:rPr>
          <w:color w:val="000000" w:themeColor="text1"/>
        </w:rPr>
        <w:t xml:space="preserve">En ambos casos: </w:t>
      </w:r>
      <w:r w:rsidRPr="00D847CB">
        <w:rPr>
          <w:b/>
          <w:bCs/>
          <w:color w:val="000000" w:themeColor="text1"/>
        </w:rPr>
        <w:t>Iᵢ(t) = 100 significa “igual que en el promedio del 4º trimestre de 2023”; Iᵢ(t) &gt; 100 significa mejora de gestión; Iᵢ(t) &lt; 100 significa deterioro.</w:t>
      </w:r>
    </w:p>
    <w:p w14:paraId="404BA7C8" w14:textId="77777777" w:rsidR="006B61FC" w:rsidRPr="00D847CB" w:rsidRDefault="00000000">
      <w:pPr>
        <w:pStyle w:val="Textoindependiente"/>
        <w:rPr>
          <w:color w:val="000000" w:themeColor="text1"/>
        </w:rPr>
      </w:pPr>
      <w:r w:rsidRPr="00D847CB">
        <w:rPr>
          <w:b/>
          <w:bCs/>
          <w:color w:val="000000" w:themeColor="text1"/>
        </w:rPr>
        <w:t>Excepción a la regla de polaridad fija:</w:t>
      </w:r>
      <w:r w:rsidRPr="00D847CB">
        <w:rPr>
          <w:color w:val="000000" w:themeColor="text1"/>
        </w:rPr>
        <w:t xml:space="preserve"> el indicador de endeudamiento de consumo (Dimensión 3) no encaja en ninguna de las dos categorías anteriores, porque “más deuda” no es en sí mismo bueno ni malo — depende de si viene acompañado de mayor o menor mora. Por eso este indicador tiene un tratamiento propio, detallado en su ficha específica más abajo, que no invierte la polaridad de forma automática.</w:t>
      </w:r>
    </w:p>
    <w:p w14:paraId="3170837E" w14:textId="77777777" w:rsidR="006B61FC" w:rsidRPr="00D847CB" w:rsidRDefault="00000000">
      <w:pPr>
        <w:pStyle w:val="Ttulo2"/>
        <w:rPr>
          <w:color w:val="000000" w:themeColor="text1"/>
        </w:rPr>
      </w:pPr>
      <w:bookmarkStart w:id="6" w:name="X31e6cddf24ac032856cc71756968c681bfab938"/>
      <w:bookmarkStart w:id="7" w:name="_Toc233900756"/>
      <w:bookmarkEnd w:id="4"/>
      <w:r w:rsidRPr="00D847CB">
        <w:rPr>
          <w:color w:val="000000" w:themeColor="text1"/>
        </w:rPr>
        <w:t>Caso especial: indicadores que son tasas mensuales, no niveles</w:t>
      </w:r>
      <w:bookmarkEnd w:id="7"/>
    </w:p>
    <w:p w14:paraId="44713876" w14:textId="77777777" w:rsidR="006B61FC" w:rsidRPr="00D847CB" w:rsidRDefault="00000000">
      <w:pPr>
        <w:pStyle w:val="FirstParagraph"/>
        <w:rPr>
          <w:color w:val="000000" w:themeColor="text1"/>
        </w:rPr>
      </w:pPr>
      <w:r w:rsidRPr="00D847CB">
        <w:rPr>
          <w:color w:val="000000" w:themeColor="text1"/>
        </w:rPr>
        <w:t xml:space="preserve">Cuatro indicadores del documento original (inflación de alimentos, tarifas, actividad industrial e ISAC) están definidos como </w:t>
      </w:r>
      <w:r w:rsidRPr="00D847CB">
        <w:rPr>
          <w:b/>
          <w:bCs/>
          <w:color w:val="000000" w:themeColor="text1"/>
        </w:rPr>
        <w:t>variaciones porcentuales</w:t>
      </w:r>
      <w:r w:rsidRPr="00D847CB">
        <w:rPr>
          <w:color w:val="000000" w:themeColor="text1"/>
        </w:rPr>
        <w:t>, no como niveles. Una tasa mensual no se puede rebasear directamente a 100 de forma significativa (rebasear “1,5% mensual” no tiene interpretación económica). La corrección metodológica es:</w:t>
      </w:r>
    </w:p>
    <w:p w14:paraId="468FEFD7" w14:textId="77777777" w:rsidR="006B61FC" w:rsidRPr="00D847CB" w:rsidRDefault="00000000">
      <w:pPr>
        <w:pStyle w:val="Compact"/>
        <w:numPr>
          <w:ilvl w:val="0"/>
          <w:numId w:val="3"/>
        </w:numPr>
        <w:rPr>
          <w:color w:val="000000" w:themeColor="text1"/>
        </w:rPr>
      </w:pPr>
      <w:r w:rsidRPr="00D847CB">
        <w:rPr>
          <w:color w:val="000000" w:themeColor="text1"/>
        </w:rPr>
        <w:lastRenderedPageBreak/>
        <w:t xml:space="preserve">Para </w:t>
      </w:r>
      <w:r w:rsidRPr="00D847CB">
        <w:rPr>
          <w:b/>
          <w:bCs/>
          <w:color w:val="000000" w:themeColor="text1"/>
        </w:rPr>
        <w:t>inflación de alimentos</w:t>
      </w:r>
      <w:r w:rsidRPr="00D847CB">
        <w:rPr>
          <w:color w:val="000000" w:themeColor="text1"/>
        </w:rPr>
        <w:t xml:space="preserve"> y </w:t>
      </w:r>
      <w:r w:rsidRPr="00D847CB">
        <w:rPr>
          <w:b/>
          <w:bCs/>
          <w:color w:val="000000" w:themeColor="text1"/>
        </w:rPr>
        <w:t>tarifas</w:t>
      </w:r>
      <w:r w:rsidRPr="00D847CB">
        <w:rPr>
          <w:color w:val="000000" w:themeColor="text1"/>
        </w:rPr>
        <w:t xml:space="preserve">: en vez de la variación mensual, indexar el </w:t>
      </w:r>
      <w:r w:rsidRPr="00D847CB">
        <w:rPr>
          <w:b/>
          <w:bCs/>
          <w:color w:val="000000" w:themeColor="text1"/>
        </w:rPr>
        <w:t>nivel del índice de precios</w:t>
      </w:r>
      <w:r w:rsidRPr="00D847CB">
        <w:rPr>
          <w:color w:val="000000" w:themeColor="text1"/>
        </w:rPr>
        <w:t xml:space="preserve"> de esa división (IPC división Alimentos y Bebidas; cuadro tarifario de servicios regulados), tomando como base el </w:t>
      </w:r>
      <w:r w:rsidRPr="00D847CB">
        <w:rPr>
          <w:b/>
          <w:bCs/>
          <w:color w:val="000000" w:themeColor="text1"/>
        </w:rPr>
        <w:t>promedio del nivel de esos índices en el 4º trimestre de 2023</w:t>
      </w:r>
      <w:r w:rsidRPr="00D847CB">
        <w:rPr>
          <w:color w:val="000000" w:themeColor="text1"/>
        </w:rPr>
        <w:t xml:space="preserve"> = 100. Esto captura la pérdida acumulada de poder adquisitivo específico, no solo el ritmo de un mes puntual, y además diluye la distorsión que introduciría usar diciembre de 2023 aislado (mes con inflación de alimentos del 29,7%, la más alta del año, por el traspaso a precios de la devaluación).</w:t>
      </w:r>
    </w:p>
    <w:p w14:paraId="1AF0F74E" w14:textId="77777777" w:rsidR="006B61FC" w:rsidRPr="00D847CB" w:rsidRDefault="00000000">
      <w:pPr>
        <w:pStyle w:val="Compact"/>
        <w:numPr>
          <w:ilvl w:val="0"/>
          <w:numId w:val="3"/>
        </w:numPr>
        <w:rPr>
          <w:color w:val="000000" w:themeColor="text1"/>
        </w:rPr>
      </w:pPr>
      <w:r w:rsidRPr="00D847CB">
        <w:rPr>
          <w:color w:val="000000" w:themeColor="text1"/>
        </w:rPr>
        <w:t xml:space="preserve">Para </w:t>
      </w:r>
      <w:r w:rsidRPr="00D847CB">
        <w:rPr>
          <w:b/>
          <w:bCs/>
          <w:color w:val="000000" w:themeColor="text1"/>
        </w:rPr>
        <w:t>actividad industrial (IPI)</w:t>
      </w:r>
      <w:r w:rsidRPr="00D847CB">
        <w:rPr>
          <w:color w:val="000000" w:themeColor="text1"/>
        </w:rPr>
        <w:t xml:space="preserve"> e </w:t>
      </w:r>
      <w:r w:rsidRPr="00D847CB">
        <w:rPr>
          <w:b/>
          <w:bCs/>
          <w:color w:val="000000" w:themeColor="text1"/>
        </w:rPr>
        <w:t>ISAC</w:t>
      </w:r>
      <w:r w:rsidRPr="00D847CB">
        <w:rPr>
          <w:color w:val="000000" w:themeColor="text1"/>
        </w:rPr>
        <w:t xml:space="preserve">: estos ya existen como índices de nivel publicados por INDEC con base propia (IPI base 2004=100, ISAC con su propia base); alcanza con calcular el promedio del índice en octubre-noviembre-diciembre de 2023 y reconvertir la serie completa </w:t>
      </w:r>
      <w:proofErr w:type="gramStart"/>
      <w:r w:rsidRPr="00D847CB">
        <w:rPr>
          <w:color w:val="000000" w:themeColor="text1"/>
        </w:rPr>
        <w:t>a</w:t>
      </w:r>
      <w:proofErr w:type="gramEnd"/>
      <w:r w:rsidRPr="00D847CB">
        <w:rPr>
          <w:color w:val="000000" w:themeColor="text1"/>
        </w:rPr>
        <w:t xml:space="preserve"> esa base = 100 mediante regla de tres simple, sin usar la variación interanual como score.</w:t>
      </w:r>
    </w:p>
    <w:p w14:paraId="294C29E7" w14:textId="77777777" w:rsidR="006B61FC" w:rsidRPr="00D847CB" w:rsidRDefault="00000000">
      <w:pPr>
        <w:pStyle w:val="Ttulo1"/>
        <w:rPr>
          <w:color w:val="000000" w:themeColor="text1"/>
        </w:rPr>
      </w:pPr>
      <w:bookmarkStart w:id="8" w:name="X2f51e616b9abaeabf409d04510f8c7c96b13a46"/>
      <w:bookmarkStart w:id="9" w:name="_Toc233900757"/>
      <w:bookmarkEnd w:id="2"/>
      <w:bookmarkEnd w:id="6"/>
      <w:r w:rsidRPr="00D847CB">
        <w:rPr>
          <w:color w:val="000000" w:themeColor="text1"/>
        </w:rPr>
        <w:t>II. Los doce indicadores: fuente, fórmula y relevancia</w:t>
      </w:r>
      <w:bookmarkEnd w:id="9"/>
    </w:p>
    <w:p w14:paraId="69F05018" w14:textId="77777777" w:rsidR="006B61FC" w:rsidRPr="00D847CB" w:rsidRDefault="00000000">
      <w:pPr>
        <w:pStyle w:val="Ttulo2"/>
        <w:rPr>
          <w:color w:val="000000" w:themeColor="text1"/>
        </w:rPr>
      </w:pPr>
      <w:bookmarkStart w:id="10" w:name="X179e244f51e6b5d654ba05bd8f466c5c1616e82"/>
      <w:bookmarkStart w:id="11" w:name="_Toc233900758"/>
      <w:r w:rsidRPr="00D847CB">
        <w:rPr>
          <w:color w:val="000000" w:themeColor="text1"/>
        </w:rPr>
        <w:t>DIMENSIÓN 1: SOSTENIBILIDAD DE INGRESOS (35% del total)</w:t>
      </w:r>
      <w:bookmarkEnd w:id="11"/>
    </w:p>
    <w:p w14:paraId="433D8601" w14:textId="77777777" w:rsidR="006B61FC" w:rsidRPr="00D847CB" w:rsidRDefault="00000000">
      <w:pPr>
        <w:pStyle w:val="Ttulo3"/>
        <w:rPr>
          <w:color w:val="000000" w:themeColor="text1"/>
        </w:rPr>
      </w:pPr>
      <w:bookmarkStart w:id="12" w:name="X66ef3b1a9936d8003c12a350c31b4c68e01ae04"/>
      <w:r w:rsidRPr="00D847CB">
        <w:rPr>
          <w:color w:val="000000" w:themeColor="text1"/>
        </w:rPr>
        <w:t>A) Salario real vs. Canasta Básica — 65% de la dimensión = 22,75% del total</w:t>
      </w:r>
    </w:p>
    <w:p w14:paraId="2A4AB3AC" w14:textId="77777777" w:rsidR="006B61FC" w:rsidRPr="00D847CB" w:rsidRDefault="00000000">
      <w:pPr>
        <w:pStyle w:val="FirstParagraph"/>
        <w:rPr>
          <w:color w:val="000000" w:themeColor="text1"/>
        </w:rPr>
      </w:pPr>
      <w:r w:rsidRPr="00D847CB">
        <w:rPr>
          <w:b/>
          <w:bCs/>
          <w:color w:val="000000" w:themeColor="text1"/>
        </w:rPr>
        <w:t>Definición:</w:t>
      </w:r>
      <w:r w:rsidRPr="00D847CB">
        <w:rPr>
          <w:color w:val="000000" w:themeColor="text1"/>
        </w:rPr>
        <w:t xml:space="preserve"> Cantidad de Canastas Básicas Totales (CBT, familia tipo, INDEC) que cubre el salario formal promedio (RIPTE, Secretaría de Trabajo).</w:t>
      </w:r>
    </w:p>
    <w:p w14:paraId="0EDBA920" w14:textId="77777777" w:rsidR="006B61FC" w:rsidRPr="00D847CB" w:rsidRDefault="00000000">
      <w:pPr>
        <w:pStyle w:val="Textoindependiente"/>
        <w:rPr>
          <w:color w:val="000000" w:themeColor="text1"/>
        </w:rPr>
      </w:pPr>
      <w:r w:rsidRPr="00D847CB">
        <w:rPr>
          <w:b/>
          <w:bCs/>
          <w:color w:val="000000" w:themeColor="text1"/>
        </w:rPr>
        <w:t>Fuente:</w:t>
      </w:r>
      <w:r w:rsidRPr="00D847CB">
        <w:rPr>
          <w:color w:val="000000" w:themeColor="text1"/>
        </w:rPr>
        <w:t xml:space="preserve"> INDEC (CBT, mensual) + Secretaría de Trabajo, Empleo y Seguridad Social — RIPTE (mensual). Ambas series están disponibles en datos.gob.ar vía la API de Series de Tiempo, lo que permite automatizar el cálculo del ratio.</w:t>
      </w:r>
    </w:p>
    <w:p w14:paraId="1BF3E9B9" w14:textId="77777777" w:rsidR="006B61FC" w:rsidRPr="00D847CB" w:rsidRDefault="00000000">
      <w:pPr>
        <w:pStyle w:val="Textoindependiente"/>
        <w:rPr>
          <w:color w:val="000000" w:themeColor="text1"/>
        </w:rPr>
      </w:pPr>
      <w:r w:rsidRPr="00D847CB">
        <w:rPr>
          <w:b/>
          <w:bCs/>
          <w:color w:val="000000" w:themeColor="text1"/>
        </w:rPr>
        <w:t>Valor base (promedio 4T-2023):</w:t>
      </w:r>
      <w:r w:rsidRPr="00D847CB">
        <w:rPr>
          <w:color w:val="000000" w:themeColor="text1"/>
        </w:rPr>
        <w:t xml:space="preserve"> </w:t>
      </w:r>
      <w:r w:rsidRPr="00D847CB">
        <w:rPr>
          <w:i/>
          <w:iCs/>
          <w:color w:val="000000" w:themeColor="text1"/>
        </w:rPr>
        <w:t>[a completar con el promedio del dato oficial INDEC/RIPTE de octubre, noviembre y diciembre de 2023. Referencia de contexto: el ratio de noviembre 2023 rondaba ~2,99 CBT según cálculos de prensa especializada, mientras que diciembre cayó abruptamente a ~1,70 CBT por el traspaso a precios de la devaluación — el promedio trimestral atenúa ese quiebre puntual de fin de año y se recomienda calcularlo con la serie oficial completa antes de fijarlo como línea base]</w:t>
      </w:r>
    </w:p>
    <w:p w14:paraId="775A216A" w14:textId="77777777" w:rsidR="006B61FC" w:rsidRPr="00D847CB" w:rsidRDefault="00000000">
      <w:pPr>
        <w:pStyle w:val="Textoindependiente"/>
        <w:rPr>
          <w:color w:val="000000" w:themeColor="text1"/>
        </w:rPr>
      </w:pPr>
      <w:r w:rsidRPr="00D847CB">
        <w:rPr>
          <w:b/>
          <w:bCs/>
          <w:color w:val="000000" w:themeColor="text1"/>
        </w:rPr>
        <w:t>Fórmula:</w:t>
      </w:r>
      <w:r w:rsidRPr="00D847CB">
        <w:rPr>
          <w:color w:val="000000" w:themeColor="text1"/>
        </w:rPr>
        <w:t xml:space="preserve"> </w:t>
      </w:r>
      <w:r w:rsidRPr="00D847CB">
        <w:rPr>
          <w:rStyle w:val="VerbatimChar"/>
          <w:color w:val="000000" w:themeColor="text1"/>
        </w:rPr>
        <w:t>I_SRC(t) = (Ratio_CBTₜ / Ratio_CBT_T423) × 100</w:t>
      </w:r>
    </w:p>
    <w:p w14:paraId="57C0DD16" w14:textId="77777777" w:rsidR="006B61FC" w:rsidRPr="00D847CB" w:rsidRDefault="00000000">
      <w:pPr>
        <w:pStyle w:val="Textoindependiente"/>
        <w:rPr>
          <w:color w:val="000000" w:themeColor="text1"/>
        </w:rPr>
      </w:pPr>
      <w:r w:rsidRPr="00D847CB">
        <w:rPr>
          <w:b/>
          <w:bCs/>
          <w:color w:val="000000" w:themeColor="text1"/>
        </w:rPr>
        <w:t>Relevancia (por qué 65% de la dimensión):</w:t>
      </w:r>
      <w:r w:rsidRPr="00D847CB">
        <w:rPr>
          <w:color w:val="000000" w:themeColor="text1"/>
        </w:rPr>
        <w:t xml:space="preserve"> es la métrica más directa de si el ciudadano puede vivir con su ingreso formal; cualquier otra variable de esta dimensión es secundaria </w:t>
      </w:r>
      <w:proofErr w:type="gramStart"/>
      <w:r w:rsidRPr="00D847CB">
        <w:rPr>
          <w:color w:val="000000" w:themeColor="text1"/>
        </w:rPr>
        <w:t>a</w:t>
      </w:r>
      <w:proofErr w:type="gramEnd"/>
      <w:r w:rsidRPr="00D847CB">
        <w:rPr>
          <w:color w:val="000000" w:themeColor="text1"/>
        </w:rPr>
        <w:t xml:space="preserve"> esta pregunta central.</w:t>
      </w:r>
    </w:p>
    <w:p w14:paraId="1CEE7F51" w14:textId="77777777" w:rsidR="006B61FC" w:rsidRPr="00D847CB" w:rsidRDefault="00000000">
      <w:pPr>
        <w:pStyle w:val="Ttulo3"/>
        <w:rPr>
          <w:color w:val="000000" w:themeColor="text1"/>
        </w:rPr>
      </w:pPr>
      <w:bookmarkStart w:id="13" w:name="X447f04ae5a4c487e141052ccd11c33a6ad3f504"/>
      <w:bookmarkEnd w:id="12"/>
      <w:r w:rsidRPr="00D847CB">
        <w:rPr>
          <w:color w:val="000000" w:themeColor="text1"/>
        </w:rPr>
        <w:t>B) Informalidad laboral — 35% de la dimensión = 12,25% del total</w:t>
      </w:r>
    </w:p>
    <w:p w14:paraId="0497169A" w14:textId="77777777" w:rsidR="006B61FC" w:rsidRPr="00D847CB" w:rsidRDefault="00000000">
      <w:pPr>
        <w:pStyle w:val="FirstParagraph"/>
        <w:rPr>
          <w:color w:val="000000" w:themeColor="text1"/>
        </w:rPr>
      </w:pPr>
      <w:r w:rsidRPr="00D847CB">
        <w:rPr>
          <w:b/>
          <w:bCs/>
          <w:color w:val="000000" w:themeColor="text1"/>
        </w:rPr>
        <w:t>Definición:</w:t>
      </w:r>
      <w:r w:rsidRPr="00D847CB">
        <w:rPr>
          <w:color w:val="000000" w:themeColor="text1"/>
        </w:rPr>
        <w:t xml:space="preserve"> % de asalariados sin descuento jubilatorio, sobre el total de asalariados.</w:t>
      </w:r>
    </w:p>
    <w:p w14:paraId="334AD30F" w14:textId="77777777" w:rsidR="006B61FC" w:rsidRPr="00D847CB" w:rsidRDefault="00000000">
      <w:pPr>
        <w:pStyle w:val="Textoindependiente"/>
        <w:rPr>
          <w:color w:val="000000" w:themeColor="text1"/>
        </w:rPr>
      </w:pPr>
      <w:r w:rsidRPr="00D847CB">
        <w:rPr>
          <w:b/>
          <w:bCs/>
          <w:color w:val="000000" w:themeColor="text1"/>
        </w:rPr>
        <w:t>Fuente:</w:t>
      </w:r>
      <w:r w:rsidRPr="00D847CB">
        <w:rPr>
          <w:color w:val="000000" w:themeColor="text1"/>
        </w:rPr>
        <w:t xml:space="preserve"> Encuesta Permanente de Hogares (EPH), INDEC — publicación trimestral.</w:t>
      </w:r>
    </w:p>
    <w:p w14:paraId="588FBA5E" w14:textId="77777777" w:rsidR="006B61FC" w:rsidRPr="00D847CB" w:rsidRDefault="00000000">
      <w:pPr>
        <w:pStyle w:val="Textoindependiente"/>
        <w:rPr>
          <w:color w:val="000000" w:themeColor="text1"/>
        </w:rPr>
      </w:pPr>
      <w:r w:rsidRPr="00D847CB">
        <w:rPr>
          <w:b/>
          <w:bCs/>
          <w:color w:val="000000" w:themeColor="text1"/>
        </w:rPr>
        <w:lastRenderedPageBreak/>
        <w:t>Valor base (4º trimestre 2023):</w:t>
      </w:r>
      <w:r w:rsidRPr="00D847CB">
        <w:rPr>
          <w:color w:val="000000" w:themeColor="text1"/>
        </w:rPr>
        <w:t xml:space="preserve"> </w:t>
      </w:r>
      <w:r w:rsidRPr="00D847CB">
        <w:rPr>
          <w:i/>
          <w:iCs/>
          <w:color w:val="000000" w:themeColor="text1"/>
        </w:rPr>
        <w:t>[a completar con el dato oficial EPH-INDEC — coincide naturalmente con la línea de base trimestral adoptada, ya que la EPH ya publica esta tasa con frecuencia trimestral]</w:t>
      </w:r>
    </w:p>
    <w:p w14:paraId="1CED92C6" w14:textId="77777777" w:rsidR="006B61FC" w:rsidRPr="00D847CB" w:rsidRDefault="00000000">
      <w:pPr>
        <w:pStyle w:val="Textoindependiente"/>
        <w:rPr>
          <w:color w:val="000000" w:themeColor="text1"/>
        </w:rPr>
      </w:pPr>
      <w:r w:rsidRPr="00D847CB">
        <w:rPr>
          <w:b/>
          <w:bCs/>
          <w:color w:val="000000" w:themeColor="text1"/>
        </w:rPr>
        <w:t>Fórmula:</w:t>
      </w:r>
      <w:r w:rsidRPr="00D847CB">
        <w:rPr>
          <w:color w:val="000000" w:themeColor="text1"/>
        </w:rPr>
        <w:t xml:space="preserve"> </w:t>
      </w:r>
      <w:r w:rsidRPr="00D847CB">
        <w:rPr>
          <w:rStyle w:val="VerbatimChar"/>
          <w:color w:val="000000" w:themeColor="text1"/>
        </w:rPr>
        <w:t>I_IFL(t) = (Tasa_informalidad_T423 / Tasa_informalidadₜ) × 100</w:t>
      </w:r>
      <w:r w:rsidRPr="00D847CB">
        <w:rPr>
          <w:color w:val="000000" w:themeColor="text1"/>
        </w:rPr>
        <w:t xml:space="preserve"> (invertido: menos informalidad = mejora)</w:t>
      </w:r>
    </w:p>
    <w:p w14:paraId="61247B9C" w14:textId="77777777" w:rsidR="006B61FC" w:rsidRPr="00D847CB" w:rsidRDefault="00000000">
      <w:pPr>
        <w:pStyle w:val="Textoindependiente"/>
        <w:rPr>
          <w:color w:val="000000" w:themeColor="text1"/>
        </w:rPr>
      </w:pPr>
      <w:r w:rsidRPr="00D847CB">
        <w:rPr>
          <w:b/>
          <w:bCs/>
          <w:color w:val="000000" w:themeColor="text1"/>
        </w:rPr>
        <w:t>Relevancia:</w:t>
      </w:r>
      <w:r w:rsidRPr="00D847CB">
        <w:rPr>
          <w:color w:val="000000" w:themeColor="text1"/>
        </w:rPr>
        <w:t xml:space="preserve"> mide la calidad estructural del empleo, no solo su cantidad; determina quién accede </w:t>
      </w:r>
      <w:proofErr w:type="gramStart"/>
      <w:r w:rsidRPr="00D847CB">
        <w:rPr>
          <w:color w:val="000000" w:themeColor="text1"/>
        </w:rPr>
        <w:t>a</w:t>
      </w:r>
      <w:proofErr w:type="gramEnd"/>
      <w:r w:rsidRPr="00D847CB">
        <w:rPr>
          <w:color w:val="000000" w:themeColor="text1"/>
        </w:rPr>
        <w:t xml:space="preserve"> ingresos con protección social.</w:t>
      </w:r>
    </w:p>
    <w:p w14:paraId="4FA70D07" w14:textId="77777777" w:rsidR="006B61FC" w:rsidRPr="00D847CB" w:rsidRDefault="00000000">
      <w:pPr>
        <w:pStyle w:val="Ttulo2"/>
        <w:rPr>
          <w:color w:val="000000" w:themeColor="text1"/>
        </w:rPr>
      </w:pPr>
      <w:bookmarkStart w:id="14" w:name="X268e92efffa6e5ed71a0463e38ee9e8c0aa1667"/>
      <w:bookmarkStart w:id="15" w:name="_Toc233900759"/>
      <w:bookmarkEnd w:id="10"/>
      <w:bookmarkEnd w:id="13"/>
      <w:r w:rsidRPr="00D847CB">
        <w:rPr>
          <w:color w:val="000000" w:themeColor="text1"/>
        </w:rPr>
        <w:t>DIMENSIÓN 2: PRESIÓN DE PRECIOS (25% del total)</w:t>
      </w:r>
      <w:bookmarkEnd w:id="15"/>
    </w:p>
    <w:p w14:paraId="56AB9AF6" w14:textId="77777777" w:rsidR="006B61FC" w:rsidRPr="00D847CB" w:rsidRDefault="00000000">
      <w:pPr>
        <w:pStyle w:val="Ttulo3"/>
        <w:rPr>
          <w:color w:val="000000" w:themeColor="text1"/>
        </w:rPr>
      </w:pPr>
      <w:bookmarkStart w:id="16" w:name="Xaccdc91134d62e9e69ff1f000cb886a1e8c115a"/>
      <w:r w:rsidRPr="00D847CB">
        <w:rPr>
          <w:color w:val="000000" w:themeColor="text1"/>
        </w:rPr>
        <w:t>A) Nivel de precios de Alimentos — 40% de la dimensión = 10% del total</w:t>
      </w:r>
    </w:p>
    <w:p w14:paraId="1064ABE8" w14:textId="77777777" w:rsidR="006B61FC" w:rsidRPr="00D847CB" w:rsidRDefault="00000000">
      <w:pPr>
        <w:pStyle w:val="FirstParagraph"/>
        <w:rPr>
          <w:color w:val="000000" w:themeColor="text1"/>
        </w:rPr>
      </w:pPr>
      <w:r w:rsidRPr="00D847CB">
        <w:rPr>
          <w:b/>
          <w:bCs/>
          <w:color w:val="000000" w:themeColor="text1"/>
        </w:rPr>
        <w:t>Definición:</w:t>
      </w:r>
      <w:r w:rsidRPr="00D847CB">
        <w:rPr>
          <w:color w:val="000000" w:themeColor="text1"/>
        </w:rPr>
        <w:t xml:space="preserve"> Nivel del IPC, división Alimentos y Bebidas no alcohólicas (</w:t>
      </w:r>
      <w:proofErr w:type="gramStart"/>
      <w:r w:rsidRPr="00D847CB">
        <w:rPr>
          <w:color w:val="000000" w:themeColor="text1"/>
        </w:rPr>
        <w:t>no</w:t>
      </w:r>
      <w:proofErr w:type="gramEnd"/>
      <w:r w:rsidRPr="00D847CB">
        <w:rPr>
          <w:color w:val="000000" w:themeColor="text1"/>
        </w:rPr>
        <w:t xml:space="preserve"> la variación mensual).</w:t>
      </w:r>
    </w:p>
    <w:p w14:paraId="0123A346" w14:textId="77777777" w:rsidR="006B61FC" w:rsidRPr="00D847CB" w:rsidRDefault="00000000">
      <w:pPr>
        <w:pStyle w:val="Textoindependiente"/>
        <w:rPr>
          <w:color w:val="000000" w:themeColor="text1"/>
        </w:rPr>
      </w:pPr>
      <w:r w:rsidRPr="00D847CB">
        <w:rPr>
          <w:b/>
          <w:bCs/>
          <w:color w:val="000000" w:themeColor="text1"/>
        </w:rPr>
        <w:t>Fuente:</w:t>
      </w:r>
      <w:r w:rsidRPr="00D847CB">
        <w:rPr>
          <w:color w:val="000000" w:themeColor="text1"/>
        </w:rPr>
        <w:t xml:space="preserve"> INDEC, IPC por división — mensual, con API de Series de Tiempo disponible.</w:t>
      </w:r>
    </w:p>
    <w:p w14:paraId="4F3B6C8D" w14:textId="77777777" w:rsidR="006B61FC" w:rsidRPr="00D847CB" w:rsidRDefault="00000000">
      <w:pPr>
        <w:pStyle w:val="Textoindependiente"/>
        <w:rPr>
          <w:color w:val="000000" w:themeColor="text1"/>
        </w:rPr>
      </w:pPr>
      <w:r w:rsidRPr="00D847CB">
        <w:rPr>
          <w:b/>
          <w:bCs/>
          <w:color w:val="000000" w:themeColor="text1"/>
        </w:rPr>
        <w:t>Valor base (promedio 4T-2023):</w:t>
      </w:r>
      <w:r w:rsidRPr="00D847CB">
        <w:rPr>
          <w:color w:val="000000" w:themeColor="text1"/>
        </w:rPr>
        <w:t xml:space="preserve"> 100 (por definición, nivel base = promedio del índice de octubre, noviembre y diciembre de 2023). La variación mensual de diciembre de 2023 fue del 29,7%, la más alta de todo 2023 por el traspaso a precios de la devaluación — es justamente ese pico puntual el que la base trimestral busca amortiguar, en vez de anclar todo el índice a un mes con una distorsión excepcional.</w:t>
      </w:r>
    </w:p>
    <w:p w14:paraId="35C038F0" w14:textId="77777777" w:rsidR="006B61FC" w:rsidRPr="00D847CB" w:rsidRDefault="00000000">
      <w:pPr>
        <w:pStyle w:val="Textoindependiente"/>
        <w:rPr>
          <w:color w:val="000000" w:themeColor="text1"/>
        </w:rPr>
      </w:pPr>
      <w:r w:rsidRPr="00D847CB">
        <w:rPr>
          <w:b/>
          <w:bCs/>
          <w:color w:val="000000" w:themeColor="text1"/>
        </w:rPr>
        <w:t>Fórmula:</w:t>
      </w:r>
      <w:r w:rsidRPr="00D847CB">
        <w:rPr>
          <w:color w:val="000000" w:themeColor="text1"/>
        </w:rPr>
        <w:t xml:space="preserve"> </w:t>
      </w:r>
      <w:r w:rsidRPr="00D847CB">
        <w:rPr>
          <w:rStyle w:val="VerbatimChar"/>
          <w:color w:val="000000" w:themeColor="text1"/>
        </w:rPr>
        <w:t>I_IA(t) = (IPC_Alimentos_T423 / IPC_Alimentosₜ) × Deflactor_salarial(t)</w:t>
      </w:r>
      <w:r w:rsidRPr="00D847CB">
        <w:rPr>
          <w:color w:val="000000" w:themeColor="text1"/>
        </w:rPr>
        <w:t xml:space="preserve"> — es decir, se recomienda ajustar por inflación general o por evolución salarial para capturar si los alimentos suben más o menos que los ingresos, no solo si suben en términos nominales.</w:t>
      </w:r>
    </w:p>
    <w:p w14:paraId="2A551AB8" w14:textId="77777777" w:rsidR="006B61FC" w:rsidRPr="00D847CB" w:rsidRDefault="00000000">
      <w:pPr>
        <w:pStyle w:val="Textoindependiente"/>
        <w:rPr>
          <w:color w:val="000000" w:themeColor="text1"/>
        </w:rPr>
      </w:pPr>
      <w:r w:rsidRPr="00D847CB">
        <w:rPr>
          <w:b/>
          <w:bCs/>
          <w:color w:val="000000" w:themeColor="text1"/>
        </w:rPr>
        <w:t>Relevancia:</w:t>
      </w:r>
      <w:r w:rsidRPr="00D847CB">
        <w:rPr>
          <w:color w:val="000000" w:themeColor="text1"/>
        </w:rPr>
        <w:t xml:space="preserve"> alimentos son el componente más inelástico del presupuesto familiar de menores ingresos.</w:t>
      </w:r>
    </w:p>
    <w:p w14:paraId="1DEEBBEB" w14:textId="77777777" w:rsidR="006B61FC" w:rsidRPr="00D847CB" w:rsidRDefault="00000000">
      <w:pPr>
        <w:pStyle w:val="Ttulo3"/>
        <w:rPr>
          <w:color w:val="000000" w:themeColor="text1"/>
        </w:rPr>
      </w:pPr>
      <w:bookmarkStart w:id="17" w:name="Xc9ad8d3a9b99e5fecad9a1ff93077478d74d0c5"/>
      <w:bookmarkEnd w:id="16"/>
      <w:r w:rsidRPr="00D847CB">
        <w:rPr>
          <w:color w:val="000000" w:themeColor="text1"/>
        </w:rPr>
        <w:t>B) Peso de tarifas (servicios regulados) — 60% de la dimensión = 15% del total</w:t>
      </w:r>
    </w:p>
    <w:p w14:paraId="6AABED40" w14:textId="77777777" w:rsidR="006B61FC" w:rsidRPr="00D847CB" w:rsidRDefault="00000000">
      <w:pPr>
        <w:pStyle w:val="FirstParagraph"/>
        <w:rPr>
          <w:color w:val="000000" w:themeColor="text1"/>
        </w:rPr>
      </w:pPr>
      <w:r w:rsidRPr="00D847CB">
        <w:rPr>
          <w:b/>
          <w:bCs/>
          <w:color w:val="000000" w:themeColor="text1"/>
        </w:rPr>
        <w:t>Definición:</w:t>
      </w:r>
      <w:r w:rsidRPr="00D847CB">
        <w:rPr>
          <w:color w:val="000000" w:themeColor="text1"/>
        </w:rPr>
        <w:t xml:space="preserve"> Nivel del cuadro tarifario de servicios regulados (luz, gas, agua, transporte).</w:t>
      </w:r>
    </w:p>
    <w:p w14:paraId="60B9AA02" w14:textId="77777777" w:rsidR="006B61FC" w:rsidRPr="00D847CB" w:rsidRDefault="00000000">
      <w:pPr>
        <w:pStyle w:val="Textoindependiente"/>
        <w:rPr>
          <w:color w:val="000000" w:themeColor="text1"/>
        </w:rPr>
      </w:pPr>
      <w:r w:rsidRPr="00D847CB">
        <w:rPr>
          <w:b/>
          <w:bCs/>
          <w:color w:val="000000" w:themeColor="text1"/>
        </w:rPr>
        <w:t>Fuente:</w:t>
      </w:r>
      <w:r w:rsidRPr="00D847CB">
        <w:rPr>
          <w:color w:val="000000" w:themeColor="text1"/>
        </w:rPr>
        <w:t xml:space="preserve"> Entes reguladores (ENRE, ENARGAS, AySA) + INDEC (componente IPC “Vivienda, agua, electricidad y otros combustibles” y “Transporte”).</w:t>
      </w:r>
    </w:p>
    <w:p w14:paraId="4DBBEEEF" w14:textId="77777777" w:rsidR="006B61FC" w:rsidRPr="00D847CB" w:rsidRDefault="00000000">
      <w:pPr>
        <w:pStyle w:val="Textoindependiente"/>
        <w:rPr>
          <w:color w:val="000000" w:themeColor="text1"/>
        </w:rPr>
      </w:pPr>
      <w:r w:rsidRPr="00D847CB">
        <w:rPr>
          <w:b/>
          <w:bCs/>
          <w:color w:val="000000" w:themeColor="text1"/>
        </w:rPr>
        <w:t>Valor base (promedio 4T-2023):</w:t>
      </w:r>
      <w:r w:rsidRPr="00D847CB">
        <w:rPr>
          <w:color w:val="000000" w:themeColor="text1"/>
        </w:rPr>
        <w:t xml:space="preserve"> 100 (nivel base = promedio del cuadro tarifario de octubre, noviembre y diciembre de 2023).</w:t>
      </w:r>
    </w:p>
    <w:p w14:paraId="3DCA295B" w14:textId="77777777" w:rsidR="006B61FC" w:rsidRPr="00D847CB" w:rsidRDefault="00000000">
      <w:pPr>
        <w:pStyle w:val="Textoindependiente"/>
        <w:rPr>
          <w:color w:val="000000" w:themeColor="text1"/>
        </w:rPr>
      </w:pPr>
      <w:r w:rsidRPr="00D847CB">
        <w:rPr>
          <w:b/>
          <w:bCs/>
          <w:color w:val="000000" w:themeColor="text1"/>
        </w:rPr>
        <w:t>Fórmula:</w:t>
      </w:r>
      <w:r w:rsidRPr="00D847CB">
        <w:rPr>
          <w:color w:val="000000" w:themeColor="text1"/>
        </w:rPr>
        <w:t xml:space="preserve"> </w:t>
      </w:r>
      <w:r w:rsidRPr="00D847CB">
        <w:rPr>
          <w:rStyle w:val="VerbatimChar"/>
          <w:color w:val="000000" w:themeColor="text1"/>
        </w:rPr>
        <w:t>I_PT(t) = (Nivel_tarifario_T423 / Nivel_tarifarioₜ) × Deflactor_salarial(t)</w:t>
      </w:r>
    </w:p>
    <w:p w14:paraId="0FA15C6E" w14:textId="77777777" w:rsidR="006B61FC" w:rsidRPr="00D847CB" w:rsidRDefault="00000000">
      <w:pPr>
        <w:pStyle w:val="Textoindependiente"/>
        <w:rPr>
          <w:color w:val="000000" w:themeColor="text1"/>
        </w:rPr>
      </w:pPr>
      <w:r w:rsidRPr="00D847CB">
        <w:rPr>
          <w:b/>
          <w:bCs/>
          <w:color w:val="000000" w:themeColor="text1"/>
        </w:rPr>
        <w:t>Relevancia:</w:t>
      </w:r>
      <w:r w:rsidRPr="00D847CB">
        <w:rPr>
          <w:color w:val="000000" w:themeColor="text1"/>
        </w:rPr>
        <w:t xml:space="preserve"> recibe el peso más alto de la dimensión porque el ajuste tarifario es una decisión de política explícita del gobierno (no solo inercia de mercado), lo que la vuelve más atribuible a la gestión que la inflación de alimentos.</w:t>
      </w:r>
    </w:p>
    <w:p w14:paraId="3C63AFAB" w14:textId="77777777" w:rsidR="006B61FC" w:rsidRPr="00D847CB" w:rsidRDefault="00000000">
      <w:pPr>
        <w:pStyle w:val="Ttulo2"/>
        <w:rPr>
          <w:color w:val="000000" w:themeColor="text1"/>
        </w:rPr>
      </w:pPr>
      <w:bookmarkStart w:id="18" w:name="X5b5ccd1d66e8b5097afbd85e3f2cc066140c009"/>
      <w:bookmarkStart w:id="19" w:name="_Toc233900760"/>
      <w:bookmarkEnd w:id="14"/>
      <w:bookmarkEnd w:id="17"/>
      <w:r w:rsidRPr="00D847CB">
        <w:rPr>
          <w:color w:val="000000" w:themeColor="text1"/>
        </w:rPr>
        <w:lastRenderedPageBreak/>
        <w:t>DIMENSIÓN 3: VULNERABILIDAD FINANCIERA (10% del total)</w:t>
      </w:r>
      <w:bookmarkEnd w:id="19"/>
    </w:p>
    <w:p w14:paraId="57570671" w14:textId="77777777" w:rsidR="006B61FC" w:rsidRPr="00D847CB" w:rsidRDefault="00000000">
      <w:pPr>
        <w:pStyle w:val="Ttulo3"/>
        <w:rPr>
          <w:color w:val="000000" w:themeColor="text1"/>
        </w:rPr>
      </w:pPr>
      <w:bookmarkStart w:id="20" w:name="X511da3f9bebcd43720355a6a8ab321920699f98"/>
      <w:r w:rsidRPr="00D847CB">
        <w:rPr>
          <w:color w:val="000000" w:themeColor="text1"/>
        </w:rPr>
        <w:t>A) Endeudamiento de consumo ajustado por calidad de cartera — 100% de la dimensión = 10% del total</w:t>
      </w:r>
    </w:p>
    <w:p w14:paraId="409EF64A" w14:textId="77777777" w:rsidR="006B61FC" w:rsidRPr="00D847CB" w:rsidRDefault="00000000">
      <w:pPr>
        <w:pStyle w:val="FirstParagraph"/>
        <w:rPr>
          <w:color w:val="000000" w:themeColor="text1"/>
        </w:rPr>
      </w:pPr>
      <w:r w:rsidRPr="00D847CB">
        <w:rPr>
          <w:b/>
          <w:bCs/>
          <w:color w:val="000000" w:themeColor="text1"/>
        </w:rPr>
        <w:t>Definición:</w:t>
      </w:r>
      <w:r w:rsidRPr="00D847CB">
        <w:rPr>
          <w:color w:val="000000" w:themeColor="text1"/>
        </w:rPr>
        <w:t xml:space="preserve"> Saldo real de crédito de consumo de familias (tarjetas + préstamos personales), deflactado por inflación, </w:t>
      </w:r>
      <w:r w:rsidRPr="00D847CB">
        <w:rPr>
          <w:b/>
          <w:bCs/>
          <w:color w:val="000000" w:themeColor="text1"/>
        </w:rPr>
        <w:t>corregido por la tasa de mora de esa misma cartera</w:t>
      </w:r>
      <w:r w:rsidRPr="00D847CB">
        <w:rPr>
          <w:color w:val="000000" w:themeColor="text1"/>
        </w:rPr>
        <w:t>.</w:t>
      </w:r>
    </w:p>
    <w:p w14:paraId="2D5B5B89" w14:textId="77777777" w:rsidR="006B61FC" w:rsidRPr="00D847CB" w:rsidRDefault="00000000">
      <w:pPr>
        <w:pStyle w:val="Textoindependiente"/>
        <w:rPr>
          <w:color w:val="000000" w:themeColor="text1"/>
        </w:rPr>
      </w:pPr>
      <w:r w:rsidRPr="00D847CB">
        <w:rPr>
          <w:b/>
          <w:bCs/>
          <w:color w:val="000000" w:themeColor="text1"/>
        </w:rPr>
        <w:t>Fuente:</w:t>
      </w:r>
      <w:r w:rsidRPr="00D847CB">
        <w:rPr>
          <w:color w:val="000000" w:themeColor="text1"/>
        </w:rPr>
        <w:t xml:space="preserve"> BCRA — Informe de Bancos / series de préstamos al sector privado no financiero, con desagregación por línea de crédito (deuda y mora).</w:t>
      </w:r>
    </w:p>
    <w:p w14:paraId="24D36AC4" w14:textId="77777777" w:rsidR="006B61FC" w:rsidRPr="00D847CB" w:rsidRDefault="00000000">
      <w:pPr>
        <w:pStyle w:val="Textoindependiente"/>
        <w:rPr>
          <w:color w:val="000000" w:themeColor="text1"/>
        </w:rPr>
      </w:pPr>
      <w:r w:rsidRPr="00D847CB">
        <w:rPr>
          <w:b/>
          <w:bCs/>
          <w:color w:val="000000" w:themeColor="text1"/>
        </w:rPr>
        <w:t>Valor base (promedio 4T-2023):</w:t>
      </w:r>
      <w:r w:rsidRPr="00D847CB">
        <w:rPr>
          <w:color w:val="000000" w:themeColor="text1"/>
        </w:rPr>
        <w:t xml:space="preserve"> </w:t>
      </w:r>
      <w:r w:rsidRPr="00D847CB">
        <w:rPr>
          <w:i/>
          <w:iCs/>
          <w:color w:val="000000" w:themeColor="text1"/>
        </w:rPr>
        <w:t>[a completar con el promedio del dato oficial BCRA de octubre, noviembre y diciembre de 2023 para dos series: (1) saldo de deuda de consumo deflactado a pesos constantes, y (2) tasa de irregularidad/mora de cartera de consumo (préstamos personales + tarjetas)]</w:t>
      </w:r>
    </w:p>
    <w:p w14:paraId="5DB3AC6E" w14:textId="77777777" w:rsidR="006B61FC" w:rsidRPr="00D847CB" w:rsidRDefault="00000000">
      <w:pPr>
        <w:pStyle w:val="Textoindependiente"/>
        <w:rPr>
          <w:color w:val="000000" w:themeColor="text1"/>
        </w:rPr>
      </w:pPr>
      <w:r w:rsidRPr="00D847CB">
        <w:rPr>
          <w:b/>
          <w:bCs/>
          <w:color w:val="000000" w:themeColor="text1"/>
        </w:rPr>
        <w:t>Corrección de diseño (resuelve la ambigüedad de polaridad señalada en la versión anterior):</w:t>
      </w:r>
      <w:r w:rsidRPr="00D847CB">
        <w:rPr>
          <w:color w:val="000000" w:themeColor="text1"/>
        </w:rPr>
        <w:t xml:space="preserve"> el crecimiento de la deuda de consumo, por sí solo, no permite distinguir entre dos escenarios opuestos: (a) familias accediendo a más crédito porque la economía se normaliza y el crédito que estaba reprimido por la inflación vuelve a fluir — esto sería una mejora; o (b) familias endeudándose porque el ingreso no alcanza para lo básico — esto sería un deterioro. En la versión anterior este indicador se invertía automáticamente (menos deuda = mejora), lo cual castiga por igual ambos escenarios y no es correcto. La corrección consiste en dejar de invertir la deuda de forma automática y, en cambio, usar la </w:t>
      </w:r>
      <w:r w:rsidRPr="00D847CB">
        <w:rPr>
          <w:b/>
          <w:bCs/>
          <w:color w:val="000000" w:themeColor="text1"/>
        </w:rPr>
        <w:t>tasa de mora</w:t>
      </w:r>
      <w:r w:rsidRPr="00D847CB">
        <w:rPr>
          <w:color w:val="000000" w:themeColor="text1"/>
        </w:rPr>
        <w:t xml:space="preserve"> como el factor que determina si el crecimiento de la deuda es saludable o es síntoma de fragilidad:</w:t>
      </w:r>
    </w:p>
    <w:p w14:paraId="50EADFE3" w14:textId="77777777" w:rsidR="006B61FC" w:rsidRPr="00D847CB" w:rsidRDefault="00000000">
      <w:pPr>
        <w:pStyle w:val="SourceCode"/>
        <w:rPr>
          <w:color w:val="000000" w:themeColor="text1"/>
        </w:rPr>
      </w:pPr>
      <w:r w:rsidRPr="00D847CB">
        <w:rPr>
          <w:rStyle w:val="VerbatimChar"/>
          <w:color w:val="000000" w:themeColor="text1"/>
        </w:rPr>
        <w:t>I_EC(t) = 100 × (Deuda_consumo_realₜ / Deuda_consumo_real_T423) × (Mora_T423 / Moraₜ)</w:t>
      </w:r>
    </w:p>
    <w:p w14:paraId="5D9BDED4" w14:textId="77777777" w:rsidR="006B61FC" w:rsidRPr="00D847CB" w:rsidRDefault="00000000">
      <w:pPr>
        <w:pStyle w:val="FirstParagraph"/>
        <w:rPr>
          <w:color w:val="000000" w:themeColor="text1"/>
        </w:rPr>
      </w:pPr>
      <w:r w:rsidRPr="00D847CB">
        <w:rPr>
          <w:b/>
          <w:bCs/>
          <w:color w:val="000000" w:themeColor="text1"/>
        </w:rPr>
        <w:t>Cómo se lee esta fórmula:</w:t>
      </w:r>
      <w:r w:rsidRPr="00D847CB">
        <w:rPr>
          <w:color w:val="000000" w:themeColor="text1"/>
        </w:rPr>
        <w:t xml:space="preserve"> - Si la deuda </w:t>
      </w:r>
      <w:r w:rsidRPr="00D847CB">
        <w:rPr>
          <w:b/>
          <w:bCs/>
          <w:color w:val="000000" w:themeColor="text1"/>
        </w:rPr>
        <w:t>crece</w:t>
      </w:r>
      <w:r w:rsidRPr="00D847CB">
        <w:rPr>
          <w:color w:val="000000" w:themeColor="text1"/>
        </w:rPr>
        <w:t xml:space="preserve"> y la mora se mantiene estable o </w:t>
      </w:r>
      <w:r w:rsidRPr="00D847CB">
        <w:rPr>
          <w:b/>
          <w:bCs/>
          <w:color w:val="000000" w:themeColor="text1"/>
        </w:rPr>
        <w:t>baja</w:t>
      </w:r>
      <w:r w:rsidRPr="00D847CB">
        <w:rPr>
          <w:color w:val="000000" w:themeColor="text1"/>
        </w:rPr>
        <w:t xml:space="preserve">: el índice </w:t>
      </w:r>
      <w:r w:rsidRPr="00D847CB">
        <w:rPr>
          <w:b/>
          <w:bCs/>
          <w:color w:val="000000" w:themeColor="text1"/>
        </w:rPr>
        <w:t>sube</w:t>
      </w:r>
      <w:r w:rsidRPr="00D847CB">
        <w:rPr>
          <w:color w:val="000000" w:themeColor="text1"/>
        </w:rPr>
        <w:t xml:space="preserve"> — se interpreta como mejora en el acceso al crédito, sin señales de sobreendeudamiento. - Si la deuda </w:t>
      </w:r>
      <w:r w:rsidRPr="00D847CB">
        <w:rPr>
          <w:b/>
          <w:bCs/>
          <w:color w:val="000000" w:themeColor="text1"/>
        </w:rPr>
        <w:t>crece</w:t>
      </w:r>
      <w:r w:rsidRPr="00D847CB">
        <w:rPr>
          <w:color w:val="000000" w:themeColor="text1"/>
        </w:rPr>
        <w:t xml:space="preserve"> y la mora </w:t>
      </w:r>
      <w:r w:rsidRPr="00D847CB">
        <w:rPr>
          <w:b/>
          <w:bCs/>
          <w:color w:val="000000" w:themeColor="text1"/>
        </w:rPr>
        <w:t>también sube</w:t>
      </w:r>
      <w:r w:rsidRPr="00D847CB">
        <w:rPr>
          <w:color w:val="000000" w:themeColor="text1"/>
        </w:rPr>
        <w:t xml:space="preserve">: el segundo factor compensa (total o parcialmente) al primero — el índice sube menos, no sube, o incluso cae, según cuánto suba la mora. Esto captura el escenario de “familias endeudándose para llegar a fin de mes”. - Si la deuda </w:t>
      </w:r>
      <w:r w:rsidRPr="00D847CB">
        <w:rPr>
          <w:b/>
          <w:bCs/>
          <w:color w:val="000000" w:themeColor="text1"/>
        </w:rPr>
        <w:t>cae</w:t>
      </w:r>
      <w:r w:rsidRPr="00D847CB">
        <w:rPr>
          <w:color w:val="000000" w:themeColor="text1"/>
        </w:rPr>
        <w:t xml:space="preserve"> y la mora </w:t>
      </w:r>
      <w:r w:rsidRPr="00D847CB">
        <w:rPr>
          <w:b/>
          <w:bCs/>
          <w:color w:val="000000" w:themeColor="text1"/>
        </w:rPr>
        <w:t>cae</w:t>
      </w:r>
      <w:r w:rsidRPr="00D847CB">
        <w:rPr>
          <w:color w:val="000000" w:themeColor="text1"/>
        </w:rPr>
        <w:t xml:space="preserve">: interpretación mixta — hay desendeudamiento con mejora de calidad de cartera, lo cual el índice trata como levemente positivo pese a la caída del volumen de crédito, porque significa que las familias que seguían endeudadas están pagando mejor. - Si la deuda </w:t>
      </w:r>
      <w:r w:rsidRPr="00D847CB">
        <w:rPr>
          <w:b/>
          <w:bCs/>
          <w:color w:val="000000" w:themeColor="text1"/>
        </w:rPr>
        <w:t>cae</w:t>
      </w:r>
      <w:r w:rsidRPr="00D847CB">
        <w:rPr>
          <w:color w:val="000000" w:themeColor="text1"/>
        </w:rPr>
        <w:t xml:space="preserve"> y la mora </w:t>
      </w:r>
      <w:r w:rsidRPr="00D847CB">
        <w:rPr>
          <w:b/>
          <w:bCs/>
          <w:color w:val="000000" w:themeColor="text1"/>
        </w:rPr>
        <w:t>sube</w:t>
      </w:r>
      <w:r w:rsidRPr="00D847CB">
        <w:rPr>
          <w:color w:val="000000" w:themeColor="text1"/>
        </w:rPr>
        <w:t>: es el escenario más negativo — contracción del crédito disponible combinada con mayor incumplimiento; el índice cae con fuerza.</w:t>
      </w:r>
    </w:p>
    <w:p w14:paraId="3FC06347" w14:textId="77777777" w:rsidR="006B61FC" w:rsidRPr="00D847CB" w:rsidRDefault="00000000">
      <w:pPr>
        <w:pStyle w:val="Textoindependiente"/>
        <w:rPr>
          <w:color w:val="000000" w:themeColor="text1"/>
        </w:rPr>
      </w:pPr>
      <w:r w:rsidRPr="00D847CB">
        <w:rPr>
          <w:color w:val="000000" w:themeColor="text1"/>
        </w:rPr>
        <w:t>Con este diseño, el indicador deja de necesitar una decisión arbitraria de polaridad (no se define de antemano si “más deuda” es bueno o malo) y la resuelve empíricamente mes a mes con el dato de mora, que es la variable que efectivamente distingue ambos escenarios.</w:t>
      </w:r>
    </w:p>
    <w:p w14:paraId="52AD62B9" w14:textId="77777777" w:rsidR="006B61FC" w:rsidRPr="00D847CB" w:rsidRDefault="00000000">
      <w:pPr>
        <w:pStyle w:val="Ttulo2"/>
        <w:rPr>
          <w:color w:val="000000" w:themeColor="text1"/>
        </w:rPr>
      </w:pPr>
      <w:bookmarkStart w:id="21" w:name="X9996add05b13d169ccc52bcaadf6a62c94c2c40"/>
      <w:bookmarkStart w:id="22" w:name="_Toc233900761"/>
      <w:bookmarkEnd w:id="18"/>
      <w:bookmarkEnd w:id="20"/>
      <w:r w:rsidRPr="00D847CB">
        <w:rPr>
          <w:color w:val="000000" w:themeColor="text1"/>
        </w:rPr>
        <w:lastRenderedPageBreak/>
        <w:t>DIMENSIÓN 4: PROSPECTIVAS DE EMPLEO (15% del total)</w:t>
      </w:r>
      <w:bookmarkEnd w:id="22"/>
    </w:p>
    <w:p w14:paraId="60B13B6E" w14:textId="77777777" w:rsidR="006B61FC" w:rsidRPr="00D847CB" w:rsidRDefault="00000000">
      <w:pPr>
        <w:pStyle w:val="Ttulo3"/>
        <w:rPr>
          <w:color w:val="000000" w:themeColor="text1"/>
        </w:rPr>
      </w:pPr>
      <w:bookmarkStart w:id="23" w:name="X8d4223ad6a459a13b4dfd850a1dba4909059655"/>
      <w:r w:rsidRPr="00D847CB">
        <w:rPr>
          <w:color w:val="000000" w:themeColor="text1"/>
        </w:rPr>
        <w:t>A) Actividad industrial (IPI) — 45% de la dimensión = 6,75% del total</w:t>
      </w:r>
    </w:p>
    <w:p w14:paraId="0A41DE34" w14:textId="77777777" w:rsidR="006B61FC" w:rsidRPr="00D847CB" w:rsidRDefault="00000000">
      <w:pPr>
        <w:pStyle w:val="FirstParagraph"/>
        <w:rPr>
          <w:color w:val="000000" w:themeColor="text1"/>
        </w:rPr>
      </w:pPr>
      <w:r w:rsidRPr="00D847CB">
        <w:rPr>
          <w:b/>
          <w:bCs/>
          <w:color w:val="000000" w:themeColor="text1"/>
        </w:rPr>
        <w:t>Fuente:</w:t>
      </w:r>
      <w:r w:rsidRPr="00D847CB">
        <w:rPr>
          <w:color w:val="000000" w:themeColor="text1"/>
        </w:rPr>
        <w:t xml:space="preserve"> INDEC, Índice de Producción Industrial Manufacturero (IPI), serie desestacionalizada.</w:t>
      </w:r>
    </w:p>
    <w:p w14:paraId="1BF6324E" w14:textId="77777777" w:rsidR="006B61FC" w:rsidRPr="00D847CB" w:rsidRDefault="00000000">
      <w:pPr>
        <w:pStyle w:val="Textoindependiente"/>
        <w:rPr>
          <w:color w:val="000000" w:themeColor="text1"/>
        </w:rPr>
      </w:pPr>
      <w:r w:rsidRPr="00D847CB">
        <w:rPr>
          <w:b/>
          <w:bCs/>
          <w:color w:val="000000" w:themeColor="text1"/>
        </w:rPr>
        <w:t>Valor base (promedio 4T-2023):</w:t>
      </w:r>
      <w:r w:rsidRPr="00D847CB">
        <w:rPr>
          <w:color w:val="000000" w:themeColor="text1"/>
        </w:rPr>
        <w:t xml:space="preserve"> </w:t>
      </w:r>
      <w:r w:rsidRPr="00D847CB">
        <w:rPr>
          <w:i/>
          <w:iCs/>
          <w:color w:val="000000" w:themeColor="text1"/>
        </w:rPr>
        <w:t xml:space="preserve">[a completar — tomar el promedio del nivel del índice en octubre, noviembre y diciembre de 2023, </w:t>
      </w:r>
      <w:proofErr w:type="gramStart"/>
      <w:r w:rsidRPr="00D847CB">
        <w:rPr>
          <w:i/>
          <w:iCs/>
          <w:color w:val="000000" w:themeColor="text1"/>
        </w:rPr>
        <w:t>no</w:t>
      </w:r>
      <w:proofErr w:type="gramEnd"/>
      <w:r w:rsidRPr="00D847CB">
        <w:rPr>
          <w:i/>
          <w:iCs/>
          <w:color w:val="000000" w:themeColor="text1"/>
        </w:rPr>
        <w:t xml:space="preserve"> la variación interanual]</w:t>
      </w:r>
    </w:p>
    <w:p w14:paraId="4EF4A3C4" w14:textId="77777777" w:rsidR="006B61FC" w:rsidRPr="00D847CB" w:rsidRDefault="00000000">
      <w:pPr>
        <w:pStyle w:val="Textoindependiente"/>
        <w:rPr>
          <w:color w:val="000000" w:themeColor="text1"/>
        </w:rPr>
      </w:pPr>
      <w:r w:rsidRPr="00D847CB">
        <w:rPr>
          <w:b/>
          <w:bCs/>
          <w:color w:val="000000" w:themeColor="text1"/>
        </w:rPr>
        <w:t>Fórmula:</w:t>
      </w:r>
      <w:r w:rsidRPr="00D847CB">
        <w:rPr>
          <w:color w:val="000000" w:themeColor="text1"/>
        </w:rPr>
        <w:t xml:space="preserve"> </w:t>
      </w:r>
      <w:r w:rsidRPr="00D847CB">
        <w:rPr>
          <w:rStyle w:val="VerbatimChar"/>
          <w:color w:val="000000" w:themeColor="text1"/>
        </w:rPr>
        <w:t>I_IPI(t) = (IPIₜ / IPI_T423) × 100</w:t>
      </w:r>
    </w:p>
    <w:p w14:paraId="1A3B7058" w14:textId="77777777" w:rsidR="006B61FC" w:rsidRPr="00D847CB" w:rsidRDefault="00000000">
      <w:pPr>
        <w:pStyle w:val="Textoindependiente"/>
        <w:rPr>
          <w:color w:val="000000" w:themeColor="text1"/>
        </w:rPr>
      </w:pPr>
      <w:r w:rsidRPr="00D847CB">
        <w:rPr>
          <w:b/>
          <w:bCs/>
          <w:color w:val="000000" w:themeColor="text1"/>
        </w:rPr>
        <w:t>Relevancia:</w:t>
      </w:r>
      <w:r w:rsidRPr="00D847CB">
        <w:rPr>
          <w:color w:val="000000" w:themeColor="text1"/>
        </w:rPr>
        <w:t xml:space="preserve"> sector con alta capacidad de generación de empleo formal; funciona como indicador adelantado de recuperación del mercado laboral.</w:t>
      </w:r>
    </w:p>
    <w:p w14:paraId="7551A726" w14:textId="77777777" w:rsidR="006B61FC" w:rsidRPr="00D847CB" w:rsidRDefault="00000000">
      <w:pPr>
        <w:pStyle w:val="Ttulo3"/>
        <w:rPr>
          <w:color w:val="000000" w:themeColor="text1"/>
        </w:rPr>
      </w:pPr>
      <w:bookmarkStart w:id="24" w:name="X5ebdcfdbf917ffed36533cccaaadb52ed863e78"/>
      <w:bookmarkEnd w:id="23"/>
      <w:r w:rsidRPr="00D847CB">
        <w:rPr>
          <w:color w:val="000000" w:themeColor="text1"/>
        </w:rPr>
        <w:t>B) Actividad de la construcción (ISAC) — 40% de la dimensión = 6% del total</w:t>
      </w:r>
    </w:p>
    <w:p w14:paraId="58864C12" w14:textId="77777777" w:rsidR="006B61FC" w:rsidRPr="00D847CB" w:rsidRDefault="00000000">
      <w:pPr>
        <w:pStyle w:val="FirstParagraph"/>
        <w:rPr>
          <w:color w:val="000000" w:themeColor="text1"/>
        </w:rPr>
      </w:pPr>
      <w:r w:rsidRPr="00D847CB">
        <w:rPr>
          <w:b/>
          <w:bCs/>
          <w:color w:val="000000" w:themeColor="text1"/>
        </w:rPr>
        <w:t>Fuente:</w:t>
      </w:r>
      <w:r w:rsidRPr="00D847CB">
        <w:rPr>
          <w:color w:val="000000" w:themeColor="text1"/>
        </w:rPr>
        <w:t xml:space="preserve"> INDEC, Indicador Sintético de la Actividad de la Construcción (ISAC).</w:t>
      </w:r>
    </w:p>
    <w:p w14:paraId="332144B4" w14:textId="77777777" w:rsidR="006B61FC" w:rsidRPr="00D847CB" w:rsidRDefault="00000000">
      <w:pPr>
        <w:pStyle w:val="Textoindependiente"/>
        <w:rPr>
          <w:color w:val="000000" w:themeColor="text1"/>
        </w:rPr>
      </w:pPr>
      <w:r w:rsidRPr="00D847CB">
        <w:rPr>
          <w:b/>
          <w:bCs/>
          <w:color w:val="000000" w:themeColor="text1"/>
        </w:rPr>
        <w:t>Valor base (promedio 4T-2023):</w:t>
      </w:r>
      <w:r w:rsidRPr="00D847CB">
        <w:rPr>
          <w:color w:val="000000" w:themeColor="text1"/>
        </w:rPr>
        <w:t xml:space="preserve"> </w:t>
      </w:r>
      <w:r w:rsidRPr="00D847CB">
        <w:rPr>
          <w:i/>
          <w:iCs/>
          <w:color w:val="000000" w:themeColor="text1"/>
        </w:rPr>
        <w:t>[a completar con el promedio del índice de octubre, noviembre y diciembre de 2023]</w:t>
      </w:r>
    </w:p>
    <w:p w14:paraId="1E557207" w14:textId="77777777" w:rsidR="006B61FC" w:rsidRPr="00D847CB" w:rsidRDefault="00000000">
      <w:pPr>
        <w:pStyle w:val="Textoindependiente"/>
        <w:rPr>
          <w:color w:val="000000" w:themeColor="text1"/>
        </w:rPr>
      </w:pPr>
      <w:r w:rsidRPr="00D847CB">
        <w:rPr>
          <w:b/>
          <w:bCs/>
          <w:color w:val="000000" w:themeColor="text1"/>
        </w:rPr>
        <w:t>Fórmula:</w:t>
      </w:r>
      <w:r w:rsidRPr="00D847CB">
        <w:rPr>
          <w:color w:val="000000" w:themeColor="text1"/>
        </w:rPr>
        <w:t xml:space="preserve"> </w:t>
      </w:r>
      <w:r w:rsidRPr="00D847CB">
        <w:rPr>
          <w:rStyle w:val="VerbatimChar"/>
          <w:color w:val="000000" w:themeColor="text1"/>
        </w:rPr>
        <w:t>I_ISC(t) = (ISACₜ / ISAC_T423) × 100</w:t>
      </w:r>
    </w:p>
    <w:p w14:paraId="4F0438B4" w14:textId="77777777" w:rsidR="006B61FC" w:rsidRPr="00D847CB" w:rsidRDefault="00000000">
      <w:pPr>
        <w:pStyle w:val="Textoindependiente"/>
        <w:rPr>
          <w:color w:val="000000" w:themeColor="text1"/>
        </w:rPr>
      </w:pPr>
      <w:r w:rsidRPr="00D847CB">
        <w:rPr>
          <w:b/>
          <w:bCs/>
          <w:color w:val="000000" w:themeColor="text1"/>
        </w:rPr>
        <w:t>Relevancia:</w:t>
      </w:r>
      <w:r w:rsidRPr="00D847CB">
        <w:rPr>
          <w:color w:val="000000" w:themeColor="text1"/>
        </w:rPr>
        <w:t xml:space="preserve"> sector de alto empleo directo e indirecto; funciona también como proxy de confianza de inversores.</w:t>
      </w:r>
    </w:p>
    <w:p w14:paraId="70003A23" w14:textId="77777777" w:rsidR="006B61FC" w:rsidRPr="00D847CB" w:rsidRDefault="00000000">
      <w:pPr>
        <w:pStyle w:val="Ttulo3"/>
        <w:rPr>
          <w:color w:val="000000" w:themeColor="text1"/>
        </w:rPr>
      </w:pPr>
      <w:bookmarkStart w:id="25" w:name="X69523298245ef6a6379b402c69b194b36868e35"/>
      <w:bookmarkEnd w:id="24"/>
      <w:r w:rsidRPr="00D847CB">
        <w:rPr>
          <w:color w:val="000000" w:themeColor="text1"/>
        </w:rPr>
        <w:t>C) Subocupación demandante — 15% de la dimensión = 2,25% del total</w:t>
      </w:r>
    </w:p>
    <w:p w14:paraId="53C34E5E" w14:textId="77777777" w:rsidR="006B61FC" w:rsidRPr="00D847CB" w:rsidRDefault="00000000">
      <w:pPr>
        <w:pStyle w:val="FirstParagraph"/>
        <w:rPr>
          <w:color w:val="000000" w:themeColor="text1"/>
        </w:rPr>
      </w:pPr>
      <w:r w:rsidRPr="00D847CB">
        <w:rPr>
          <w:b/>
          <w:bCs/>
          <w:color w:val="000000" w:themeColor="text1"/>
        </w:rPr>
        <w:t>Fuente:</w:t>
      </w:r>
      <w:r w:rsidRPr="00D847CB">
        <w:rPr>
          <w:color w:val="000000" w:themeColor="text1"/>
        </w:rPr>
        <w:t xml:space="preserve"> EPH-INDEC, tasa de subocupación demandante (trimestral).</w:t>
      </w:r>
    </w:p>
    <w:p w14:paraId="06A25D85" w14:textId="77777777" w:rsidR="006B61FC" w:rsidRPr="00D847CB" w:rsidRDefault="00000000">
      <w:pPr>
        <w:pStyle w:val="Textoindependiente"/>
        <w:rPr>
          <w:color w:val="000000" w:themeColor="text1"/>
        </w:rPr>
      </w:pPr>
      <w:r w:rsidRPr="00D847CB">
        <w:rPr>
          <w:b/>
          <w:bCs/>
          <w:color w:val="000000" w:themeColor="text1"/>
        </w:rPr>
        <w:t>Valor base (4º trimestre 2023):</w:t>
      </w:r>
      <w:r w:rsidRPr="00D847CB">
        <w:rPr>
          <w:color w:val="000000" w:themeColor="text1"/>
        </w:rPr>
        <w:t xml:space="preserve"> </w:t>
      </w:r>
      <w:r w:rsidRPr="00D847CB">
        <w:rPr>
          <w:i/>
          <w:iCs/>
          <w:color w:val="000000" w:themeColor="text1"/>
        </w:rPr>
        <w:t>[a completar con el dato oficial EPH-INDEC — coincide naturalmente con la línea de base trimestral, ya que la EPH publica esta tasa con frecuencia trimestral]</w:t>
      </w:r>
    </w:p>
    <w:p w14:paraId="1DEA63FA" w14:textId="77777777" w:rsidR="006B61FC" w:rsidRPr="00D847CB" w:rsidRDefault="00000000">
      <w:pPr>
        <w:pStyle w:val="Textoindependiente"/>
        <w:rPr>
          <w:color w:val="000000" w:themeColor="text1"/>
        </w:rPr>
      </w:pPr>
      <w:r w:rsidRPr="00D847CB">
        <w:rPr>
          <w:b/>
          <w:bCs/>
          <w:color w:val="000000" w:themeColor="text1"/>
        </w:rPr>
        <w:t>Fórmula:</w:t>
      </w:r>
      <w:r w:rsidRPr="00D847CB">
        <w:rPr>
          <w:color w:val="000000" w:themeColor="text1"/>
        </w:rPr>
        <w:t xml:space="preserve"> </w:t>
      </w:r>
      <w:r w:rsidRPr="00D847CB">
        <w:rPr>
          <w:rStyle w:val="VerbatimChar"/>
          <w:color w:val="000000" w:themeColor="text1"/>
        </w:rPr>
        <w:t>I_SD(t) = (Tasa_T423 / Tasaₜ) × 100</w:t>
      </w:r>
      <w:r w:rsidRPr="00D847CB">
        <w:rPr>
          <w:color w:val="000000" w:themeColor="text1"/>
        </w:rPr>
        <w:t xml:space="preserve"> (invertido: menos subocupación = mejora)</w:t>
      </w:r>
    </w:p>
    <w:p w14:paraId="440A2B30" w14:textId="77777777" w:rsidR="006B61FC" w:rsidRPr="00D847CB" w:rsidRDefault="00000000">
      <w:pPr>
        <w:pStyle w:val="Textoindependiente"/>
        <w:rPr>
          <w:color w:val="000000" w:themeColor="text1"/>
        </w:rPr>
      </w:pPr>
      <w:r w:rsidRPr="00D847CB">
        <w:rPr>
          <w:b/>
          <w:bCs/>
          <w:color w:val="000000" w:themeColor="text1"/>
        </w:rPr>
        <w:t>Relevancia:</w:t>
      </w:r>
      <w:r w:rsidRPr="00D847CB">
        <w:rPr>
          <w:color w:val="000000" w:themeColor="text1"/>
        </w:rPr>
        <w:t xml:space="preserve"> mide insuficiencia de horas de trabajo disponibles; síntoma secundario del mercado laboral.</w:t>
      </w:r>
    </w:p>
    <w:p w14:paraId="5527A136" w14:textId="77777777" w:rsidR="006B61FC" w:rsidRPr="00D847CB" w:rsidRDefault="00000000">
      <w:pPr>
        <w:pStyle w:val="Ttulo2"/>
        <w:rPr>
          <w:color w:val="000000" w:themeColor="text1"/>
        </w:rPr>
      </w:pPr>
      <w:bookmarkStart w:id="26" w:name="Xc4ad0e22963ef748326aeef6ddc859edb5b00ce"/>
      <w:bookmarkStart w:id="27" w:name="_Toc233900762"/>
      <w:bookmarkEnd w:id="21"/>
      <w:bookmarkEnd w:id="25"/>
      <w:r w:rsidRPr="00D847CB">
        <w:rPr>
          <w:color w:val="000000" w:themeColor="text1"/>
        </w:rPr>
        <w:t>DIMENSIÓN 5: CONFIANZA Y SEGURIDAD (15% del total)</w:t>
      </w:r>
      <w:bookmarkEnd w:id="27"/>
    </w:p>
    <w:p w14:paraId="6C60671C" w14:textId="77777777" w:rsidR="006B61FC" w:rsidRPr="00D847CB" w:rsidRDefault="00000000">
      <w:pPr>
        <w:pStyle w:val="Ttulo3"/>
        <w:rPr>
          <w:color w:val="000000" w:themeColor="text1"/>
        </w:rPr>
      </w:pPr>
      <w:bookmarkStart w:id="28" w:name="Xd62e21d6dfddb433b242133b139676b15882800"/>
      <w:r w:rsidRPr="00D847CB">
        <w:rPr>
          <w:color w:val="000000" w:themeColor="text1"/>
        </w:rPr>
        <w:t>A) Confianza del Consumidor (ICC) — 50% de la dimensión = 7,5% del total</w:t>
      </w:r>
    </w:p>
    <w:p w14:paraId="49609CD9" w14:textId="77777777" w:rsidR="006B61FC" w:rsidRPr="00D847CB" w:rsidRDefault="00000000">
      <w:pPr>
        <w:pStyle w:val="FirstParagraph"/>
        <w:rPr>
          <w:color w:val="000000" w:themeColor="text1"/>
        </w:rPr>
      </w:pPr>
      <w:r w:rsidRPr="00D847CB">
        <w:rPr>
          <w:b/>
          <w:bCs/>
          <w:color w:val="000000" w:themeColor="text1"/>
        </w:rPr>
        <w:t>Fuente:</w:t>
      </w:r>
      <w:r w:rsidRPr="00D847CB">
        <w:rPr>
          <w:color w:val="000000" w:themeColor="text1"/>
        </w:rPr>
        <w:t xml:space="preserve"> Universidad Torcuato Di Tella (CIF-UTDT), encuesta mensual realizada por Poliarquía.</w:t>
      </w:r>
    </w:p>
    <w:p w14:paraId="1A6E1E74" w14:textId="77777777" w:rsidR="006B61FC" w:rsidRPr="00D847CB" w:rsidRDefault="00000000">
      <w:pPr>
        <w:pStyle w:val="Textoindependiente"/>
        <w:rPr>
          <w:color w:val="000000" w:themeColor="text1"/>
        </w:rPr>
      </w:pPr>
      <w:r w:rsidRPr="00D847CB">
        <w:rPr>
          <w:b/>
          <w:bCs/>
          <w:color w:val="000000" w:themeColor="text1"/>
        </w:rPr>
        <w:t>Valor base (promedio 4T-2023):</w:t>
      </w:r>
      <w:r w:rsidRPr="00D847CB">
        <w:rPr>
          <w:color w:val="000000" w:themeColor="text1"/>
        </w:rPr>
        <w:t xml:space="preserve"> </w:t>
      </w:r>
      <w:r w:rsidRPr="00D847CB">
        <w:rPr>
          <w:i/>
          <w:iCs/>
          <w:color w:val="000000" w:themeColor="text1"/>
        </w:rPr>
        <w:t xml:space="preserve">[a completar promediando las mediciones de octubre, noviembre y diciembre de 2023 publicadas por UTDT-CIF. Referencia de contexto: el valor de diciembre de 2023 se estima en 39-40 puntos aproximadamente, a </w:t>
      </w:r>
      <w:r w:rsidRPr="00D847CB">
        <w:rPr>
          <w:i/>
          <w:iCs/>
          <w:color w:val="000000" w:themeColor="text1"/>
        </w:rPr>
        <w:lastRenderedPageBreak/>
        <w:t>partir de la variación interanual publicada por UTDT para dic-2024 (+15,6% i.a. sobre un valor de dic-2024 de 46,0); se recomienda confirmar los tres valores mensuales exactos con la serie oficial de UTDT antes de fijar el promedio como línea de base]</w:t>
      </w:r>
    </w:p>
    <w:p w14:paraId="0D931805" w14:textId="77777777" w:rsidR="006B61FC" w:rsidRPr="00D847CB" w:rsidRDefault="00000000">
      <w:pPr>
        <w:pStyle w:val="Textoindependiente"/>
        <w:rPr>
          <w:color w:val="000000" w:themeColor="text1"/>
        </w:rPr>
      </w:pPr>
      <w:r w:rsidRPr="00D847CB">
        <w:rPr>
          <w:b/>
          <w:bCs/>
          <w:color w:val="000000" w:themeColor="text1"/>
        </w:rPr>
        <w:t>Fórmula:</w:t>
      </w:r>
      <w:r w:rsidRPr="00D847CB">
        <w:rPr>
          <w:color w:val="000000" w:themeColor="text1"/>
        </w:rPr>
        <w:t xml:space="preserve"> </w:t>
      </w:r>
      <w:r w:rsidRPr="00D847CB">
        <w:rPr>
          <w:rStyle w:val="VerbatimChar"/>
          <w:color w:val="000000" w:themeColor="text1"/>
        </w:rPr>
        <w:t>I_ICC(t) = (ICCₜ / ICC_T423) × 100</w:t>
      </w:r>
    </w:p>
    <w:p w14:paraId="5F0D1D0E" w14:textId="77777777" w:rsidR="006B61FC" w:rsidRPr="00D847CB" w:rsidRDefault="00000000">
      <w:pPr>
        <w:pStyle w:val="Textoindependiente"/>
        <w:rPr>
          <w:color w:val="000000" w:themeColor="text1"/>
        </w:rPr>
      </w:pPr>
      <w:r w:rsidRPr="00D847CB">
        <w:rPr>
          <w:b/>
          <w:bCs/>
          <w:color w:val="000000" w:themeColor="text1"/>
        </w:rPr>
        <w:t>Relevancia:</w:t>
      </w:r>
      <w:r w:rsidRPr="00D847CB">
        <w:rPr>
          <w:color w:val="000000" w:themeColor="text1"/>
        </w:rPr>
        <w:t xml:space="preserve"> indicador emocional-predictivo; anticipa decisiones de consumo e inversión de los hogares.</w:t>
      </w:r>
    </w:p>
    <w:p w14:paraId="1520867E" w14:textId="77777777" w:rsidR="006B61FC" w:rsidRPr="00D847CB" w:rsidRDefault="00000000">
      <w:pPr>
        <w:pStyle w:val="Ttulo3"/>
        <w:rPr>
          <w:color w:val="000000" w:themeColor="text1"/>
        </w:rPr>
      </w:pPr>
      <w:bookmarkStart w:id="29" w:name="X38484e987c3e6ba2126c18e8c5f279106d844a7"/>
      <w:bookmarkEnd w:id="28"/>
      <w:r w:rsidRPr="00D847CB">
        <w:rPr>
          <w:color w:val="000000" w:themeColor="text1"/>
        </w:rPr>
        <w:t>B) Hechos delictivos (SNIC) — 30% de la dimensión = 4,5% del total</w:t>
      </w:r>
    </w:p>
    <w:p w14:paraId="1BD45289" w14:textId="77777777" w:rsidR="006B61FC" w:rsidRPr="00D847CB" w:rsidRDefault="00000000">
      <w:pPr>
        <w:pStyle w:val="FirstParagraph"/>
        <w:rPr>
          <w:color w:val="000000" w:themeColor="text1"/>
        </w:rPr>
      </w:pPr>
      <w:r w:rsidRPr="00D847CB">
        <w:rPr>
          <w:b/>
          <w:bCs/>
          <w:color w:val="000000" w:themeColor="text1"/>
        </w:rPr>
        <w:t>Fuente:</w:t>
      </w:r>
      <w:r w:rsidRPr="00D847CB">
        <w:rPr>
          <w:color w:val="000000" w:themeColor="text1"/>
        </w:rPr>
        <w:t xml:space="preserve"> Sistema Nacional de Información Criminal (SNIC), Ministerio de Seguridad de la Nación — publicación anual, con rezago de aproximadamente un año respecto del período de referencia.</w:t>
      </w:r>
    </w:p>
    <w:p w14:paraId="3B6F258A" w14:textId="77777777" w:rsidR="006B61FC" w:rsidRPr="00D847CB" w:rsidRDefault="00000000">
      <w:pPr>
        <w:pStyle w:val="Textoindependiente"/>
        <w:rPr>
          <w:color w:val="000000" w:themeColor="text1"/>
        </w:rPr>
      </w:pPr>
      <w:r w:rsidRPr="00D847CB">
        <w:rPr>
          <w:b/>
          <w:bCs/>
          <w:color w:val="000000" w:themeColor="text1"/>
        </w:rPr>
        <w:t>Valor base (4º trimestre 2023 o, en su defecto, anual 2023):</w:t>
      </w:r>
      <w:r w:rsidRPr="00D847CB">
        <w:rPr>
          <w:color w:val="000000" w:themeColor="text1"/>
        </w:rPr>
        <w:t xml:space="preserve"> </w:t>
      </w:r>
      <w:r w:rsidRPr="00D847CB">
        <w:rPr>
          <w:i/>
          <w:iCs/>
          <w:color w:val="000000" w:themeColor="text1"/>
        </w:rPr>
        <w:t>[a completar; nota: el SNIC publica con frecuencia anual y rezago de aproximadamente un año, por lo que no siempre será posible aislar el promedio del 4º trimestre — en ese caso se recomienda usar el dato anual 2023 completo como aproximación, y declararlo explícitamente como excepción a la regla de base trimestral. Ver observación en sección IV]</w:t>
      </w:r>
    </w:p>
    <w:p w14:paraId="31FFFBD2" w14:textId="77777777" w:rsidR="006B61FC" w:rsidRPr="00D847CB" w:rsidRDefault="00000000">
      <w:pPr>
        <w:pStyle w:val="Textoindependiente"/>
        <w:rPr>
          <w:color w:val="000000" w:themeColor="text1"/>
        </w:rPr>
      </w:pPr>
      <w:r w:rsidRPr="00D847CB">
        <w:rPr>
          <w:b/>
          <w:bCs/>
          <w:color w:val="000000" w:themeColor="text1"/>
        </w:rPr>
        <w:t>Fórmula:</w:t>
      </w:r>
      <w:r w:rsidRPr="00D847CB">
        <w:rPr>
          <w:color w:val="000000" w:themeColor="text1"/>
        </w:rPr>
        <w:t xml:space="preserve"> </w:t>
      </w:r>
      <w:r w:rsidRPr="00D847CB">
        <w:rPr>
          <w:rStyle w:val="VerbatimChar"/>
          <w:color w:val="000000" w:themeColor="text1"/>
        </w:rPr>
        <w:t>I_HD(t) = (Hechos_2023 / Hechosₜ) × 100</w:t>
      </w:r>
      <w:r w:rsidRPr="00D847CB">
        <w:rPr>
          <w:color w:val="000000" w:themeColor="text1"/>
        </w:rPr>
        <w:t xml:space="preserve"> (invertido: menos delitos = mejora)</w:t>
      </w:r>
    </w:p>
    <w:p w14:paraId="446C7537" w14:textId="77777777" w:rsidR="006B61FC" w:rsidRPr="00D847CB" w:rsidRDefault="00000000">
      <w:pPr>
        <w:pStyle w:val="Textoindependiente"/>
        <w:rPr>
          <w:color w:val="000000" w:themeColor="text1"/>
        </w:rPr>
      </w:pPr>
      <w:r w:rsidRPr="00D847CB">
        <w:rPr>
          <w:b/>
          <w:bCs/>
          <w:color w:val="000000" w:themeColor="text1"/>
        </w:rPr>
        <w:t>Relevancia:</w:t>
      </w:r>
      <w:r w:rsidRPr="00D847CB">
        <w:rPr>
          <w:color w:val="000000" w:themeColor="text1"/>
        </w:rPr>
        <w:t xml:space="preserve"> la seguridad afecta directamente la percepción de calidad de vida cotidiana, más allá de su efecto sobre ingresos.</w:t>
      </w:r>
    </w:p>
    <w:p w14:paraId="0FD9953A" w14:textId="77777777" w:rsidR="006B61FC" w:rsidRPr="00D847CB" w:rsidRDefault="00000000">
      <w:pPr>
        <w:pStyle w:val="Ttulo3"/>
        <w:rPr>
          <w:color w:val="000000" w:themeColor="text1"/>
        </w:rPr>
      </w:pPr>
      <w:bookmarkStart w:id="30" w:name="Xfc05c528708eef27895c736da3427eecdcacffa"/>
      <w:bookmarkEnd w:id="29"/>
      <w:r w:rsidRPr="00D847CB">
        <w:rPr>
          <w:color w:val="000000" w:themeColor="text1"/>
        </w:rPr>
        <w:t>C) Consumo de carne vacuna — 10% de la dimensión = 1,5% del total</w:t>
      </w:r>
    </w:p>
    <w:p w14:paraId="293E882C" w14:textId="77777777" w:rsidR="006B61FC" w:rsidRPr="00D847CB" w:rsidRDefault="00000000">
      <w:pPr>
        <w:pStyle w:val="FirstParagraph"/>
        <w:rPr>
          <w:color w:val="000000" w:themeColor="text1"/>
        </w:rPr>
      </w:pPr>
      <w:r w:rsidRPr="00D847CB">
        <w:rPr>
          <w:b/>
          <w:bCs/>
          <w:color w:val="000000" w:themeColor="text1"/>
        </w:rPr>
        <w:t>Fuente:</w:t>
      </w:r>
      <w:r w:rsidRPr="00D847CB">
        <w:rPr>
          <w:color w:val="000000" w:themeColor="text1"/>
        </w:rPr>
        <w:t xml:space="preserve"> Instituto de Promoción de la Carne Vacuna Argentina (IPCVA) / Ministerio de Economía — consumo aparente per cápita, mensual.</w:t>
      </w:r>
    </w:p>
    <w:p w14:paraId="5EFAB901" w14:textId="77777777" w:rsidR="006B61FC" w:rsidRPr="00D847CB" w:rsidRDefault="00000000">
      <w:pPr>
        <w:pStyle w:val="Textoindependiente"/>
        <w:rPr>
          <w:color w:val="000000" w:themeColor="text1"/>
        </w:rPr>
      </w:pPr>
      <w:r w:rsidRPr="00D847CB">
        <w:rPr>
          <w:b/>
          <w:bCs/>
          <w:color w:val="000000" w:themeColor="text1"/>
        </w:rPr>
        <w:t>Valor base (promedio 4T-2023):</w:t>
      </w:r>
      <w:r w:rsidRPr="00D847CB">
        <w:rPr>
          <w:color w:val="000000" w:themeColor="text1"/>
        </w:rPr>
        <w:t xml:space="preserve"> </w:t>
      </w:r>
      <w:r w:rsidRPr="00D847CB">
        <w:rPr>
          <w:i/>
          <w:iCs/>
          <w:color w:val="000000" w:themeColor="text1"/>
        </w:rPr>
        <w:t>[a completar con el promedio del consumo mensual per cápita de octubre, noviembre y diciembre de 2023]</w:t>
      </w:r>
    </w:p>
    <w:p w14:paraId="53983DF8" w14:textId="77777777" w:rsidR="006B61FC" w:rsidRPr="00D847CB" w:rsidRDefault="00000000">
      <w:pPr>
        <w:pStyle w:val="Textoindependiente"/>
        <w:rPr>
          <w:color w:val="000000" w:themeColor="text1"/>
        </w:rPr>
      </w:pPr>
      <w:r w:rsidRPr="00D847CB">
        <w:rPr>
          <w:b/>
          <w:bCs/>
          <w:color w:val="000000" w:themeColor="text1"/>
        </w:rPr>
        <w:t>Fórmula:</w:t>
      </w:r>
      <w:r w:rsidRPr="00D847CB">
        <w:rPr>
          <w:color w:val="000000" w:themeColor="text1"/>
        </w:rPr>
        <w:t xml:space="preserve"> </w:t>
      </w:r>
      <w:r w:rsidRPr="00D847CB">
        <w:rPr>
          <w:rStyle w:val="VerbatimChar"/>
          <w:color w:val="000000" w:themeColor="text1"/>
        </w:rPr>
        <w:t>I_CC(t) = (Consumoₜ / Consumo_T423) × 100</w:t>
      </w:r>
    </w:p>
    <w:p w14:paraId="128E2E6F" w14:textId="77777777" w:rsidR="006B61FC" w:rsidRPr="00D847CB" w:rsidRDefault="00000000">
      <w:pPr>
        <w:pStyle w:val="Textoindependiente"/>
        <w:rPr>
          <w:color w:val="000000" w:themeColor="text1"/>
        </w:rPr>
      </w:pPr>
      <w:r w:rsidRPr="00D847CB">
        <w:rPr>
          <w:b/>
          <w:bCs/>
          <w:color w:val="000000" w:themeColor="text1"/>
        </w:rPr>
        <w:t>Relevancia:</w:t>
      </w:r>
      <w:r w:rsidRPr="00D847CB">
        <w:rPr>
          <w:color w:val="000000" w:themeColor="text1"/>
        </w:rPr>
        <w:t xml:space="preserve"> proxy histórico de poder adquisitivo de bienes de consumo masivo en Argentina.</w:t>
      </w:r>
    </w:p>
    <w:p w14:paraId="73981BE8" w14:textId="77777777" w:rsidR="006B61FC" w:rsidRPr="00D847CB" w:rsidRDefault="00000000">
      <w:pPr>
        <w:pStyle w:val="Ttulo3"/>
        <w:rPr>
          <w:color w:val="000000" w:themeColor="text1"/>
        </w:rPr>
      </w:pPr>
      <w:bookmarkStart w:id="31" w:name="Xbeee1c02644d4487f858012b6d317483d21b174"/>
      <w:bookmarkEnd w:id="30"/>
      <w:r w:rsidRPr="00D847CB">
        <w:rPr>
          <w:color w:val="000000" w:themeColor="text1"/>
        </w:rPr>
        <w:t>D) Patentamiento de motos — 10% de la dimensión = 1,5% del total</w:t>
      </w:r>
    </w:p>
    <w:p w14:paraId="2D738D57" w14:textId="77777777" w:rsidR="006B61FC" w:rsidRPr="00D847CB" w:rsidRDefault="00000000">
      <w:pPr>
        <w:pStyle w:val="FirstParagraph"/>
        <w:rPr>
          <w:color w:val="000000" w:themeColor="text1"/>
        </w:rPr>
      </w:pPr>
      <w:r w:rsidRPr="00D847CB">
        <w:rPr>
          <w:b/>
          <w:bCs/>
          <w:color w:val="000000" w:themeColor="text1"/>
        </w:rPr>
        <w:t>Fuente:</w:t>
      </w:r>
      <w:r w:rsidRPr="00D847CB">
        <w:rPr>
          <w:color w:val="000000" w:themeColor="text1"/>
        </w:rPr>
        <w:t xml:space="preserve"> Asociación de Fábricas de Motovehículos (AFAM) / ACARA — patentamientos mensuales.</w:t>
      </w:r>
    </w:p>
    <w:p w14:paraId="45021866" w14:textId="77777777" w:rsidR="006B61FC" w:rsidRPr="00D847CB" w:rsidRDefault="00000000">
      <w:pPr>
        <w:pStyle w:val="Textoindependiente"/>
        <w:rPr>
          <w:color w:val="000000" w:themeColor="text1"/>
        </w:rPr>
      </w:pPr>
      <w:r w:rsidRPr="00D847CB">
        <w:rPr>
          <w:b/>
          <w:bCs/>
          <w:color w:val="000000" w:themeColor="text1"/>
        </w:rPr>
        <w:t>Valor base (promedio 4T-2023):</w:t>
      </w:r>
      <w:r w:rsidRPr="00D847CB">
        <w:rPr>
          <w:color w:val="000000" w:themeColor="text1"/>
        </w:rPr>
        <w:t xml:space="preserve"> </w:t>
      </w:r>
      <w:r w:rsidRPr="00D847CB">
        <w:rPr>
          <w:i/>
          <w:iCs/>
          <w:color w:val="000000" w:themeColor="text1"/>
        </w:rPr>
        <w:t>[a completar con el promedio de patentamientos mensuales de octubre, noviembre y diciembre de 2023]</w:t>
      </w:r>
    </w:p>
    <w:p w14:paraId="7C6EDA11" w14:textId="77777777" w:rsidR="006B61FC" w:rsidRPr="00D847CB" w:rsidRDefault="00000000">
      <w:pPr>
        <w:pStyle w:val="Textoindependiente"/>
        <w:rPr>
          <w:color w:val="000000" w:themeColor="text1"/>
        </w:rPr>
      </w:pPr>
      <w:r w:rsidRPr="00D847CB">
        <w:rPr>
          <w:b/>
          <w:bCs/>
          <w:color w:val="000000" w:themeColor="text1"/>
        </w:rPr>
        <w:t>Fórmula:</w:t>
      </w:r>
      <w:r w:rsidRPr="00D847CB">
        <w:rPr>
          <w:color w:val="000000" w:themeColor="text1"/>
        </w:rPr>
        <w:t xml:space="preserve"> </w:t>
      </w:r>
      <w:r w:rsidRPr="00D847CB">
        <w:rPr>
          <w:rStyle w:val="VerbatimChar"/>
          <w:color w:val="000000" w:themeColor="text1"/>
        </w:rPr>
        <w:t>I_PM(t) = (Patentamientosₜ / Patentamientos_T423) × 100</w:t>
      </w:r>
    </w:p>
    <w:p w14:paraId="43B0B649" w14:textId="77777777" w:rsidR="006B61FC" w:rsidRPr="00D847CB" w:rsidRDefault="00000000">
      <w:pPr>
        <w:pStyle w:val="Textoindependiente"/>
        <w:rPr>
          <w:color w:val="000000" w:themeColor="text1"/>
        </w:rPr>
      </w:pPr>
      <w:r w:rsidRPr="00D847CB">
        <w:rPr>
          <w:b/>
          <w:bCs/>
          <w:color w:val="000000" w:themeColor="text1"/>
        </w:rPr>
        <w:lastRenderedPageBreak/>
        <w:t>Relevancia:</w:t>
      </w:r>
      <w:r w:rsidRPr="00D847CB">
        <w:rPr>
          <w:color w:val="000000" w:themeColor="text1"/>
        </w:rPr>
        <w:t xml:space="preserve"> proxy de consumo de bienes durables de la clase trabajadora y media-baja; la moto es transporte popular, no bien suntuario.</w:t>
      </w:r>
    </w:p>
    <w:p w14:paraId="6D4DEEF3" w14:textId="77777777" w:rsidR="006B61FC" w:rsidRPr="00D847CB" w:rsidRDefault="00000000">
      <w:pPr>
        <w:pStyle w:val="Ttulo1"/>
        <w:rPr>
          <w:color w:val="000000" w:themeColor="text1"/>
        </w:rPr>
      </w:pPr>
      <w:bookmarkStart w:id="32" w:name="Xfaa9e8c78e00863d6cc5c9ce1a719c52275da93"/>
      <w:bookmarkStart w:id="33" w:name="_Toc233900763"/>
      <w:bookmarkEnd w:id="8"/>
      <w:bookmarkEnd w:id="26"/>
      <w:bookmarkEnd w:id="31"/>
      <w:r w:rsidRPr="00D847CB">
        <w:rPr>
          <w:color w:val="000000" w:themeColor="text1"/>
        </w:rPr>
        <w:t>III. La fórmula paramétrica integrada (versión base 100)</w:t>
      </w:r>
      <w:bookmarkEnd w:id="33"/>
    </w:p>
    <w:p w14:paraId="61D4D7B6" w14:textId="77777777" w:rsidR="006B61FC" w:rsidRPr="00D847CB" w:rsidRDefault="00000000">
      <w:pPr>
        <w:pStyle w:val="FirstParagraph"/>
        <w:rPr>
          <w:color w:val="000000" w:themeColor="text1"/>
        </w:rPr>
      </w:pPr>
      <w:r w:rsidRPr="00D847CB">
        <w:rPr>
          <w:b/>
          <w:bCs/>
          <w:color w:val="000000" w:themeColor="text1"/>
        </w:rPr>
        <w:t>ÍNDICE DE TENSIÓN DEL CINTURÓN DE VIDA COTIDIANA — BASE 100 (ITVC-B100)</w:t>
      </w:r>
    </w:p>
    <w:p w14:paraId="3D644F7D" w14:textId="77777777" w:rsidR="006B61FC" w:rsidRPr="00D847CB" w:rsidRDefault="00000000">
      <w:pPr>
        <w:pStyle w:val="SourceCode"/>
        <w:rPr>
          <w:color w:val="000000" w:themeColor="text1"/>
        </w:rPr>
      </w:pPr>
      <w:r w:rsidRPr="00D847CB">
        <w:rPr>
          <w:rStyle w:val="VerbatimChar"/>
          <w:color w:val="000000" w:themeColor="text1"/>
        </w:rPr>
        <w:t>ITVC-B100(t) =</w:t>
      </w:r>
      <w:r w:rsidRPr="00D847CB">
        <w:rPr>
          <w:color w:val="000000" w:themeColor="text1"/>
        </w:rPr>
        <w:br/>
      </w:r>
      <w:r w:rsidRPr="00D847CB">
        <w:rPr>
          <w:rStyle w:val="VerbatimChar"/>
          <w:color w:val="000000" w:themeColor="text1"/>
        </w:rPr>
        <w:t xml:space="preserve">    0,35 × [0,65×I_SRC(t) + 0,35×I_IFL(t)]</w:t>
      </w:r>
      <w:r w:rsidRPr="00D847CB">
        <w:rPr>
          <w:color w:val="000000" w:themeColor="text1"/>
        </w:rPr>
        <w:br/>
      </w:r>
      <w:r w:rsidRPr="00D847CB">
        <w:rPr>
          <w:rStyle w:val="VerbatimChar"/>
          <w:color w:val="000000" w:themeColor="text1"/>
        </w:rPr>
        <w:t xml:space="preserve">  + 0,25 × [0,40×I_IA(t)  + 0,60×I_PT(t)]</w:t>
      </w:r>
      <w:r w:rsidRPr="00D847CB">
        <w:rPr>
          <w:color w:val="000000" w:themeColor="text1"/>
        </w:rPr>
        <w:br/>
      </w:r>
      <w:r w:rsidRPr="00D847CB">
        <w:rPr>
          <w:rStyle w:val="VerbatimChar"/>
          <w:color w:val="000000" w:themeColor="text1"/>
        </w:rPr>
        <w:t xml:space="preserve">  + 0,10 ×  I_EC(t)</w:t>
      </w:r>
      <w:r w:rsidRPr="00D847CB">
        <w:rPr>
          <w:color w:val="000000" w:themeColor="text1"/>
        </w:rPr>
        <w:br/>
      </w:r>
      <w:r w:rsidRPr="00D847CB">
        <w:rPr>
          <w:rStyle w:val="VerbatimChar"/>
          <w:color w:val="000000" w:themeColor="text1"/>
        </w:rPr>
        <w:t xml:space="preserve">  + 0,15 × [0,45×I_IPI(t) + 0,40×I_ISC(t) + 0,15×I_SD(t)]</w:t>
      </w:r>
      <w:r w:rsidRPr="00D847CB">
        <w:rPr>
          <w:color w:val="000000" w:themeColor="text1"/>
        </w:rPr>
        <w:br/>
      </w:r>
      <w:r w:rsidRPr="00D847CB">
        <w:rPr>
          <w:rStyle w:val="VerbatimChar"/>
          <w:color w:val="000000" w:themeColor="text1"/>
        </w:rPr>
        <w:t xml:space="preserve">  + 0,15 × [0,50×I_ICC(t) + 0,30×I_HD(t) + 0,10×I_CC(t) + 0,10×I_PM(t)]</w:t>
      </w:r>
    </w:p>
    <w:p w14:paraId="4C4A373D" w14:textId="77777777" w:rsidR="006B61FC" w:rsidRPr="00D847CB" w:rsidRDefault="00000000">
      <w:pPr>
        <w:pStyle w:val="FirstParagraph"/>
        <w:rPr>
          <w:color w:val="000000" w:themeColor="text1"/>
        </w:rPr>
      </w:pPr>
      <w:r w:rsidRPr="00D847CB">
        <w:rPr>
          <w:color w:val="000000" w:themeColor="text1"/>
        </w:rPr>
        <w:t>Donde cada Iᵢ(t) es el índice individual rebaseado según las fórmulas de la sección II (100 = promedio del 4º trimestre de 2023).</w:t>
      </w:r>
    </w:p>
    <w:p w14:paraId="56360E47" w14:textId="77777777" w:rsidR="006B61FC" w:rsidRPr="00D847CB" w:rsidRDefault="00000000">
      <w:pPr>
        <w:pStyle w:val="Textoindependiente"/>
        <w:rPr>
          <w:color w:val="000000" w:themeColor="text1"/>
        </w:rPr>
      </w:pPr>
      <w:r w:rsidRPr="00D847CB">
        <w:rPr>
          <w:b/>
          <w:bCs/>
          <w:color w:val="000000" w:themeColor="text1"/>
        </w:rPr>
        <w:t>Por construcción, ITVC-B100(promedio 4T-2023) = 100</w:t>
      </w:r>
      <w:r w:rsidRPr="00D847CB">
        <w:rPr>
          <w:color w:val="000000" w:themeColor="text1"/>
        </w:rPr>
        <w:t xml:space="preserve"> exactamente, porque es el promedio ponderado de doce componentes que valen 100 en ese trimestre. Esto es intencional: el índice arranca en 100 en el trimestre de transición de gobierno y cada mes posterior mide el avance (o retroceso) acumulado de gestión respecto de ese punto de partida.</w:t>
      </w:r>
    </w:p>
    <w:p w14:paraId="72CEA1F1" w14:textId="77777777" w:rsidR="006B61FC" w:rsidRPr="00D847CB" w:rsidRDefault="00000000">
      <w:pPr>
        <w:pStyle w:val="Ttulo2"/>
        <w:rPr>
          <w:color w:val="000000" w:themeColor="text1"/>
        </w:rPr>
      </w:pPr>
      <w:bookmarkStart w:id="34" w:name="X47a72b6742701b21dac3a5a272fdd6ff197be60"/>
      <w:bookmarkStart w:id="35" w:name="_Toc233900764"/>
      <w:r w:rsidRPr="00D847CB">
        <w:rPr>
          <w:color w:val="000000" w:themeColor="text1"/>
        </w:rPr>
        <w:t>Escala de interpretación (versión base 100)</w:t>
      </w:r>
      <w:bookmarkEnd w:id="35"/>
    </w:p>
    <w:tbl>
      <w:tblPr>
        <w:tblStyle w:val="Table"/>
        <w:tblW w:w="0" w:type="auto"/>
        <w:tblLook w:val="0020" w:firstRow="1" w:lastRow="0" w:firstColumn="0" w:lastColumn="0" w:noHBand="0" w:noVBand="0"/>
      </w:tblPr>
      <w:tblGrid>
        <w:gridCol w:w="1240"/>
        <w:gridCol w:w="6292"/>
      </w:tblGrid>
      <w:tr w:rsidR="006B61FC" w:rsidRPr="00D847CB" w14:paraId="34056470" w14:textId="77777777" w:rsidTr="006B61FC">
        <w:trPr>
          <w:cnfStyle w:val="100000000000" w:firstRow="1" w:lastRow="0" w:firstColumn="0" w:lastColumn="0" w:oddVBand="0" w:evenVBand="0" w:oddHBand="0" w:evenHBand="0" w:firstRowFirstColumn="0" w:firstRowLastColumn="0" w:lastRowFirstColumn="0" w:lastRowLastColumn="0"/>
          <w:tblHeader/>
        </w:trPr>
        <w:tc>
          <w:tcPr>
            <w:tcW w:w="0" w:type="auto"/>
          </w:tcPr>
          <w:p w14:paraId="7C2786D2" w14:textId="77777777" w:rsidR="006B61FC" w:rsidRPr="00D847CB" w:rsidRDefault="00000000">
            <w:pPr>
              <w:pStyle w:val="Compact"/>
              <w:rPr>
                <w:color w:val="000000" w:themeColor="text1"/>
              </w:rPr>
            </w:pPr>
            <w:r w:rsidRPr="00D847CB">
              <w:rPr>
                <w:color w:val="000000" w:themeColor="text1"/>
              </w:rPr>
              <w:t>Rango</w:t>
            </w:r>
          </w:p>
        </w:tc>
        <w:tc>
          <w:tcPr>
            <w:tcW w:w="0" w:type="auto"/>
          </w:tcPr>
          <w:p w14:paraId="136C1244" w14:textId="77777777" w:rsidR="006B61FC" w:rsidRPr="00D847CB" w:rsidRDefault="00000000">
            <w:pPr>
              <w:pStyle w:val="Compact"/>
              <w:rPr>
                <w:color w:val="000000" w:themeColor="text1"/>
              </w:rPr>
            </w:pPr>
            <w:r w:rsidRPr="00D847CB">
              <w:rPr>
                <w:color w:val="000000" w:themeColor="text1"/>
              </w:rPr>
              <w:t>Interpretación</w:t>
            </w:r>
          </w:p>
        </w:tc>
      </w:tr>
      <w:tr w:rsidR="006B61FC" w:rsidRPr="00D847CB" w14:paraId="63859823" w14:textId="77777777">
        <w:tc>
          <w:tcPr>
            <w:tcW w:w="0" w:type="auto"/>
          </w:tcPr>
          <w:p w14:paraId="4DEAFD32" w14:textId="77777777" w:rsidR="006B61FC" w:rsidRPr="00D847CB" w:rsidRDefault="00000000">
            <w:pPr>
              <w:pStyle w:val="Compact"/>
              <w:rPr>
                <w:color w:val="000000" w:themeColor="text1"/>
              </w:rPr>
            </w:pPr>
            <w:r w:rsidRPr="00D847CB">
              <w:rPr>
                <w:color w:val="000000" w:themeColor="text1"/>
              </w:rPr>
              <w:t>&gt; 110</w:t>
            </w:r>
          </w:p>
        </w:tc>
        <w:tc>
          <w:tcPr>
            <w:tcW w:w="0" w:type="auto"/>
          </w:tcPr>
          <w:p w14:paraId="4B003F34" w14:textId="77777777" w:rsidR="006B61FC" w:rsidRPr="00D847CB" w:rsidRDefault="00000000">
            <w:pPr>
              <w:pStyle w:val="Compact"/>
              <w:rPr>
                <w:color w:val="000000" w:themeColor="text1"/>
              </w:rPr>
            </w:pPr>
            <w:r w:rsidRPr="00D847CB">
              <w:rPr>
                <w:color w:val="000000" w:themeColor="text1"/>
              </w:rPr>
              <w:t>Mejora sustancial de la vida cotidiana respecto del 4T-2023</w:t>
            </w:r>
          </w:p>
        </w:tc>
      </w:tr>
      <w:tr w:rsidR="006B61FC" w:rsidRPr="00D847CB" w14:paraId="0F3C96A9" w14:textId="77777777">
        <w:tc>
          <w:tcPr>
            <w:tcW w:w="0" w:type="auto"/>
          </w:tcPr>
          <w:p w14:paraId="172A6649" w14:textId="77777777" w:rsidR="006B61FC" w:rsidRPr="00D847CB" w:rsidRDefault="00000000">
            <w:pPr>
              <w:pStyle w:val="Compact"/>
              <w:rPr>
                <w:color w:val="000000" w:themeColor="text1"/>
              </w:rPr>
            </w:pPr>
            <w:r w:rsidRPr="00D847CB">
              <w:rPr>
                <w:color w:val="000000" w:themeColor="text1"/>
              </w:rPr>
              <w:t>105 – 110</w:t>
            </w:r>
          </w:p>
        </w:tc>
        <w:tc>
          <w:tcPr>
            <w:tcW w:w="0" w:type="auto"/>
          </w:tcPr>
          <w:p w14:paraId="50A2C3C1" w14:textId="77777777" w:rsidR="006B61FC" w:rsidRPr="00D847CB" w:rsidRDefault="00000000">
            <w:pPr>
              <w:pStyle w:val="Compact"/>
              <w:rPr>
                <w:color w:val="000000" w:themeColor="text1"/>
              </w:rPr>
            </w:pPr>
            <w:r w:rsidRPr="00D847CB">
              <w:rPr>
                <w:color w:val="000000" w:themeColor="text1"/>
              </w:rPr>
              <w:t>Mejora moderada</w:t>
            </w:r>
          </w:p>
        </w:tc>
      </w:tr>
      <w:tr w:rsidR="006B61FC" w:rsidRPr="00D847CB" w14:paraId="350C9B56" w14:textId="77777777">
        <w:tc>
          <w:tcPr>
            <w:tcW w:w="0" w:type="auto"/>
          </w:tcPr>
          <w:p w14:paraId="226C992E" w14:textId="77777777" w:rsidR="006B61FC" w:rsidRPr="00D847CB" w:rsidRDefault="00000000">
            <w:pPr>
              <w:pStyle w:val="Compact"/>
              <w:rPr>
                <w:color w:val="000000" w:themeColor="text1"/>
              </w:rPr>
            </w:pPr>
            <w:r w:rsidRPr="00D847CB">
              <w:rPr>
                <w:color w:val="000000" w:themeColor="text1"/>
              </w:rPr>
              <w:t>95 – 105</w:t>
            </w:r>
          </w:p>
        </w:tc>
        <w:tc>
          <w:tcPr>
            <w:tcW w:w="0" w:type="auto"/>
          </w:tcPr>
          <w:p w14:paraId="3B3D2DA3" w14:textId="77777777" w:rsidR="006B61FC" w:rsidRPr="00D847CB" w:rsidRDefault="00000000">
            <w:pPr>
              <w:pStyle w:val="Compact"/>
              <w:rPr>
                <w:color w:val="000000" w:themeColor="text1"/>
              </w:rPr>
            </w:pPr>
            <w:r w:rsidRPr="00D847CB">
              <w:rPr>
                <w:color w:val="000000" w:themeColor="text1"/>
              </w:rPr>
              <w:t>Sin cambios significativos respecto del punto de partida</w:t>
            </w:r>
          </w:p>
        </w:tc>
      </w:tr>
      <w:tr w:rsidR="006B61FC" w:rsidRPr="00D847CB" w14:paraId="00398F1A" w14:textId="77777777">
        <w:tc>
          <w:tcPr>
            <w:tcW w:w="0" w:type="auto"/>
          </w:tcPr>
          <w:p w14:paraId="3FAFF2E8" w14:textId="77777777" w:rsidR="006B61FC" w:rsidRPr="00D847CB" w:rsidRDefault="00000000">
            <w:pPr>
              <w:pStyle w:val="Compact"/>
              <w:rPr>
                <w:color w:val="000000" w:themeColor="text1"/>
              </w:rPr>
            </w:pPr>
            <w:r w:rsidRPr="00D847CB">
              <w:rPr>
                <w:color w:val="000000" w:themeColor="text1"/>
              </w:rPr>
              <w:t>85 – 95</w:t>
            </w:r>
          </w:p>
        </w:tc>
        <w:tc>
          <w:tcPr>
            <w:tcW w:w="0" w:type="auto"/>
          </w:tcPr>
          <w:p w14:paraId="5C067EC1" w14:textId="77777777" w:rsidR="006B61FC" w:rsidRPr="00D847CB" w:rsidRDefault="00000000">
            <w:pPr>
              <w:pStyle w:val="Compact"/>
              <w:rPr>
                <w:color w:val="000000" w:themeColor="text1"/>
              </w:rPr>
            </w:pPr>
            <w:r w:rsidRPr="00D847CB">
              <w:rPr>
                <w:color w:val="000000" w:themeColor="text1"/>
              </w:rPr>
              <w:t>Deterioro moderado</w:t>
            </w:r>
          </w:p>
        </w:tc>
      </w:tr>
      <w:tr w:rsidR="006B61FC" w:rsidRPr="00D847CB" w14:paraId="2144CE45" w14:textId="77777777">
        <w:tc>
          <w:tcPr>
            <w:tcW w:w="0" w:type="auto"/>
          </w:tcPr>
          <w:p w14:paraId="3B339BE2" w14:textId="77777777" w:rsidR="006B61FC" w:rsidRPr="00D847CB" w:rsidRDefault="00000000">
            <w:pPr>
              <w:pStyle w:val="Compact"/>
              <w:rPr>
                <w:color w:val="000000" w:themeColor="text1"/>
              </w:rPr>
            </w:pPr>
            <w:r w:rsidRPr="00D847CB">
              <w:rPr>
                <w:color w:val="000000" w:themeColor="text1"/>
              </w:rPr>
              <w:t>&lt; 85</w:t>
            </w:r>
          </w:p>
        </w:tc>
        <w:tc>
          <w:tcPr>
            <w:tcW w:w="0" w:type="auto"/>
          </w:tcPr>
          <w:p w14:paraId="45EFF2DC" w14:textId="77777777" w:rsidR="006B61FC" w:rsidRPr="00D847CB" w:rsidRDefault="00000000">
            <w:pPr>
              <w:pStyle w:val="Compact"/>
              <w:rPr>
                <w:color w:val="000000" w:themeColor="text1"/>
              </w:rPr>
            </w:pPr>
            <w:r w:rsidRPr="00D847CB">
              <w:rPr>
                <w:color w:val="000000" w:themeColor="text1"/>
              </w:rPr>
              <w:t>Deterioro sustancial respecto del 4T-2023</w:t>
            </w:r>
          </w:p>
        </w:tc>
      </w:tr>
    </w:tbl>
    <w:p w14:paraId="67A9F991" w14:textId="77777777" w:rsidR="006B61FC" w:rsidRPr="00D847CB" w:rsidRDefault="00000000">
      <w:pPr>
        <w:pStyle w:val="Textoindependiente"/>
        <w:rPr>
          <w:color w:val="000000" w:themeColor="text1"/>
        </w:rPr>
      </w:pPr>
      <w:r w:rsidRPr="00D847CB">
        <w:rPr>
          <w:color w:val="000000" w:themeColor="text1"/>
        </w:rPr>
        <w:t xml:space="preserve">Esta escala reemplaza a la escala absoluta del documento original (0-100 “cinturón apretado/aflojado”), porque ahora el punto de referencia no es </w:t>
      </w:r>
      <w:proofErr w:type="gramStart"/>
      <w:r w:rsidRPr="00D847CB">
        <w:rPr>
          <w:color w:val="000000" w:themeColor="text1"/>
        </w:rPr>
        <w:t>un ideal</w:t>
      </w:r>
      <w:proofErr w:type="gramEnd"/>
      <w:r w:rsidRPr="00D847CB">
        <w:rPr>
          <w:color w:val="000000" w:themeColor="text1"/>
        </w:rPr>
        <w:t xml:space="preserve"> teórico sino el propio promedio del 4º trimestre de 2023, tomado como fotografía representativa del momento de transición de gobierno.</w:t>
      </w:r>
    </w:p>
    <w:p w14:paraId="7ED81AF8" w14:textId="77777777" w:rsidR="006B61FC" w:rsidRPr="00D847CB" w:rsidRDefault="00000000">
      <w:pPr>
        <w:pStyle w:val="Ttulo1"/>
        <w:rPr>
          <w:color w:val="000000" w:themeColor="text1"/>
        </w:rPr>
      </w:pPr>
      <w:bookmarkStart w:id="36" w:name="X969260af976deee48a905d82360ea8c36063a98"/>
      <w:bookmarkStart w:id="37" w:name="_Toc233900765"/>
      <w:bookmarkEnd w:id="32"/>
      <w:bookmarkEnd w:id="34"/>
      <w:r w:rsidRPr="00D847CB">
        <w:rPr>
          <w:color w:val="000000" w:themeColor="text1"/>
        </w:rPr>
        <w:t>IV. Correcciones metodológicas incorporadas y limitaciones residuales</w:t>
      </w:r>
      <w:bookmarkEnd w:id="37"/>
    </w:p>
    <w:p w14:paraId="438FA07E" w14:textId="77777777" w:rsidR="006B61FC" w:rsidRPr="00D847CB" w:rsidRDefault="00000000">
      <w:pPr>
        <w:pStyle w:val="Ttulo2"/>
        <w:rPr>
          <w:color w:val="000000" w:themeColor="text1"/>
        </w:rPr>
      </w:pPr>
      <w:bookmarkStart w:id="38" w:name="X19f60fb989b90b6a7e03caac2d07aa32baae4e2"/>
      <w:bookmarkStart w:id="39" w:name="_Toc233900766"/>
      <w:r w:rsidRPr="00D847CB">
        <w:rPr>
          <w:color w:val="000000" w:themeColor="text1"/>
        </w:rPr>
        <w:t>IV.1 Correcciones ya incorporadas en este diseño</w:t>
      </w:r>
      <w:bookmarkEnd w:id="39"/>
    </w:p>
    <w:p w14:paraId="780CDA1C" w14:textId="77777777" w:rsidR="006B61FC" w:rsidRPr="00D847CB" w:rsidRDefault="00000000">
      <w:pPr>
        <w:pStyle w:val="FirstParagraph"/>
        <w:rPr>
          <w:color w:val="000000" w:themeColor="text1"/>
        </w:rPr>
      </w:pPr>
      <w:r w:rsidRPr="00D847CB">
        <w:rPr>
          <w:color w:val="000000" w:themeColor="text1"/>
        </w:rPr>
        <w:t xml:space="preserve">Dos problemas metodológicos detectados en la revisión de la versión anterior quedan </w:t>
      </w:r>
      <w:r w:rsidRPr="00D847CB">
        <w:rPr>
          <w:b/>
          <w:bCs/>
          <w:color w:val="000000" w:themeColor="text1"/>
        </w:rPr>
        <w:t>resueltos por diseño</w:t>
      </w:r>
      <w:r w:rsidRPr="00D847CB">
        <w:rPr>
          <w:color w:val="000000" w:themeColor="text1"/>
        </w:rPr>
        <w:t xml:space="preserve"> en esta versión, no solo señalados como advertencia:</w:t>
      </w:r>
    </w:p>
    <w:p w14:paraId="20186A4C" w14:textId="77777777" w:rsidR="006B61FC" w:rsidRPr="00D847CB" w:rsidRDefault="00000000">
      <w:pPr>
        <w:numPr>
          <w:ilvl w:val="0"/>
          <w:numId w:val="4"/>
        </w:numPr>
        <w:rPr>
          <w:color w:val="000000" w:themeColor="text1"/>
        </w:rPr>
      </w:pPr>
      <w:r w:rsidRPr="00D847CB">
        <w:rPr>
          <w:b/>
          <w:bCs/>
          <w:color w:val="000000" w:themeColor="text1"/>
        </w:rPr>
        <w:lastRenderedPageBreak/>
        <w:t>Ambigüedad de polaridad en endeudamiento de consumo (resuelta).</w:t>
      </w:r>
      <w:r w:rsidRPr="00D847CB">
        <w:rPr>
          <w:color w:val="000000" w:themeColor="text1"/>
        </w:rPr>
        <w:t xml:space="preserve"> El indicador ya no se invierte automáticamente asumiendo que “menos deuda = mejora”. La ficha de la Dimensión 3 (sección II) incorpora la tasa de mora de la cartera de consumo como factor corrector: </w:t>
      </w:r>
      <w:r w:rsidRPr="00D847CB">
        <w:rPr>
          <w:rStyle w:val="VerbatimChar"/>
          <w:color w:val="000000" w:themeColor="text1"/>
        </w:rPr>
        <w:t>I_EC(t) = 100 × (Deuda_realₜ/Deuda_real_T423) × (Mora_T423/Moraₜ)</w:t>
      </w:r>
      <w:r w:rsidRPr="00D847CB">
        <w:rPr>
          <w:color w:val="000000" w:themeColor="text1"/>
        </w:rPr>
        <w:t>. Con esta fórmula, un aumento de deuda con mora estable se interpreta como mejor acceso al crédito (el índice sube), mientras que un aumento de deuda acompañado de mora creciente se interpreta como sobreendeudamiento por necesidad (el índice sube menos o cae). La polaridad ya no se define a priori: la determina el dato de mora mes a mes.</w:t>
      </w:r>
    </w:p>
    <w:p w14:paraId="63B29E54" w14:textId="77777777" w:rsidR="006B61FC" w:rsidRPr="00D847CB" w:rsidRDefault="00000000">
      <w:pPr>
        <w:numPr>
          <w:ilvl w:val="0"/>
          <w:numId w:val="4"/>
        </w:numPr>
        <w:rPr>
          <w:color w:val="000000" w:themeColor="text1"/>
        </w:rPr>
      </w:pPr>
      <w:r w:rsidRPr="00D847CB">
        <w:rPr>
          <w:b/>
          <w:bCs/>
          <w:color w:val="000000" w:themeColor="text1"/>
        </w:rPr>
        <w:t>Uso de tasas mensuales como score (resuelto).</w:t>
      </w:r>
      <w:r w:rsidRPr="00D847CB">
        <w:rPr>
          <w:color w:val="000000" w:themeColor="text1"/>
        </w:rPr>
        <w:t xml:space="preserve"> Los cuatro indicadores originalmente definidos como variaciones porcentuales mensuales (inflación de alimentos, tarifas, IPI, ISAC) ya no se puntúan con la tasa de un mes puntual. Las fórmulas de la sección II para estos cuatro indicadores usan el </w:t>
      </w:r>
      <w:r w:rsidRPr="00D847CB">
        <w:rPr>
          <w:b/>
          <w:bCs/>
          <w:color w:val="000000" w:themeColor="text1"/>
        </w:rPr>
        <w:t>nivel</w:t>
      </w:r>
      <w:r w:rsidRPr="00D847CB">
        <w:rPr>
          <w:color w:val="000000" w:themeColor="text1"/>
        </w:rPr>
        <w:t xml:space="preserve"> del índice de precios o de actividad correspondiente, rebaseado a 100 en el promedio del 4º trimestre de 2023 (ver “Caso especial” en la sección I). Esto permite que el ITVC-B100 acumule correctamente la pérdida o ganancia de poder adquisitivo/actividad mes a mes, en vez de premiar o castigar según el ruido de un único mes.</w:t>
      </w:r>
    </w:p>
    <w:p w14:paraId="5670E99C" w14:textId="77777777" w:rsidR="006B61FC" w:rsidRPr="00D847CB" w:rsidRDefault="00000000">
      <w:pPr>
        <w:pStyle w:val="Ttulo2"/>
        <w:rPr>
          <w:color w:val="000000" w:themeColor="text1"/>
        </w:rPr>
      </w:pPr>
      <w:bookmarkStart w:id="40" w:name="X2992f9ce0a3fb67f387cecd3da2a2135ed60aa7"/>
      <w:bookmarkStart w:id="41" w:name="_Toc233900767"/>
      <w:bookmarkEnd w:id="38"/>
      <w:r w:rsidRPr="00D847CB">
        <w:rPr>
          <w:color w:val="000000" w:themeColor="text1"/>
        </w:rPr>
        <w:t>IV.2 Limitaciones residuales a declarar en el informe</w:t>
      </w:r>
      <w:bookmarkEnd w:id="41"/>
    </w:p>
    <w:p w14:paraId="44BEF17E" w14:textId="77777777" w:rsidR="006B61FC" w:rsidRPr="00D847CB" w:rsidRDefault="00000000">
      <w:pPr>
        <w:pStyle w:val="Compact"/>
        <w:numPr>
          <w:ilvl w:val="0"/>
          <w:numId w:val="5"/>
        </w:numPr>
        <w:rPr>
          <w:color w:val="000000" w:themeColor="text1"/>
        </w:rPr>
      </w:pPr>
      <w:r w:rsidRPr="00D847CB">
        <w:rPr>
          <w:b/>
          <w:bCs/>
          <w:color w:val="000000" w:themeColor="text1"/>
        </w:rPr>
        <w:t>Rezago de publicación desigual entre indicadores.</w:t>
      </w:r>
      <w:r w:rsidRPr="00D847CB">
        <w:rPr>
          <w:color w:val="000000" w:themeColor="text1"/>
        </w:rPr>
        <w:t xml:space="preserve"> El SNIC (hechos delictivos) tiene rezago de aproximadamente un año y frecuencia anual, no trimestral: para este indicador puntual no siempre será posible construir un promedio del 4º trimestre de 2023 estrictamente, y se recomienda usar el dato anual 2023 completo como aproximación de la línea de base, dejándolo señalado como excepción a la regla general. EPH (informalidad, subocupación) es trimestral y coincide naturalmente con la base elegida. El resto de los indicadores es mensual, lo que permite calcular el promedio trimestral sin inconvenientes. En todos los casos, el ITVC-B100 mensual debe usar el </w:t>
      </w:r>
      <w:r w:rsidRPr="00D847CB">
        <w:rPr>
          <w:b/>
          <w:bCs/>
          <w:color w:val="000000" w:themeColor="text1"/>
        </w:rPr>
        <w:t>último dato disponible</w:t>
      </w:r>
      <w:r w:rsidRPr="00D847CB">
        <w:rPr>
          <w:color w:val="000000" w:themeColor="text1"/>
        </w:rPr>
        <w:t xml:space="preserve"> de cada serie, no necesariamente del mismo mes — debe declararse explícitamente en cada publicación del índice qué período de referencia tiene cada componente.</w:t>
      </w:r>
    </w:p>
    <w:p w14:paraId="6C435739" w14:textId="77777777" w:rsidR="006B61FC" w:rsidRPr="00D847CB" w:rsidRDefault="00000000">
      <w:pPr>
        <w:pStyle w:val="Compact"/>
        <w:numPr>
          <w:ilvl w:val="0"/>
          <w:numId w:val="5"/>
        </w:numPr>
        <w:rPr>
          <w:color w:val="000000" w:themeColor="text1"/>
        </w:rPr>
      </w:pPr>
      <w:r w:rsidRPr="00D847CB">
        <w:rPr>
          <w:b/>
          <w:bCs/>
          <w:color w:val="000000" w:themeColor="text1"/>
        </w:rPr>
        <w:t>Elección de la línea de base trimestral.</w:t>
      </w:r>
      <w:r w:rsidRPr="00D847CB">
        <w:rPr>
          <w:color w:val="000000" w:themeColor="text1"/>
        </w:rPr>
        <w:t xml:space="preserve"> Se adoptó el promedio del 4º trimestre de 2023 (octubre-noviembre-diciembre) en lugar del mes de diciembre puntual, precisamente para atenuar la distorsión que introduce la devaluación de fines de diciembre de 2023 en varios indicadores sensibles al tipo de cambio (especialmente el indicador A de la Dimensión 1 y el nivel de precios de alimentos). Aun así, se recomienda que el informe declare explícitamente esta elección metodológica y, si el equipo lo considera útil, presente también la serie con línea de base de diciembre puntual como referencia de contraste.</w:t>
      </w:r>
    </w:p>
    <w:p w14:paraId="6E76077C" w14:textId="77777777" w:rsidR="006B61FC" w:rsidRPr="00D847CB" w:rsidRDefault="00000000">
      <w:pPr>
        <w:pStyle w:val="Compact"/>
        <w:numPr>
          <w:ilvl w:val="0"/>
          <w:numId w:val="5"/>
        </w:numPr>
        <w:rPr>
          <w:color w:val="000000" w:themeColor="text1"/>
        </w:rPr>
      </w:pPr>
      <w:r w:rsidRPr="00D847CB">
        <w:rPr>
          <w:b/>
          <w:bCs/>
          <w:color w:val="000000" w:themeColor="text1"/>
        </w:rPr>
        <w:t>Disponibilidad del dato de mora.</w:t>
      </w:r>
      <w:r w:rsidRPr="00D847CB">
        <w:rPr>
          <w:color w:val="000000" w:themeColor="text1"/>
        </w:rPr>
        <w:t xml:space="preserve"> La corrección incorporada en IV.1.1 depende de que el BCRA publique la tasa de mora de la cartera de consumo con la misma frecuencia y desagregación que el saldo de deuda; si en algún </w:t>
      </w:r>
      <w:r w:rsidRPr="00D847CB">
        <w:rPr>
          <w:color w:val="000000" w:themeColor="text1"/>
        </w:rPr>
        <w:lastRenderedPageBreak/>
        <w:t>momento esa serie se discontinúa o cambia de metodología, el indicador de endeudamiento debería volver transitoriamente a un tratamiento más simple (con esa limitación declarada explícitamente en el informe correspondiente).</w:t>
      </w:r>
    </w:p>
    <w:p w14:paraId="410A21E6" w14:textId="77777777" w:rsidR="006B61FC" w:rsidRPr="00D847CB" w:rsidRDefault="00000000">
      <w:pPr>
        <w:pStyle w:val="Ttulo1"/>
        <w:rPr>
          <w:color w:val="000000" w:themeColor="text1"/>
        </w:rPr>
      </w:pPr>
      <w:bookmarkStart w:id="42" w:name="v.-automatización-recomendada"/>
      <w:bookmarkStart w:id="43" w:name="_Toc233900768"/>
      <w:bookmarkEnd w:id="36"/>
      <w:bookmarkEnd w:id="40"/>
      <w:r w:rsidRPr="00D847CB">
        <w:rPr>
          <w:color w:val="000000" w:themeColor="text1"/>
        </w:rPr>
        <w:t>V. Automatización recomendada</w:t>
      </w:r>
      <w:bookmarkEnd w:id="43"/>
    </w:p>
    <w:tbl>
      <w:tblPr>
        <w:tblStyle w:val="Table"/>
        <w:tblW w:w="5000" w:type="pct"/>
        <w:tblLook w:val="0020" w:firstRow="1" w:lastRow="0" w:firstColumn="0" w:lastColumn="0" w:noHBand="0" w:noVBand="0"/>
      </w:tblPr>
      <w:tblGrid>
        <w:gridCol w:w="2028"/>
        <w:gridCol w:w="2837"/>
        <w:gridCol w:w="3973"/>
      </w:tblGrid>
      <w:tr w:rsidR="006B61FC" w:rsidRPr="00D847CB" w14:paraId="09B13546" w14:textId="77777777" w:rsidTr="006B61FC">
        <w:trPr>
          <w:cnfStyle w:val="100000000000" w:firstRow="1" w:lastRow="0" w:firstColumn="0" w:lastColumn="0" w:oddVBand="0" w:evenVBand="0" w:oddHBand="0" w:evenHBand="0" w:firstRowFirstColumn="0" w:firstRowLastColumn="0" w:lastRowFirstColumn="0" w:lastRowLastColumn="0"/>
          <w:tblHeader/>
        </w:trPr>
        <w:tc>
          <w:tcPr>
            <w:tcW w:w="0" w:type="auto"/>
          </w:tcPr>
          <w:p w14:paraId="3CC34627" w14:textId="77777777" w:rsidR="006B61FC" w:rsidRPr="00D847CB" w:rsidRDefault="00000000">
            <w:pPr>
              <w:pStyle w:val="Compact"/>
              <w:rPr>
                <w:color w:val="000000" w:themeColor="text1"/>
              </w:rPr>
            </w:pPr>
            <w:r w:rsidRPr="00D847CB">
              <w:rPr>
                <w:color w:val="000000" w:themeColor="text1"/>
              </w:rPr>
              <w:t>Indicador</w:t>
            </w:r>
          </w:p>
        </w:tc>
        <w:tc>
          <w:tcPr>
            <w:tcW w:w="0" w:type="auto"/>
          </w:tcPr>
          <w:p w14:paraId="2A671897" w14:textId="77777777" w:rsidR="006B61FC" w:rsidRPr="00D847CB" w:rsidRDefault="00000000">
            <w:pPr>
              <w:pStyle w:val="Compact"/>
              <w:rPr>
                <w:color w:val="000000" w:themeColor="text1"/>
              </w:rPr>
            </w:pPr>
            <w:r w:rsidRPr="00D847CB">
              <w:rPr>
                <w:color w:val="000000" w:themeColor="text1"/>
              </w:rPr>
              <w:t>Fuente</w:t>
            </w:r>
          </w:p>
        </w:tc>
        <w:tc>
          <w:tcPr>
            <w:tcW w:w="0" w:type="auto"/>
          </w:tcPr>
          <w:p w14:paraId="50272B33" w14:textId="77777777" w:rsidR="006B61FC" w:rsidRPr="00D847CB" w:rsidRDefault="00000000">
            <w:pPr>
              <w:pStyle w:val="Compact"/>
              <w:rPr>
                <w:color w:val="000000" w:themeColor="text1"/>
              </w:rPr>
            </w:pPr>
            <w:r w:rsidRPr="00D847CB">
              <w:rPr>
                <w:color w:val="000000" w:themeColor="text1"/>
              </w:rPr>
              <w:t>¿API disponible?</w:t>
            </w:r>
          </w:p>
        </w:tc>
      </w:tr>
      <w:tr w:rsidR="006B61FC" w:rsidRPr="00D847CB" w14:paraId="39EA7926" w14:textId="77777777">
        <w:tc>
          <w:tcPr>
            <w:tcW w:w="0" w:type="auto"/>
          </w:tcPr>
          <w:p w14:paraId="6E556790" w14:textId="77777777" w:rsidR="006B61FC" w:rsidRPr="00D847CB" w:rsidRDefault="00000000">
            <w:pPr>
              <w:pStyle w:val="Compact"/>
              <w:rPr>
                <w:color w:val="000000" w:themeColor="text1"/>
              </w:rPr>
            </w:pPr>
            <w:r w:rsidRPr="00D847CB">
              <w:rPr>
                <w:color w:val="000000" w:themeColor="text1"/>
              </w:rPr>
              <w:t>Salario real vs canasta</w:t>
            </w:r>
          </w:p>
        </w:tc>
        <w:tc>
          <w:tcPr>
            <w:tcW w:w="0" w:type="auto"/>
          </w:tcPr>
          <w:p w14:paraId="5D72F4CC" w14:textId="77777777" w:rsidR="006B61FC" w:rsidRPr="00D847CB" w:rsidRDefault="00000000">
            <w:pPr>
              <w:pStyle w:val="Compact"/>
              <w:rPr>
                <w:color w:val="000000" w:themeColor="text1"/>
              </w:rPr>
            </w:pPr>
            <w:r w:rsidRPr="00D847CB">
              <w:rPr>
                <w:color w:val="000000" w:themeColor="text1"/>
              </w:rPr>
              <w:t>INDEC (CBT) + Secretaría de Trabajo (RIPTE)</w:t>
            </w:r>
          </w:p>
        </w:tc>
        <w:tc>
          <w:tcPr>
            <w:tcW w:w="0" w:type="auto"/>
          </w:tcPr>
          <w:p w14:paraId="1E262F1F" w14:textId="77777777" w:rsidR="006B61FC" w:rsidRPr="00D847CB" w:rsidRDefault="00000000">
            <w:pPr>
              <w:pStyle w:val="Compact"/>
              <w:rPr>
                <w:color w:val="000000" w:themeColor="text1"/>
              </w:rPr>
            </w:pPr>
            <w:r w:rsidRPr="00D847CB">
              <w:rPr>
                <w:color w:val="000000" w:themeColor="text1"/>
              </w:rPr>
              <w:t>Sí, vía Series de Tiempo (</w:t>
            </w:r>
            <w:r w:rsidRPr="00D847CB">
              <w:rPr>
                <w:rStyle w:val="VerbatimChar"/>
                <w:color w:val="000000" w:themeColor="text1"/>
              </w:rPr>
              <w:t>apis.datos.gob.ar/series</w:t>
            </w:r>
            <w:r w:rsidRPr="00D847CB">
              <w:rPr>
                <w:color w:val="000000" w:themeColor="text1"/>
              </w:rPr>
              <w:t>)</w:t>
            </w:r>
          </w:p>
        </w:tc>
      </w:tr>
      <w:tr w:rsidR="006B61FC" w:rsidRPr="00D847CB" w14:paraId="6AA5E60C" w14:textId="77777777">
        <w:tc>
          <w:tcPr>
            <w:tcW w:w="0" w:type="auto"/>
          </w:tcPr>
          <w:p w14:paraId="73368C2E" w14:textId="77777777" w:rsidR="006B61FC" w:rsidRPr="00D847CB" w:rsidRDefault="00000000">
            <w:pPr>
              <w:pStyle w:val="Compact"/>
              <w:rPr>
                <w:color w:val="000000" w:themeColor="text1"/>
              </w:rPr>
            </w:pPr>
            <w:r w:rsidRPr="00D847CB">
              <w:rPr>
                <w:color w:val="000000" w:themeColor="text1"/>
              </w:rPr>
              <w:t>Informalidad laboral</w:t>
            </w:r>
          </w:p>
        </w:tc>
        <w:tc>
          <w:tcPr>
            <w:tcW w:w="0" w:type="auto"/>
          </w:tcPr>
          <w:p w14:paraId="0EACB7B3" w14:textId="77777777" w:rsidR="006B61FC" w:rsidRPr="00D847CB" w:rsidRDefault="00000000">
            <w:pPr>
              <w:pStyle w:val="Compact"/>
              <w:rPr>
                <w:color w:val="000000" w:themeColor="text1"/>
              </w:rPr>
            </w:pPr>
            <w:r w:rsidRPr="00D847CB">
              <w:rPr>
                <w:color w:val="000000" w:themeColor="text1"/>
              </w:rPr>
              <w:t>EPH-INDEC</w:t>
            </w:r>
          </w:p>
        </w:tc>
        <w:tc>
          <w:tcPr>
            <w:tcW w:w="0" w:type="auto"/>
          </w:tcPr>
          <w:p w14:paraId="13101297" w14:textId="77777777" w:rsidR="006B61FC" w:rsidRPr="00D847CB" w:rsidRDefault="00000000">
            <w:pPr>
              <w:pStyle w:val="Compact"/>
              <w:rPr>
                <w:color w:val="000000" w:themeColor="text1"/>
              </w:rPr>
            </w:pPr>
            <w:r w:rsidRPr="00D847CB">
              <w:rPr>
                <w:color w:val="000000" w:themeColor="text1"/>
              </w:rPr>
              <w:t>Microdatos descargables, sin API directa — requiere procesamiento trimestral propio</w:t>
            </w:r>
          </w:p>
        </w:tc>
      </w:tr>
      <w:tr w:rsidR="006B61FC" w:rsidRPr="00D847CB" w14:paraId="0609AC2D" w14:textId="77777777">
        <w:tc>
          <w:tcPr>
            <w:tcW w:w="0" w:type="auto"/>
          </w:tcPr>
          <w:p w14:paraId="7977473A" w14:textId="77777777" w:rsidR="006B61FC" w:rsidRPr="00D847CB" w:rsidRDefault="00000000">
            <w:pPr>
              <w:pStyle w:val="Compact"/>
              <w:rPr>
                <w:color w:val="000000" w:themeColor="text1"/>
              </w:rPr>
            </w:pPr>
            <w:r w:rsidRPr="00D847CB">
              <w:rPr>
                <w:color w:val="000000" w:themeColor="text1"/>
              </w:rPr>
              <w:t>Nivel IPC Alimentos</w:t>
            </w:r>
          </w:p>
        </w:tc>
        <w:tc>
          <w:tcPr>
            <w:tcW w:w="0" w:type="auto"/>
          </w:tcPr>
          <w:p w14:paraId="6FF47959" w14:textId="77777777" w:rsidR="006B61FC" w:rsidRPr="00D847CB" w:rsidRDefault="00000000">
            <w:pPr>
              <w:pStyle w:val="Compact"/>
              <w:rPr>
                <w:color w:val="000000" w:themeColor="text1"/>
              </w:rPr>
            </w:pPr>
            <w:r w:rsidRPr="00D847CB">
              <w:rPr>
                <w:color w:val="000000" w:themeColor="text1"/>
              </w:rPr>
              <w:t>INDEC</w:t>
            </w:r>
          </w:p>
        </w:tc>
        <w:tc>
          <w:tcPr>
            <w:tcW w:w="0" w:type="auto"/>
          </w:tcPr>
          <w:p w14:paraId="10E04026" w14:textId="77777777" w:rsidR="006B61FC" w:rsidRPr="00D847CB" w:rsidRDefault="00000000">
            <w:pPr>
              <w:pStyle w:val="Compact"/>
              <w:rPr>
                <w:color w:val="000000" w:themeColor="text1"/>
              </w:rPr>
            </w:pPr>
            <w:r w:rsidRPr="00D847CB">
              <w:rPr>
                <w:color w:val="000000" w:themeColor="text1"/>
              </w:rPr>
              <w:t>Sí, vía Series de Tiempo</w:t>
            </w:r>
          </w:p>
        </w:tc>
      </w:tr>
      <w:tr w:rsidR="006B61FC" w:rsidRPr="00D847CB" w14:paraId="5E819C6D" w14:textId="77777777">
        <w:tc>
          <w:tcPr>
            <w:tcW w:w="0" w:type="auto"/>
          </w:tcPr>
          <w:p w14:paraId="3C1F00EE" w14:textId="77777777" w:rsidR="006B61FC" w:rsidRPr="00D847CB" w:rsidRDefault="00000000">
            <w:pPr>
              <w:pStyle w:val="Compact"/>
              <w:rPr>
                <w:color w:val="000000" w:themeColor="text1"/>
              </w:rPr>
            </w:pPr>
            <w:r w:rsidRPr="00D847CB">
              <w:rPr>
                <w:color w:val="000000" w:themeColor="text1"/>
              </w:rPr>
              <w:t>Nivel tarifario</w:t>
            </w:r>
          </w:p>
        </w:tc>
        <w:tc>
          <w:tcPr>
            <w:tcW w:w="0" w:type="auto"/>
          </w:tcPr>
          <w:p w14:paraId="0C738859" w14:textId="77777777" w:rsidR="006B61FC" w:rsidRPr="00D847CB" w:rsidRDefault="00000000">
            <w:pPr>
              <w:pStyle w:val="Compact"/>
              <w:rPr>
                <w:color w:val="000000" w:themeColor="text1"/>
              </w:rPr>
            </w:pPr>
            <w:r w:rsidRPr="00D847CB">
              <w:rPr>
                <w:color w:val="000000" w:themeColor="text1"/>
              </w:rPr>
              <w:t>ENRE/ENARGAS/AySA + INDEC</w:t>
            </w:r>
          </w:p>
        </w:tc>
        <w:tc>
          <w:tcPr>
            <w:tcW w:w="0" w:type="auto"/>
          </w:tcPr>
          <w:p w14:paraId="474288A9" w14:textId="77777777" w:rsidR="006B61FC" w:rsidRPr="00D847CB" w:rsidRDefault="00000000">
            <w:pPr>
              <w:pStyle w:val="Compact"/>
              <w:rPr>
                <w:color w:val="000000" w:themeColor="text1"/>
              </w:rPr>
            </w:pPr>
            <w:r w:rsidRPr="00D847CB">
              <w:rPr>
                <w:color w:val="000000" w:themeColor="text1"/>
              </w:rPr>
              <w:t>Parcial — requiere combinar series de organismos reguladores</w:t>
            </w:r>
          </w:p>
        </w:tc>
      </w:tr>
      <w:tr w:rsidR="006B61FC" w:rsidRPr="00D847CB" w14:paraId="4CFB0C1B" w14:textId="77777777">
        <w:tc>
          <w:tcPr>
            <w:tcW w:w="0" w:type="auto"/>
          </w:tcPr>
          <w:p w14:paraId="2D5AE40E" w14:textId="77777777" w:rsidR="006B61FC" w:rsidRPr="00D847CB" w:rsidRDefault="00000000">
            <w:pPr>
              <w:pStyle w:val="Compact"/>
              <w:rPr>
                <w:color w:val="000000" w:themeColor="text1"/>
              </w:rPr>
            </w:pPr>
            <w:r w:rsidRPr="00D847CB">
              <w:rPr>
                <w:color w:val="000000" w:themeColor="text1"/>
              </w:rPr>
              <w:t>Endeudamiento de consumo (saldo)</w:t>
            </w:r>
          </w:p>
        </w:tc>
        <w:tc>
          <w:tcPr>
            <w:tcW w:w="0" w:type="auto"/>
          </w:tcPr>
          <w:p w14:paraId="12EBBA7D" w14:textId="77777777" w:rsidR="006B61FC" w:rsidRPr="00D847CB" w:rsidRDefault="00000000">
            <w:pPr>
              <w:pStyle w:val="Compact"/>
              <w:rPr>
                <w:color w:val="000000" w:themeColor="text1"/>
              </w:rPr>
            </w:pPr>
            <w:r w:rsidRPr="00D847CB">
              <w:rPr>
                <w:color w:val="000000" w:themeColor="text1"/>
              </w:rPr>
              <w:t>BCRA</w:t>
            </w:r>
          </w:p>
        </w:tc>
        <w:tc>
          <w:tcPr>
            <w:tcW w:w="0" w:type="auto"/>
          </w:tcPr>
          <w:p w14:paraId="785E193C" w14:textId="77777777" w:rsidR="006B61FC" w:rsidRPr="00D847CB" w:rsidRDefault="00000000">
            <w:pPr>
              <w:pStyle w:val="Compact"/>
              <w:rPr>
                <w:color w:val="000000" w:themeColor="text1"/>
              </w:rPr>
            </w:pPr>
            <w:r w:rsidRPr="00D847CB">
              <w:rPr>
                <w:color w:val="000000" w:themeColor="text1"/>
              </w:rPr>
              <w:t>Sí, BCRA publica series descargables (Informe de Bancos, Estadísticas monetarias)</w:t>
            </w:r>
          </w:p>
        </w:tc>
      </w:tr>
      <w:tr w:rsidR="006B61FC" w:rsidRPr="00D847CB" w14:paraId="7F72BBF3" w14:textId="77777777">
        <w:tc>
          <w:tcPr>
            <w:tcW w:w="0" w:type="auto"/>
          </w:tcPr>
          <w:p w14:paraId="560C44A5" w14:textId="77777777" w:rsidR="006B61FC" w:rsidRPr="00D847CB" w:rsidRDefault="00000000">
            <w:pPr>
              <w:pStyle w:val="Compact"/>
              <w:rPr>
                <w:color w:val="000000" w:themeColor="text1"/>
              </w:rPr>
            </w:pPr>
            <w:r w:rsidRPr="00D847CB">
              <w:rPr>
                <w:color w:val="000000" w:themeColor="text1"/>
              </w:rPr>
              <w:t>Mora de cartera de consumo</w:t>
            </w:r>
          </w:p>
        </w:tc>
        <w:tc>
          <w:tcPr>
            <w:tcW w:w="0" w:type="auto"/>
          </w:tcPr>
          <w:p w14:paraId="2FB249CE" w14:textId="77777777" w:rsidR="006B61FC" w:rsidRPr="00D847CB" w:rsidRDefault="00000000">
            <w:pPr>
              <w:pStyle w:val="Compact"/>
              <w:rPr>
                <w:color w:val="000000" w:themeColor="text1"/>
              </w:rPr>
            </w:pPr>
            <w:r w:rsidRPr="00D847CB">
              <w:rPr>
                <w:color w:val="000000" w:themeColor="text1"/>
              </w:rPr>
              <w:t>BCRA — Informe de Bancos / Central de Deudores</w:t>
            </w:r>
          </w:p>
        </w:tc>
        <w:tc>
          <w:tcPr>
            <w:tcW w:w="0" w:type="auto"/>
          </w:tcPr>
          <w:p w14:paraId="65C631D6" w14:textId="77777777" w:rsidR="006B61FC" w:rsidRPr="00D847CB" w:rsidRDefault="00000000">
            <w:pPr>
              <w:pStyle w:val="Compact"/>
              <w:rPr>
                <w:color w:val="000000" w:themeColor="text1"/>
              </w:rPr>
            </w:pPr>
            <w:r w:rsidRPr="00D847CB">
              <w:rPr>
                <w:color w:val="000000" w:themeColor="text1"/>
              </w:rPr>
              <w:t>Sí, BCRA publica la serie de irregularidad de cartera por línea de crédito; necesaria para el ajuste de IV.1.1</w:t>
            </w:r>
          </w:p>
        </w:tc>
      </w:tr>
      <w:tr w:rsidR="006B61FC" w:rsidRPr="00D847CB" w14:paraId="42F018B5" w14:textId="77777777">
        <w:tc>
          <w:tcPr>
            <w:tcW w:w="0" w:type="auto"/>
          </w:tcPr>
          <w:p w14:paraId="6FA157FA" w14:textId="77777777" w:rsidR="006B61FC" w:rsidRPr="00D847CB" w:rsidRDefault="00000000">
            <w:pPr>
              <w:pStyle w:val="Compact"/>
              <w:rPr>
                <w:color w:val="000000" w:themeColor="text1"/>
              </w:rPr>
            </w:pPr>
            <w:r w:rsidRPr="00D847CB">
              <w:rPr>
                <w:color w:val="000000" w:themeColor="text1"/>
              </w:rPr>
              <w:t>IPI industrial</w:t>
            </w:r>
          </w:p>
        </w:tc>
        <w:tc>
          <w:tcPr>
            <w:tcW w:w="0" w:type="auto"/>
          </w:tcPr>
          <w:p w14:paraId="1BB91805" w14:textId="77777777" w:rsidR="006B61FC" w:rsidRPr="00D847CB" w:rsidRDefault="00000000">
            <w:pPr>
              <w:pStyle w:val="Compact"/>
              <w:rPr>
                <w:color w:val="000000" w:themeColor="text1"/>
              </w:rPr>
            </w:pPr>
            <w:r w:rsidRPr="00D847CB">
              <w:rPr>
                <w:color w:val="000000" w:themeColor="text1"/>
              </w:rPr>
              <w:t>INDEC</w:t>
            </w:r>
          </w:p>
        </w:tc>
        <w:tc>
          <w:tcPr>
            <w:tcW w:w="0" w:type="auto"/>
          </w:tcPr>
          <w:p w14:paraId="26DB3795" w14:textId="77777777" w:rsidR="006B61FC" w:rsidRPr="00D847CB" w:rsidRDefault="00000000">
            <w:pPr>
              <w:pStyle w:val="Compact"/>
              <w:rPr>
                <w:color w:val="000000" w:themeColor="text1"/>
              </w:rPr>
            </w:pPr>
            <w:r w:rsidRPr="00D847CB">
              <w:rPr>
                <w:color w:val="000000" w:themeColor="text1"/>
              </w:rPr>
              <w:t>Sí, vía Series de Tiempo</w:t>
            </w:r>
          </w:p>
        </w:tc>
      </w:tr>
      <w:tr w:rsidR="006B61FC" w:rsidRPr="00D847CB" w14:paraId="238AFA19" w14:textId="77777777">
        <w:tc>
          <w:tcPr>
            <w:tcW w:w="0" w:type="auto"/>
          </w:tcPr>
          <w:p w14:paraId="0FF0BFD5" w14:textId="77777777" w:rsidR="006B61FC" w:rsidRPr="00D847CB" w:rsidRDefault="00000000">
            <w:pPr>
              <w:pStyle w:val="Compact"/>
              <w:rPr>
                <w:color w:val="000000" w:themeColor="text1"/>
              </w:rPr>
            </w:pPr>
            <w:r w:rsidRPr="00D847CB">
              <w:rPr>
                <w:color w:val="000000" w:themeColor="text1"/>
              </w:rPr>
              <w:t>ISAC construcción</w:t>
            </w:r>
          </w:p>
        </w:tc>
        <w:tc>
          <w:tcPr>
            <w:tcW w:w="0" w:type="auto"/>
          </w:tcPr>
          <w:p w14:paraId="21FC0D52" w14:textId="77777777" w:rsidR="006B61FC" w:rsidRPr="00D847CB" w:rsidRDefault="00000000">
            <w:pPr>
              <w:pStyle w:val="Compact"/>
              <w:rPr>
                <w:color w:val="000000" w:themeColor="text1"/>
              </w:rPr>
            </w:pPr>
            <w:r w:rsidRPr="00D847CB">
              <w:rPr>
                <w:color w:val="000000" w:themeColor="text1"/>
              </w:rPr>
              <w:t>INDEC</w:t>
            </w:r>
          </w:p>
        </w:tc>
        <w:tc>
          <w:tcPr>
            <w:tcW w:w="0" w:type="auto"/>
          </w:tcPr>
          <w:p w14:paraId="5D97CC71" w14:textId="77777777" w:rsidR="006B61FC" w:rsidRPr="00D847CB" w:rsidRDefault="00000000">
            <w:pPr>
              <w:pStyle w:val="Compact"/>
              <w:rPr>
                <w:color w:val="000000" w:themeColor="text1"/>
              </w:rPr>
            </w:pPr>
            <w:r w:rsidRPr="00D847CB">
              <w:rPr>
                <w:color w:val="000000" w:themeColor="text1"/>
              </w:rPr>
              <w:t>Sí, vía Series de Tiempo</w:t>
            </w:r>
          </w:p>
        </w:tc>
      </w:tr>
      <w:tr w:rsidR="006B61FC" w:rsidRPr="00D847CB" w14:paraId="491EFE57" w14:textId="77777777">
        <w:tc>
          <w:tcPr>
            <w:tcW w:w="0" w:type="auto"/>
          </w:tcPr>
          <w:p w14:paraId="25A94BE7" w14:textId="77777777" w:rsidR="006B61FC" w:rsidRPr="00D847CB" w:rsidRDefault="00000000">
            <w:pPr>
              <w:pStyle w:val="Compact"/>
              <w:rPr>
                <w:color w:val="000000" w:themeColor="text1"/>
              </w:rPr>
            </w:pPr>
            <w:r w:rsidRPr="00D847CB">
              <w:rPr>
                <w:color w:val="000000" w:themeColor="text1"/>
              </w:rPr>
              <w:t>Subocupación demandante</w:t>
            </w:r>
          </w:p>
        </w:tc>
        <w:tc>
          <w:tcPr>
            <w:tcW w:w="0" w:type="auto"/>
          </w:tcPr>
          <w:p w14:paraId="6AD1A6F2" w14:textId="77777777" w:rsidR="006B61FC" w:rsidRPr="00D847CB" w:rsidRDefault="00000000">
            <w:pPr>
              <w:pStyle w:val="Compact"/>
              <w:rPr>
                <w:color w:val="000000" w:themeColor="text1"/>
              </w:rPr>
            </w:pPr>
            <w:r w:rsidRPr="00D847CB">
              <w:rPr>
                <w:color w:val="000000" w:themeColor="text1"/>
              </w:rPr>
              <w:t>EPH-INDEC</w:t>
            </w:r>
          </w:p>
        </w:tc>
        <w:tc>
          <w:tcPr>
            <w:tcW w:w="0" w:type="auto"/>
          </w:tcPr>
          <w:p w14:paraId="07FE7D71" w14:textId="77777777" w:rsidR="006B61FC" w:rsidRPr="00D847CB" w:rsidRDefault="00000000">
            <w:pPr>
              <w:pStyle w:val="Compact"/>
              <w:rPr>
                <w:color w:val="000000" w:themeColor="text1"/>
              </w:rPr>
            </w:pPr>
            <w:r w:rsidRPr="00D847CB">
              <w:rPr>
                <w:color w:val="000000" w:themeColor="text1"/>
              </w:rPr>
              <w:t>Microdatos trimestrales, sin API directa</w:t>
            </w:r>
          </w:p>
        </w:tc>
      </w:tr>
      <w:tr w:rsidR="006B61FC" w:rsidRPr="00D847CB" w14:paraId="1E1BF7F9" w14:textId="77777777">
        <w:tc>
          <w:tcPr>
            <w:tcW w:w="0" w:type="auto"/>
          </w:tcPr>
          <w:p w14:paraId="4510227A" w14:textId="77777777" w:rsidR="006B61FC" w:rsidRPr="00D847CB" w:rsidRDefault="00000000">
            <w:pPr>
              <w:pStyle w:val="Compact"/>
              <w:rPr>
                <w:color w:val="000000" w:themeColor="text1"/>
              </w:rPr>
            </w:pPr>
            <w:r w:rsidRPr="00D847CB">
              <w:rPr>
                <w:color w:val="000000" w:themeColor="text1"/>
              </w:rPr>
              <w:t>ICC</w:t>
            </w:r>
          </w:p>
        </w:tc>
        <w:tc>
          <w:tcPr>
            <w:tcW w:w="0" w:type="auto"/>
          </w:tcPr>
          <w:p w14:paraId="1707781E" w14:textId="77777777" w:rsidR="006B61FC" w:rsidRPr="00D847CB" w:rsidRDefault="00000000">
            <w:pPr>
              <w:pStyle w:val="Compact"/>
              <w:rPr>
                <w:color w:val="000000" w:themeColor="text1"/>
              </w:rPr>
            </w:pPr>
            <w:r w:rsidRPr="00D847CB">
              <w:rPr>
                <w:color w:val="000000" w:themeColor="text1"/>
              </w:rPr>
              <w:t>UTDT (CIF)</w:t>
            </w:r>
          </w:p>
        </w:tc>
        <w:tc>
          <w:tcPr>
            <w:tcW w:w="0" w:type="auto"/>
          </w:tcPr>
          <w:p w14:paraId="1497C98E" w14:textId="77777777" w:rsidR="006B61FC" w:rsidRPr="00D847CB" w:rsidRDefault="00000000">
            <w:pPr>
              <w:pStyle w:val="Compact"/>
              <w:rPr>
                <w:color w:val="000000" w:themeColor="text1"/>
              </w:rPr>
            </w:pPr>
            <w:r w:rsidRPr="00D847CB">
              <w:rPr>
                <w:color w:val="000000" w:themeColor="text1"/>
              </w:rPr>
              <w:t>No — publicación propia en PDF/web, sin API pública conocida</w:t>
            </w:r>
          </w:p>
        </w:tc>
      </w:tr>
      <w:tr w:rsidR="006B61FC" w:rsidRPr="00D847CB" w14:paraId="375BEFE9" w14:textId="77777777">
        <w:tc>
          <w:tcPr>
            <w:tcW w:w="0" w:type="auto"/>
          </w:tcPr>
          <w:p w14:paraId="3204C574" w14:textId="77777777" w:rsidR="006B61FC" w:rsidRPr="00D847CB" w:rsidRDefault="00000000">
            <w:pPr>
              <w:pStyle w:val="Compact"/>
              <w:rPr>
                <w:color w:val="000000" w:themeColor="text1"/>
              </w:rPr>
            </w:pPr>
            <w:r w:rsidRPr="00D847CB">
              <w:rPr>
                <w:color w:val="000000" w:themeColor="text1"/>
              </w:rPr>
              <w:t>Hechos delictivos (SNIC)</w:t>
            </w:r>
          </w:p>
        </w:tc>
        <w:tc>
          <w:tcPr>
            <w:tcW w:w="0" w:type="auto"/>
          </w:tcPr>
          <w:p w14:paraId="7C17BD3E" w14:textId="77777777" w:rsidR="006B61FC" w:rsidRPr="00D847CB" w:rsidRDefault="00000000">
            <w:pPr>
              <w:pStyle w:val="Compact"/>
              <w:rPr>
                <w:color w:val="000000" w:themeColor="text1"/>
              </w:rPr>
            </w:pPr>
            <w:r w:rsidRPr="00D847CB">
              <w:rPr>
                <w:color w:val="000000" w:themeColor="text1"/>
              </w:rPr>
              <w:t>Ministerio de Seguridad</w:t>
            </w:r>
          </w:p>
        </w:tc>
        <w:tc>
          <w:tcPr>
            <w:tcW w:w="0" w:type="auto"/>
          </w:tcPr>
          <w:p w14:paraId="35C3E604" w14:textId="77777777" w:rsidR="006B61FC" w:rsidRPr="00D847CB" w:rsidRDefault="00000000">
            <w:pPr>
              <w:pStyle w:val="Compact"/>
              <w:rPr>
                <w:color w:val="000000" w:themeColor="text1"/>
              </w:rPr>
            </w:pPr>
            <w:r w:rsidRPr="00D847CB">
              <w:rPr>
                <w:color w:val="000000" w:themeColor="text1"/>
              </w:rPr>
              <w:t>No — informe anual en PDF, con rezago</w:t>
            </w:r>
          </w:p>
        </w:tc>
      </w:tr>
      <w:tr w:rsidR="006B61FC" w:rsidRPr="00D847CB" w14:paraId="2C135C53" w14:textId="77777777">
        <w:tc>
          <w:tcPr>
            <w:tcW w:w="0" w:type="auto"/>
          </w:tcPr>
          <w:p w14:paraId="5D0F89EC" w14:textId="77777777" w:rsidR="006B61FC" w:rsidRPr="00D847CB" w:rsidRDefault="00000000">
            <w:pPr>
              <w:pStyle w:val="Compact"/>
              <w:rPr>
                <w:color w:val="000000" w:themeColor="text1"/>
              </w:rPr>
            </w:pPr>
            <w:r w:rsidRPr="00D847CB">
              <w:rPr>
                <w:color w:val="000000" w:themeColor="text1"/>
              </w:rPr>
              <w:t>Consumo de carne</w:t>
            </w:r>
          </w:p>
        </w:tc>
        <w:tc>
          <w:tcPr>
            <w:tcW w:w="0" w:type="auto"/>
          </w:tcPr>
          <w:p w14:paraId="382AF921" w14:textId="77777777" w:rsidR="006B61FC" w:rsidRPr="00D847CB" w:rsidRDefault="00000000">
            <w:pPr>
              <w:pStyle w:val="Compact"/>
              <w:rPr>
                <w:color w:val="000000" w:themeColor="text1"/>
              </w:rPr>
            </w:pPr>
            <w:r w:rsidRPr="00D847CB">
              <w:rPr>
                <w:color w:val="000000" w:themeColor="text1"/>
              </w:rPr>
              <w:t>IPCVA / Ministerio de Economía</w:t>
            </w:r>
          </w:p>
        </w:tc>
        <w:tc>
          <w:tcPr>
            <w:tcW w:w="0" w:type="auto"/>
          </w:tcPr>
          <w:p w14:paraId="63A42B05" w14:textId="77777777" w:rsidR="006B61FC" w:rsidRPr="00D847CB" w:rsidRDefault="00000000">
            <w:pPr>
              <w:pStyle w:val="Compact"/>
              <w:rPr>
                <w:color w:val="000000" w:themeColor="text1"/>
              </w:rPr>
            </w:pPr>
            <w:r w:rsidRPr="00D847CB">
              <w:rPr>
                <w:color w:val="000000" w:themeColor="text1"/>
              </w:rPr>
              <w:t>A confirmar disponibilidad de serie descargable</w:t>
            </w:r>
          </w:p>
        </w:tc>
      </w:tr>
      <w:tr w:rsidR="006B61FC" w:rsidRPr="00D847CB" w14:paraId="53E47B5E" w14:textId="77777777">
        <w:tc>
          <w:tcPr>
            <w:tcW w:w="0" w:type="auto"/>
          </w:tcPr>
          <w:p w14:paraId="7DC99924" w14:textId="77777777" w:rsidR="006B61FC" w:rsidRPr="00D847CB" w:rsidRDefault="00000000">
            <w:pPr>
              <w:pStyle w:val="Compact"/>
              <w:rPr>
                <w:color w:val="000000" w:themeColor="text1"/>
              </w:rPr>
            </w:pPr>
            <w:r w:rsidRPr="00D847CB">
              <w:rPr>
                <w:color w:val="000000" w:themeColor="text1"/>
              </w:rPr>
              <w:t>Patentamiento de motos</w:t>
            </w:r>
          </w:p>
        </w:tc>
        <w:tc>
          <w:tcPr>
            <w:tcW w:w="0" w:type="auto"/>
          </w:tcPr>
          <w:p w14:paraId="3A04F4BD" w14:textId="77777777" w:rsidR="006B61FC" w:rsidRPr="00D847CB" w:rsidRDefault="00000000">
            <w:pPr>
              <w:pStyle w:val="Compact"/>
              <w:rPr>
                <w:color w:val="000000" w:themeColor="text1"/>
              </w:rPr>
            </w:pPr>
            <w:r w:rsidRPr="00D847CB">
              <w:rPr>
                <w:color w:val="000000" w:themeColor="text1"/>
              </w:rPr>
              <w:t>AFAM / ACARA</w:t>
            </w:r>
          </w:p>
        </w:tc>
        <w:tc>
          <w:tcPr>
            <w:tcW w:w="0" w:type="auto"/>
          </w:tcPr>
          <w:p w14:paraId="6B2DB779" w14:textId="77777777" w:rsidR="006B61FC" w:rsidRPr="00D847CB" w:rsidRDefault="00000000">
            <w:pPr>
              <w:pStyle w:val="Compact"/>
              <w:rPr>
                <w:color w:val="000000" w:themeColor="text1"/>
              </w:rPr>
            </w:pPr>
            <w:r w:rsidRPr="00D847CB">
              <w:rPr>
                <w:color w:val="000000" w:themeColor="text1"/>
              </w:rPr>
              <w:t>Informes mensuales, sin API pública conocida</w:t>
            </w:r>
          </w:p>
        </w:tc>
      </w:tr>
    </w:tbl>
    <w:p w14:paraId="7F5D99E4" w14:textId="77777777" w:rsidR="006B61FC" w:rsidRPr="00D847CB" w:rsidRDefault="00000000">
      <w:pPr>
        <w:pStyle w:val="Textoindependiente"/>
        <w:rPr>
          <w:color w:val="000000" w:themeColor="text1"/>
        </w:rPr>
      </w:pPr>
      <w:r w:rsidRPr="00D847CB">
        <w:rPr>
          <w:color w:val="000000" w:themeColor="text1"/>
        </w:rPr>
        <w:t xml:space="preserve">La mayoría de los componentes de las Dimensiones 1, 2 y 4 son automatizables end-to-end vía la API de Series de Tiempo de datos.gob.ar. Los componentes de la Dimensión 5 (confianza, delitos, consumo de carne, motos) son los más manuales, porque dependen de publicaciones de terceros (UTDT, cámaras sectoriales) sin API pública — esto reproduce un patrón que ya vimos en los módulos anteriores del </w:t>
      </w:r>
      <w:r w:rsidRPr="00D847CB">
        <w:rPr>
          <w:color w:val="000000" w:themeColor="text1"/>
        </w:rPr>
        <w:lastRenderedPageBreak/>
        <w:t>informe de coyuntura: las dimensiones “duras” (fiscales, laborales, de producción) tienden a estar mejor cubiertas por datos abiertos oficiales que las dimensiones “blandas” (percepción, seguridad, consumo popular).</w:t>
      </w:r>
    </w:p>
    <w:p w14:paraId="44E5AA60" w14:textId="77777777" w:rsidR="006B61FC" w:rsidRPr="00D847CB" w:rsidRDefault="00000000">
      <w:pPr>
        <w:pStyle w:val="Textoindependiente"/>
        <w:rPr>
          <w:color w:val="000000" w:themeColor="text1"/>
        </w:rPr>
      </w:pPr>
      <w:r w:rsidRPr="00D847CB">
        <w:rPr>
          <w:b/>
          <w:bCs/>
          <w:color w:val="000000" w:themeColor="text1"/>
        </w:rPr>
        <w:t>Fundación CIGOB - Ciencias y Métodos de Gobierno</w:t>
      </w:r>
    </w:p>
    <w:p w14:paraId="39C609F4" w14:textId="77777777" w:rsidR="006B61FC" w:rsidRPr="00D847CB" w:rsidRDefault="00000000">
      <w:pPr>
        <w:pStyle w:val="Textoindependiente"/>
        <w:rPr>
          <w:color w:val="000000" w:themeColor="text1"/>
        </w:rPr>
      </w:pPr>
      <w:r w:rsidRPr="00D847CB">
        <w:rPr>
          <w:color w:val="000000" w:themeColor="text1"/>
        </w:rPr>
        <w:t>Versión Base 100 — Reformulación metodológica</w:t>
      </w:r>
      <w:bookmarkEnd w:id="42"/>
    </w:p>
    <w:sectPr w:rsidR="006B61FC" w:rsidRPr="00D847CB">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AD081" w14:textId="77777777" w:rsidR="0073517A" w:rsidRDefault="0073517A">
      <w:pPr>
        <w:spacing w:after="0"/>
      </w:pPr>
      <w:r>
        <w:separator/>
      </w:r>
    </w:p>
  </w:endnote>
  <w:endnote w:type="continuationSeparator" w:id="0">
    <w:p w14:paraId="0C1C8B94" w14:textId="77777777" w:rsidR="0073517A" w:rsidRDefault="007351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0E541" w14:textId="77777777" w:rsidR="0073517A" w:rsidRDefault="0073517A">
      <w:r>
        <w:separator/>
      </w:r>
    </w:p>
  </w:footnote>
  <w:footnote w:type="continuationSeparator" w:id="0">
    <w:p w14:paraId="1A96C202" w14:textId="77777777" w:rsidR="0073517A" w:rsidRDefault="00735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5E51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ABA7B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164D6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8162393">
    <w:abstractNumId w:val="0"/>
  </w:num>
  <w:num w:numId="2" w16cid:durableId="118912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56530">
    <w:abstractNumId w:val="1"/>
  </w:num>
  <w:num w:numId="4" w16cid:durableId="787312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1792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1FC"/>
    <w:rsid w:val="006B61FC"/>
    <w:rsid w:val="0073517A"/>
    <w:rsid w:val="00D847CB"/>
    <w:rsid w:val="00DD7A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B3EB5D"/>
  <w15:docId w15:val="{31E23139-8E2F-0A44-9335-347C8585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2">
    <w:name w:val="toc 2"/>
    <w:basedOn w:val="Normal"/>
    <w:next w:val="Normal"/>
    <w:autoRedefine/>
    <w:uiPriority w:val="39"/>
    <w:rsid w:val="00D847CB"/>
    <w:pPr>
      <w:spacing w:after="100"/>
      <w:ind w:left="240"/>
    </w:pPr>
  </w:style>
  <w:style w:type="paragraph" w:styleId="TDC1">
    <w:name w:val="toc 1"/>
    <w:basedOn w:val="Normal"/>
    <w:next w:val="Normal"/>
    <w:autoRedefine/>
    <w:uiPriority w:val="39"/>
    <w:rsid w:val="00D847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3662</Words>
  <Characters>19925</Characters>
  <Application>Microsoft Office Word</Application>
  <DocSecurity>0</DocSecurity>
  <Lines>433</Lines>
  <Paragraphs>228</Paragraphs>
  <ScaleCrop>false</ScaleCrop>
  <Company/>
  <LinksUpToDate>false</LinksUpToDate>
  <CharactersWithSpaces>23359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babino</dc:creator>
  <cp:keywords/>
  <cp:lastModifiedBy>luis babino</cp:lastModifiedBy>
  <cp:revision>2</cp:revision>
  <dcterms:created xsi:type="dcterms:W3CDTF">2026-07-02T19:08:00Z</dcterms:created>
  <dcterms:modified xsi:type="dcterms:W3CDTF">2026-07-02T19:08:00Z</dcterms:modified>
</cp:coreProperties>
</file>