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BEFE" w14:textId="77777777" w:rsidR="006D3E2B" w:rsidRDefault="00000000">
      <w:pPr>
        <w:spacing w:after="40"/>
        <w:jc w:val="center"/>
      </w:pPr>
      <w:r>
        <w:rPr>
          <w:b/>
          <w:bCs/>
          <w:color w:val="1F4E78"/>
          <w:sz w:val="24"/>
          <w:szCs w:val="24"/>
        </w:rPr>
        <w:t>FUNDACIÓN CIGOB</w:t>
      </w:r>
    </w:p>
    <w:p w14:paraId="7F5ADEE0" w14:textId="77777777" w:rsidR="006D3E2B" w:rsidRDefault="00000000">
      <w:pPr>
        <w:spacing w:after="240"/>
        <w:jc w:val="center"/>
      </w:pPr>
      <w:r>
        <w:rPr>
          <w:color w:val="595959"/>
          <w:sz w:val="20"/>
          <w:szCs w:val="20"/>
        </w:rPr>
        <w:t>Ciencias y Métodos de Gobierno</w:t>
      </w:r>
    </w:p>
    <w:p w14:paraId="5C2537F3" w14:textId="77777777" w:rsidR="006D3E2B" w:rsidRDefault="00000000">
      <w:pPr>
        <w:spacing w:after="240"/>
        <w:jc w:val="center"/>
      </w:pPr>
      <w:r>
        <w:rPr>
          <w:b/>
          <w:bCs/>
          <w:color w:val="1F4E78"/>
          <w:sz w:val="26"/>
          <w:szCs w:val="26"/>
        </w:rPr>
        <w:t>FÓRMULA PARAMÉTRICA PARA EVALUACIÓN DEL ESTADO DE TENSIÓN</w:t>
      </w:r>
    </w:p>
    <w:p w14:paraId="1AE059CB" w14:textId="77777777" w:rsidR="006D3E2B" w:rsidRDefault="00000000">
      <w:pPr>
        <w:spacing w:after="240"/>
        <w:jc w:val="center"/>
      </w:pPr>
      <w:r>
        <w:rPr>
          <w:color w:val="595959"/>
        </w:rPr>
        <w:t>Cinturón de la Macroeconomía: Caso Argentino, Gobierno Milei, Mayo 2026</w:t>
      </w:r>
    </w:p>
    <w:p w14:paraId="2BE18588" w14:textId="77777777" w:rsidR="006D3E2B" w:rsidRDefault="00000000">
      <w:pPr>
        <w:pStyle w:val="Ttulo1"/>
      </w:pPr>
      <w:r>
        <w:t>Introducción: Operacionalización de la Tensión Macroeconómica</w:t>
      </w:r>
    </w:p>
    <w:p w14:paraId="05CC8282" w14:textId="77777777" w:rsidR="006D3E2B" w:rsidRDefault="00000000">
      <w:pPr>
        <w:spacing w:after="120" w:line="360" w:lineRule="auto"/>
      </w:pPr>
      <w:r>
        <w:t>Según la metodología de CIGOB-Matus, el cinturón de la macroeconomía constituye el balance mediante el cual un gobierno gestiona variables económicas estructurales que determinan la prosperidad material de la sociedad. "Apretar" este cinturón significa que el proyecto de gobierno resulta insuficiente o incapaz desde el punto de vista económico para mantener viabilidad fiscal y estabilidad monetaria.</w:t>
      </w:r>
    </w:p>
    <w:p w14:paraId="11B76F60" w14:textId="77777777" w:rsidR="006D3E2B" w:rsidRDefault="00000000">
      <w:pPr>
        <w:spacing w:after="240" w:line="360" w:lineRule="auto"/>
      </w:pPr>
      <w:r>
        <w:t>El presente documento desarrolla una fórmula paramétrica que opera sobre indicadores macroeconómicos seleccionados para el caso argentino, permitiendo medir en términos cuantitativos el estado de tensión del cinturón macro: cuánto el gobierno está "apretando" (enfrentando restricciones económicas) versus cuánto está "aflojando" (logrando estabilización y crecimiento).</w:t>
      </w:r>
    </w:p>
    <w:p w14:paraId="4538678D" w14:textId="77777777" w:rsidR="006D3E2B" w:rsidRDefault="00000000">
      <w:pPr>
        <w:pStyle w:val="Ttulo1"/>
      </w:pPr>
      <w:r>
        <w:t>I. Arquitectura Conceptual de la Fórmula</w:t>
      </w:r>
    </w:p>
    <w:p w14:paraId="1FE97679" w14:textId="77777777" w:rsidR="006D3E2B" w:rsidRDefault="00000000">
      <w:pPr>
        <w:pStyle w:val="Ttulo2"/>
      </w:pPr>
      <w:r>
        <w:t>Las cuatro dimensiones de la tensión macroeconómica</w:t>
      </w:r>
    </w:p>
    <w:p w14:paraId="5A72C929" w14:textId="77777777" w:rsidR="006D3E2B" w:rsidRDefault="00000000">
      <w:pPr>
        <w:spacing w:after="120" w:line="360" w:lineRule="auto"/>
      </w:pPr>
      <w:r>
        <w:t>La tensión del cinturón macroeconómico opera sobre cuatro dimensiones conceptualmente distintas pero interconectadas:</w:t>
      </w:r>
    </w:p>
    <w:p w14:paraId="009C157F" w14:textId="40710F8F" w:rsidR="006D3E2B" w:rsidRDefault="00000000">
      <w:pPr>
        <w:spacing w:after="120" w:line="340" w:lineRule="auto"/>
      </w:pPr>
      <w:r>
        <w:rPr>
          <w:b/>
          <w:bCs/>
        </w:rPr>
        <w:t>1. ESTABILIDAD MONETARIA-INFLACIONARIA (Peso: 35%)</w:t>
      </w:r>
      <w:r>
        <w:t xml:space="preserve"> Capacidad del gobierno de controlar la inflación y las expectativas de inflación. Esta es </w:t>
      </w:r>
      <w:r w:rsidR="001B4D67">
        <w:t>un</w:t>
      </w:r>
      <w:r>
        <w:t xml:space="preserve"> fundamental: sin estabilidad monetaria, todo colapsa. Un proyecto que no controla la inflación es un proyecto que </w:t>
      </w:r>
      <w:r w:rsidR="001B4D67">
        <w:t xml:space="preserve">se debilita </w:t>
      </w:r>
      <w:r>
        <w:t>por falta de dominio sobre la moneda.</w:t>
      </w:r>
    </w:p>
    <w:p w14:paraId="7EF15651" w14:textId="77777777" w:rsidR="006D3E2B" w:rsidRDefault="00000000">
      <w:pPr>
        <w:spacing w:after="120" w:line="340" w:lineRule="auto"/>
      </w:pPr>
      <w:r>
        <w:rPr>
          <w:b/>
          <w:bCs/>
        </w:rPr>
        <w:t>2. VIABILIDAD FISCAL-COMERCIAL (Peso: 30%)</w:t>
      </w:r>
      <w:r>
        <w:t xml:space="preserve"> Capacidad del gobierno de generar ingresos fiscales y mantener equilibrio en cuentas comerciales externas. Determina si el proyecto tiene recursos para financiar su agenda sin generar crisis.</w:t>
      </w:r>
    </w:p>
    <w:p w14:paraId="0B894F93" w14:textId="77777777" w:rsidR="006D3E2B" w:rsidRDefault="00000000">
      <w:pPr>
        <w:spacing w:after="120" w:line="340" w:lineRule="auto"/>
      </w:pPr>
      <w:r>
        <w:rPr>
          <w:b/>
          <w:bCs/>
        </w:rPr>
        <w:t>3. CAPACIDAD DE FINANCIAMIENTO (Peso: 20%)</w:t>
      </w:r>
      <w:r>
        <w:t xml:space="preserve"> Disponibilidad de divisas, liquidez crediticia y costo del financiamiento. Mide si el gobierno tiene oxígeno para financiar operaciones y si el sistema financiero otorga crédito o está restrictivo.</w:t>
      </w:r>
    </w:p>
    <w:p w14:paraId="2DBE79DE" w14:textId="77777777" w:rsidR="006D3E2B" w:rsidRDefault="00000000">
      <w:pPr>
        <w:spacing w:after="240" w:line="340" w:lineRule="auto"/>
      </w:pPr>
      <w:r>
        <w:rPr>
          <w:b/>
          <w:bCs/>
        </w:rPr>
        <w:t>4. ACTIVIDAD ECONÓMICA (Peso: 15%)</w:t>
      </w:r>
      <w:r>
        <w:t xml:space="preserve"> Crecimiento del PBI e indicadores de actividad. Mide si el sacrificio económico (ajuste fiscal, restricción monetaria) está generando contracción excesiva o si el crecimiento se mantiene.</w:t>
      </w:r>
    </w:p>
    <w:p w14:paraId="7F560DB7" w14:textId="77777777" w:rsidR="006D3E2B" w:rsidRDefault="00000000">
      <w:pPr>
        <w:pStyle w:val="Ttulo1"/>
      </w:pPr>
      <w:r>
        <w:lastRenderedPageBreak/>
        <w:t>II. Indicadores Seleccionados y Ponderación Interna</w:t>
      </w:r>
    </w:p>
    <w:p w14:paraId="23591E0B" w14:textId="77777777" w:rsidR="006D3E2B" w:rsidRDefault="00000000">
      <w:pPr>
        <w:pStyle w:val="Ttulo2"/>
      </w:pPr>
      <w:r>
        <w:t>Dimensión 1: Estabilidad Monetaria-Inflacionaria (35% del total)</w:t>
      </w:r>
    </w:p>
    <w:p w14:paraId="2CE24984" w14:textId="77777777" w:rsidR="006D3E2B" w:rsidRDefault="00000000">
      <w:pPr>
        <w:spacing w:after="100" w:line="360" w:lineRule="auto"/>
      </w:pPr>
      <w:r>
        <w:t>Indicadores asignados:</w:t>
      </w:r>
    </w:p>
    <w:p w14:paraId="002B054E" w14:textId="77777777" w:rsidR="006D3E2B" w:rsidRDefault="00000000">
      <w:pPr>
        <w:spacing w:after="120" w:line="340" w:lineRule="auto"/>
      </w:pPr>
      <w:r>
        <w:rPr>
          <w:b/>
          <w:bCs/>
        </w:rPr>
        <w:t>A) Inflación mensual (IPC): 50% del sub-índice</w:t>
      </w:r>
      <w:r>
        <w:t xml:space="preserve"> Valor actual: 2,58% Justificación: Es la medida más directa del control monetario. Bajo Matus, esta es la variable más crítica del cinturón: si sube, el cinturón "aprieta" (el gobierno está fallando en controlar la moneda). Puntaje se calcula como: • Meta de inflación mensual Milei: ~1,5-2,0% mensual • 2,58% está ligeramente arriba de meta pero bajo estándares históricos argentinos • Puntaje: 65/100 (control alcanzado pero no óptimo)</w:t>
      </w:r>
    </w:p>
    <w:p w14:paraId="0D77253B" w14:textId="61D48AED" w:rsidR="006D3E2B" w:rsidRDefault="00000000">
      <w:pPr>
        <w:spacing w:after="240" w:line="340" w:lineRule="auto"/>
      </w:pPr>
      <w:r>
        <w:rPr>
          <w:b/>
          <w:bCs/>
        </w:rPr>
        <w:t>B) Expectativas de inflación a 12 meses (REM): 50% del sub-índice</w:t>
      </w:r>
      <w:r>
        <w:t xml:space="preserve"> Valor actual: 24,2% Justificación: Mide si los actores económicos creen que el gobierno mantendrá estabilidad. Una expectativa de 24% significa que el mercado prevé aceleración inflacionaria. Esta es una "alerta temprana" de que el cinturón puede estar a punto de apretarse más. • Las expectativas miden credibilidad del proyecto </w:t>
      </w:r>
      <w:r w:rsidRPr="000C7F88">
        <w:rPr>
          <w:highlight w:val="yellow"/>
        </w:rPr>
        <w:t>• 24,2% es problemático (implica desconfianza en sostenibilidad</w:t>
      </w:r>
      <w:r>
        <w:t>) • Puntaje: 35/100 (alto riesgo de aceleración)</w:t>
      </w:r>
    </w:p>
    <w:p w14:paraId="2EDBFC23" w14:textId="77777777" w:rsidR="006D3E2B" w:rsidRDefault="00000000">
      <w:pPr>
        <w:pStyle w:val="Ttulo2"/>
      </w:pPr>
      <w:r>
        <w:t>Dimensión 2: Viabilidad Fiscal-Comercial (30% del total)</w:t>
      </w:r>
    </w:p>
    <w:p w14:paraId="4864994C" w14:textId="77777777" w:rsidR="006D3E2B" w:rsidRDefault="00000000">
      <w:pPr>
        <w:spacing w:after="120" w:line="340" w:lineRule="auto"/>
      </w:pPr>
      <w:r>
        <w:rPr>
          <w:b/>
          <w:bCs/>
        </w:rPr>
        <w:t>A) Recaudación tributaria mensual: 60% del sub-índice</w:t>
      </w:r>
      <w:r>
        <w:t xml:space="preserve"> Valor actual: 8,27% m/m Justificación: Refleja ingresos del gobierno. </w:t>
      </w:r>
      <w:r w:rsidRPr="000C7F88">
        <w:rPr>
          <w:highlight w:val="yellow"/>
        </w:rPr>
        <w:t>Crecimiento de 8,27% mes-a-mes</w:t>
      </w:r>
      <w:r>
        <w:t xml:space="preserve"> (acumulado) indica que los ingresos tributarios están creciendo, lo cual es positivo para viabilidad fiscal. Proyecto Milei requiere recursos para: • Mantener servicios esenciales • Evitar déficit fiscal que reactive inflación • Financiar cambios estructurales Puntaje: 75/100 (recaudación en ruta ascendente)</w:t>
      </w:r>
    </w:p>
    <w:p w14:paraId="5659C8B5" w14:textId="77777777" w:rsidR="006D3E2B" w:rsidRDefault="00000000">
      <w:pPr>
        <w:spacing w:after="240" w:line="340" w:lineRule="auto"/>
      </w:pPr>
      <w:r>
        <w:rPr>
          <w:b/>
          <w:bCs/>
        </w:rPr>
        <w:t>B) Saldo comercial 12 meses: 40% del sub-índice</w:t>
      </w:r>
      <w:r>
        <w:t xml:space="preserve"> Valor actual: 17.125 USS M Justificación: Mide capacidad de generar divisas. Argentina históricamente ha tenido déficit comercial. Un superávit de </w:t>
      </w:r>
      <w:r w:rsidRPr="000C7F88">
        <w:rPr>
          <w:highlight w:val="yellow"/>
        </w:rPr>
        <w:t>USD 17 mil millones en 12 meses es POSITIVO pero debe contextualizarse: • Refleja caída de demanda interna (menos importaciones) más que aumento de exportaciones</w:t>
      </w:r>
      <w:r>
        <w:t xml:space="preserve"> • Es sintomático de "apretamiento" porque indica contracción económica • Pero genera divisas que relajan el cinturón exterior Puntaje: 60/100 (positivo en corto plazo pero por razones de contracción)</w:t>
      </w:r>
    </w:p>
    <w:p w14:paraId="4D75A843" w14:textId="77777777" w:rsidR="006D3E2B" w:rsidRDefault="00000000">
      <w:pPr>
        <w:pStyle w:val="Ttulo2"/>
      </w:pPr>
      <w:r>
        <w:t>Dimensión 3: Capacidad de Financiamiento (20% del total)</w:t>
      </w:r>
    </w:p>
    <w:p w14:paraId="35C4EA62" w14:textId="77A3CD01" w:rsidR="006D3E2B" w:rsidRDefault="00000000">
      <w:pPr>
        <w:spacing w:after="120" w:line="340" w:lineRule="auto"/>
      </w:pPr>
      <w:r>
        <w:rPr>
          <w:b/>
          <w:bCs/>
        </w:rPr>
        <w:t>A) Reservas BCRA: 50% del sub-índice</w:t>
      </w:r>
      <w:r>
        <w:t xml:space="preserve"> Valor actual: 48.113 USS M Justificación: Las reservas son el "músculo" del gobierno para defenderse de crisis de divisas. </w:t>
      </w:r>
      <w:r w:rsidR="001B4D67">
        <w:t>S</w:t>
      </w:r>
      <w:r>
        <w:t>on críticas para autonomía de política económica: • 48 mil millones es cifra respetable • Pero contexto: se necesita evaluar tendencia (¿suben o bajan?) • Para mayo 2026, si están en ruta ascendente, indica mercado ganando confianza Puntaje: 70/100 (sólidas pero no abundantes)</w:t>
      </w:r>
    </w:p>
    <w:p w14:paraId="5E60757C" w14:textId="07A052E8" w:rsidR="006D3E2B" w:rsidRDefault="00000000">
      <w:pPr>
        <w:spacing w:after="240" w:line="340" w:lineRule="auto"/>
      </w:pPr>
      <w:r>
        <w:rPr>
          <w:b/>
          <w:bCs/>
        </w:rPr>
        <w:lastRenderedPageBreak/>
        <w:t>B) Tasa BADLAR: 50% del sub-índice</w:t>
      </w:r>
      <w:r>
        <w:t xml:space="preserve"> Valor actual: 20,62% Justificación: Tasa que pagan bancos por depósitos. Una tasa BADLAR de 20,62% indica: • Mercado pide retorno alto para depositar (desconfianza) • Gobiernos con proyectos creíbles ven tasas caer (mejor acceso a crédito) • 20,62% es restrictivo: limita crédito al sector privado • Indica que el cinturón financiero está apretado Puntaje: 40/100 (restricción crediticia significativa)</w:t>
      </w:r>
      <w:r w:rsidR="006C702D">
        <w:br/>
      </w:r>
      <w:r w:rsidR="006C702D" w:rsidRPr="006C702D">
        <w:rPr>
          <w:highlight w:val="yellow"/>
        </w:rPr>
        <w:t xml:space="preserve">NO MEDIRÍA MEJOR </w:t>
      </w:r>
      <w:r w:rsidR="006C702D">
        <w:rPr>
          <w:highlight w:val="yellow"/>
        </w:rPr>
        <w:t>ESTA TASA</w:t>
      </w:r>
      <w:r w:rsidR="006C702D" w:rsidRPr="006C702D">
        <w:rPr>
          <w:highlight w:val="yellow"/>
        </w:rPr>
        <w:t xml:space="preserve"> CONTRA DEPOSITOS? PARA MEDIR DESCONFIANZA CONFIANZA</w:t>
      </w:r>
    </w:p>
    <w:p w14:paraId="1B9F4C54" w14:textId="4F67792F" w:rsidR="00D71F49" w:rsidRDefault="00D71F49">
      <w:pPr>
        <w:spacing w:after="240" w:line="340" w:lineRule="auto"/>
      </w:pPr>
      <w:r>
        <w:t>TASAS ACTIVAS DE LOS PRESTAMOS</w:t>
      </w:r>
    </w:p>
    <w:p w14:paraId="3588059E" w14:textId="77777777" w:rsidR="006D3E2B" w:rsidRDefault="00000000">
      <w:pPr>
        <w:pStyle w:val="Ttulo2"/>
      </w:pPr>
      <w:r>
        <w:t>Dimensión 4: Actividad Económica (15% del total)</w:t>
      </w:r>
    </w:p>
    <w:p w14:paraId="3E4C43A2" w14:textId="77777777" w:rsidR="006D3E2B" w:rsidRDefault="00000000">
      <w:pPr>
        <w:spacing w:after="240" w:line="340" w:lineRule="auto"/>
      </w:pPr>
      <w:r>
        <w:rPr>
          <w:b/>
          <w:bCs/>
        </w:rPr>
        <w:t>A) EMAE (Estimador de Actividad Económica): 100% del sub-índice</w:t>
      </w:r>
      <w:r>
        <w:t xml:space="preserve"> Valor actual: 5,48% </w:t>
      </w:r>
      <w:proofErr w:type="spellStart"/>
      <w:r>
        <w:t>i.a</w:t>
      </w:r>
      <w:proofErr w:type="spellEnd"/>
      <w:r>
        <w:t xml:space="preserve">. (interanual) Justificación: Es la medida de PBI mensual. 5,48% interanual en mayo 2026 sugiere: • Recesión anterior fue profunda • </w:t>
      </w:r>
      <w:r w:rsidRPr="00764D6D">
        <w:rPr>
          <w:highlight w:val="yellow"/>
        </w:rPr>
        <w:t>Recuperación desde mínimos está ocurriendo</w:t>
      </w:r>
      <w:r>
        <w:t xml:space="preserve"> • Pero aún hay contracción respecto a máximos previos • Indica cinturón macro está en fase de recuperación </w:t>
      </w:r>
      <w:proofErr w:type="spellStart"/>
      <w:r>
        <w:t>post-ajuste</w:t>
      </w:r>
      <w:proofErr w:type="spellEnd"/>
      <w:r>
        <w:t xml:space="preserve"> • Para Milei, necesita acelerar (meta: 5%+ sostenido) Puntaje: 70/100 (recuperación en marcha pero frágil)</w:t>
      </w:r>
    </w:p>
    <w:p w14:paraId="0ECB7166" w14:textId="77777777" w:rsidR="006D3E2B" w:rsidRDefault="00000000">
      <w:pPr>
        <w:pStyle w:val="Ttulo1"/>
      </w:pPr>
      <w:r>
        <w:t>III. Fórmula Paramétrica Completa</w:t>
      </w:r>
    </w:p>
    <w:p w14:paraId="2DCA1DD6" w14:textId="77777777" w:rsidR="006D3E2B" w:rsidRDefault="00000000">
      <w:pPr>
        <w:spacing w:after="120" w:line="360" w:lineRule="auto"/>
      </w:pPr>
      <w:r>
        <w:t>ÍNDICE DE TENSIÓN DEL CINTURÓN MACROECONÓMICO (ITCM)</w:t>
      </w:r>
    </w:p>
    <w:p w14:paraId="3DE77508" w14:textId="77777777" w:rsidR="006D3E2B" w:rsidRDefault="00000000">
      <w:pPr>
        <w:spacing w:after="200" w:line="360" w:lineRule="auto"/>
      </w:pPr>
      <w:r>
        <w:t>Donde cada variable genera un PUNTAJE de 0-100 (0=máxima tensión/apretamiento, 100=mínima tensión/aflojamiento)</w:t>
      </w:r>
    </w:p>
    <w:p w14:paraId="73818906" w14:textId="77777777" w:rsidR="006D3E2B" w:rsidRDefault="00000000">
      <w:pPr>
        <w:spacing w:after="200" w:line="360" w:lineRule="auto"/>
        <w:jc w:val="center"/>
      </w:pPr>
      <w:r>
        <w:rPr>
          <w:b/>
          <w:bCs/>
        </w:rPr>
        <w:t>ITCM = [0,35 × (0,5×P_IPC + 0,5×P_EXP)] + [0,30 × (0,6×P_REC + 0,4×P_COM)] + [0,20 × (0,5×P_RES + 0,5×P_BADLAR)] + [0,15 × P_EMAE]</w:t>
      </w:r>
    </w:p>
    <w:p w14:paraId="4B729235" w14:textId="77777777" w:rsidR="006D3E2B" w:rsidRDefault="00000000">
      <w:pPr>
        <w:spacing w:after="100" w:line="360" w:lineRule="auto"/>
      </w:pPr>
      <w:r>
        <w:t>Donde:</w:t>
      </w:r>
    </w:p>
    <w:p w14:paraId="055FCBCE" w14:textId="77777777" w:rsidR="006D3E2B" w:rsidRDefault="00000000">
      <w:pPr>
        <w:spacing w:after="240" w:line="340" w:lineRule="auto"/>
      </w:pPr>
      <w:r>
        <w:t>P_IPC = Puntaje Inflación P_EXP = Puntaje Expectativas de inflación P_REC = Puntaje Recaudación tributaria P_COM = Puntaje Saldo comercial P_RES = Puntaje Reservas BCRA P_BADLAR = Puntaje Tasa BADLAR P_EMAE = Puntaje Actividad económica</w:t>
      </w:r>
    </w:p>
    <w:p w14:paraId="471A5B6D" w14:textId="77777777" w:rsidR="006D3E2B" w:rsidRDefault="00000000">
      <w:pPr>
        <w:pStyle w:val="Ttulo1"/>
      </w:pPr>
      <w:r>
        <w:t>IV. Metodología de Puntajes para Cada Indicador</w:t>
      </w:r>
    </w:p>
    <w:p w14:paraId="59324A46" w14:textId="77777777" w:rsidR="006D3E2B" w:rsidRDefault="00000000">
      <w:pPr>
        <w:pStyle w:val="Ttulo2"/>
      </w:pPr>
      <w:r>
        <w:t>Subcomponente A: Inflación Mensual (IPC)</w:t>
      </w:r>
    </w:p>
    <w:p w14:paraId="79584BEC" w14:textId="77777777" w:rsidR="006D3E2B" w:rsidRDefault="00000000">
      <w:pPr>
        <w:spacing w:after="80" w:line="360" w:lineRule="auto"/>
      </w:pPr>
      <w:r>
        <w:t>ESCALA DE PUNTAJE:</w:t>
      </w:r>
    </w:p>
    <w:p w14:paraId="4B659D89" w14:textId="77777777" w:rsidR="006D3E2B" w:rsidRDefault="00000000">
      <w:pPr>
        <w:spacing w:after="120" w:line="340" w:lineRule="auto"/>
      </w:pPr>
      <w:r>
        <w:t>IPC ≤ 1,0%  →  Puntaje: 100 (control óptimo) IPC 1,0-2,0%  →  Puntaje: 85 (control efectivo) IPC 2,0-3,0%  →  Puntaje: 65 (control moderado, riesgo de aceleración) IPC 3,0-5,0%  →  Puntaje: 40 (control débil) IPC &gt; 5,0%  →  Puntaje: 10 (pérdida de control, cinturón apretado)</w:t>
      </w:r>
    </w:p>
    <w:p w14:paraId="145973E7" w14:textId="77777777" w:rsidR="006D3E2B" w:rsidRDefault="00000000">
      <w:pPr>
        <w:spacing w:after="200" w:line="360" w:lineRule="auto"/>
      </w:pPr>
      <w:r>
        <w:lastRenderedPageBreak/>
        <w:t>Aplicación mayo 2026: IPC = 2,58% → Puntaje = 65</w:t>
      </w:r>
    </w:p>
    <w:p w14:paraId="46C0244F" w14:textId="77777777" w:rsidR="006D3E2B" w:rsidRDefault="00000000">
      <w:pPr>
        <w:pStyle w:val="Ttulo2"/>
      </w:pPr>
      <w:r>
        <w:t>Subcomponente B: Expectativas de Inflación a 12m (REM)</w:t>
      </w:r>
    </w:p>
    <w:p w14:paraId="543DB7CD" w14:textId="77777777" w:rsidR="006D3E2B" w:rsidRDefault="00000000">
      <w:pPr>
        <w:spacing w:after="80" w:line="360" w:lineRule="auto"/>
      </w:pPr>
      <w:r>
        <w:t>ESCALA DE PUNTAJE:</w:t>
      </w:r>
    </w:p>
    <w:p w14:paraId="5EC109CA" w14:textId="77777777" w:rsidR="006D3E2B" w:rsidRDefault="00000000">
      <w:pPr>
        <w:spacing w:after="120" w:line="340" w:lineRule="auto"/>
      </w:pPr>
      <w:proofErr w:type="spellStart"/>
      <w:r>
        <w:t>Exp_Inflación</w:t>
      </w:r>
      <w:proofErr w:type="spellEnd"/>
      <w:r>
        <w:t xml:space="preserve"> ≤ 10%  →  Puntaje: 100 (máxima credibilidad) </w:t>
      </w:r>
      <w:proofErr w:type="spellStart"/>
      <w:r>
        <w:t>Exp</w:t>
      </w:r>
      <w:proofErr w:type="spellEnd"/>
      <w:r>
        <w:t xml:space="preserve"> 10-15%  →  Puntaje: 85 (buena credibilidad) </w:t>
      </w:r>
      <w:proofErr w:type="spellStart"/>
      <w:r>
        <w:t>Exp</w:t>
      </w:r>
      <w:proofErr w:type="spellEnd"/>
      <w:r>
        <w:t xml:space="preserve"> 15-20%  →  Puntaje: 60 (credibilidad moderada) </w:t>
      </w:r>
      <w:proofErr w:type="spellStart"/>
      <w:r>
        <w:t>Exp</w:t>
      </w:r>
      <w:proofErr w:type="spellEnd"/>
      <w:r>
        <w:t xml:space="preserve"> 20-30%  →  Puntaje: 35 (baja credibilidad, desconfianza) </w:t>
      </w:r>
      <w:proofErr w:type="spellStart"/>
      <w:r>
        <w:t>Exp</w:t>
      </w:r>
      <w:proofErr w:type="spellEnd"/>
      <w:r>
        <w:t xml:space="preserve"> &gt; 30%  →  Puntaje: 10 (desconfianza severa)</w:t>
      </w:r>
    </w:p>
    <w:p w14:paraId="2EA16DD0" w14:textId="0A930B47" w:rsidR="006D3E2B" w:rsidRDefault="00000000">
      <w:pPr>
        <w:spacing w:after="200" w:line="360" w:lineRule="auto"/>
      </w:pPr>
      <w:r w:rsidRPr="00D71F49">
        <w:rPr>
          <w:highlight w:val="yellow"/>
        </w:rPr>
        <w:t xml:space="preserve">Aplicación mayo 2026: </w:t>
      </w:r>
      <w:proofErr w:type="spellStart"/>
      <w:r w:rsidRPr="00D71F49">
        <w:rPr>
          <w:highlight w:val="yellow"/>
        </w:rPr>
        <w:t>Exp</w:t>
      </w:r>
      <w:proofErr w:type="spellEnd"/>
      <w:r w:rsidRPr="00D71F49">
        <w:rPr>
          <w:highlight w:val="yellow"/>
        </w:rPr>
        <w:t xml:space="preserve"> = 24,2% → Puntaje = 35</w:t>
      </w:r>
      <w:r w:rsidR="00D71F49">
        <w:t xml:space="preserve"> </w:t>
      </w:r>
      <w:r w:rsidR="00D71F49" w:rsidRPr="00D71F49">
        <w:rPr>
          <w:highlight w:val="yellow"/>
        </w:rPr>
        <w:t>DEBERIA SER MODERADA 60 PUNTOS</w:t>
      </w:r>
    </w:p>
    <w:p w14:paraId="01FE9FD4" w14:textId="77777777" w:rsidR="006D3E2B" w:rsidRDefault="00000000">
      <w:pPr>
        <w:pStyle w:val="Ttulo2"/>
      </w:pPr>
      <w:r>
        <w:t>Subcomponente C: Recaudación Tributaria</w:t>
      </w:r>
    </w:p>
    <w:p w14:paraId="204644A3" w14:textId="77777777" w:rsidR="006D3E2B" w:rsidRDefault="00000000">
      <w:pPr>
        <w:spacing w:after="80" w:line="360" w:lineRule="auto"/>
      </w:pPr>
      <w:r>
        <w:t>ESCALA DE PUNTAJE (cambio mes-a-mes acumulado):</w:t>
      </w:r>
    </w:p>
    <w:p w14:paraId="42C3D2AC" w14:textId="77777777" w:rsidR="006D3E2B" w:rsidRDefault="00000000">
      <w:pPr>
        <w:spacing w:after="120" w:line="340" w:lineRule="auto"/>
      </w:pPr>
      <w:r>
        <w:t>Variación &gt; 10% m/m  →  Puntaje: 100 (recuperación fuerte) Variación 5-10%  →  Puntaje: 80 (recuperación moderada) Variación 0-5%  →  Puntaje: 60 (estable) Variación -5 a 0%  →  Puntaje: 40 (caída leve) Variación &lt; -5%  →  Puntaje: 10 (caída fuerte, crisis fiscal)</w:t>
      </w:r>
    </w:p>
    <w:p w14:paraId="6D75D677" w14:textId="77777777" w:rsidR="006D3E2B" w:rsidRDefault="00000000">
      <w:pPr>
        <w:spacing w:after="200" w:line="360" w:lineRule="auto"/>
      </w:pPr>
      <w:r>
        <w:t>Aplicación mayo 2026: Variación = 8,27% → Puntaje = 75</w:t>
      </w:r>
    </w:p>
    <w:p w14:paraId="5CB18618" w14:textId="77777777" w:rsidR="006D3E2B" w:rsidRDefault="00000000">
      <w:pPr>
        <w:pStyle w:val="Ttulo2"/>
      </w:pPr>
      <w:r>
        <w:t>Subcomponente D: Saldo Comercial</w:t>
      </w:r>
    </w:p>
    <w:p w14:paraId="21723218" w14:textId="77777777" w:rsidR="006D3E2B" w:rsidRDefault="00000000">
      <w:pPr>
        <w:spacing w:after="80" w:line="360" w:lineRule="auto"/>
      </w:pPr>
      <w:r>
        <w:t>ESCALA DE PUNTAJE (12 meses acumulado en USS millones):</w:t>
      </w:r>
    </w:p>
    <w:p w14:paraId="34F8815C" w14:textId="77777777" w:rsidR="006D3E2B" w:rsidRDefault="00000000">
      <w:pPr>
        <w:spacing w:after="120" w:line="340" w:lineRule="auto"/>
      </w:pPr>
      <w:r>
        <w:t>Superávit &gt; USD 15.000M  →  Puntaje: 85 (sólida generación de divisas) Superávit USD 10-15.000M  →  Puntaje: 75 (buena posición) Superávit USD 5-10.000M  →  Puntaje: 60 (moderado) Equilibrio (±5.000M)  →  Puntaje: 50 Déficit USD 5-15.000M  →  Puntaje: 30 (presión de divisas) Déficit &gt; USD 15.000M  →  Puntaje: 10 (crisis de divisas)</w:t>
      </w:r>
    </w:p>
    <w:p w14:paraId="3C877A91" w14:textId="77777777" w:rsidR="006D3E2B" w:rsidRDefault="00000000">
      <w:pPr>
        <w:spacing w:after="200" w:line="360" w:lineRule="auto"/>
      </w:pPr>
      <w:r>
        <w:t>Aplicación mayo 2026: Superávit = USD 17.125M → Puntaje = 60 (se ajusta por contracción económica)</w:t>
      </w:r>
    </w:p>
    <w:p w14:paraId="3475E5D7" w14:textId="77777777" w:rsidR="006D3E2B" w:rsidRDefault="00000000">
      <w:pPr>
        <w:pStyle w:val="Ttulo2"/>
      </w:pPr>
      <w:r>
        <w:t>Subcomponente E: Reservas BCRA</w:t>
      </w:r>
    </w:p>
    <w:p w14:paraId="29FF48CA" w14:textId="77777777" w:rsidR="006D3E2B" w:rsidRDefault="00000000">
      <w:pPr>
        <w:spacing w:after="80" w:line="360" w:lineRule="auto"/>
      </w:pPr>
      <w:r>
        <w:t>ESCALA DE PUNTAJE (USS millones):</w:t>
      </w:r>
    </w:p>
    <w:p w14:paraId="41984580" w14:textId="77777777" w:rsidR="006D3E2B" w:rsidRDefault="00000000">
      <w:pPr>
        <w:spacing w:after="120" w:line="340" w:lineRule="auto"/>
      </w:pPr>
      <w:r>
        <w:t>Reservas &gt; USD 60.000M  →  Puntaje: 100 (posición muy sólida) Reservas USD 50-60.000M  →  Puntaje: 85 (sólida) Reservas USD 40-50.000M  →  Puntaje: 70 (adecuada) Reservas USD 30-40.000M  →  Puntaje: 50 (bajo, vulnerable) Reservas USD 20-30.000M  →  Puntaje: 30 (muy bajo, crisis) Reservas &lt; USD 20.000M  →  Puntaje: 10 (crítico)</w:t>
      </w:r>
    </w:p>
    <w:p w14:paraId="09AF0A5B" w14:textId="77777777" w:rsidR="006D3E2B" w:rsidRDefault="00000000">
      <w:pPr>
        <w:spacing w:after="200" w:line="360" w:lineRule="auto"/>
      </w:pPr>
      <w:r>
        <w:t>Aplicación mayo 2026: Reservas = USD 48.113M → Puntaje = 70</w:t>
      </w:r>
    </w:p>
    <w:p w14:paraId="1B2D0A25" w14:textId="77777777" w:rsidR="006D3E2B" w:rsidRDefault="00000000">
      <w:pPr>
        <w:pStyle w:val="Ttulo2"/>
      </w:pPr>
      <w:r>
        <w:t>Subcomponente F: Tasa BADLAR</w:t>
      </w:r>
    </w:p>
    <w:p w14:paraId="29EAF30D" w14:textId="77777777" w:rsidR="006D3E2B" w:rsidRDefault="00000000">
      <w:pPr>
        <w:spacing w:after="80" w:line="360" w:lineRule="auto"/>
      </w:pPr>
      <w:r>
        <w:t>ESCALA DE PUNTAJE (%):</w:t>
      </w:r>
    </w:p>
    <w:p w14:paraId="357B09BF" w14:textId="77777777" w:rsidR="006D3E2B" w:rsidRDefault="00000000">
      <w:pPr>
        <w:spacing w:after="120" w:line="340" w:lineRule="auto"/>
      </w:pPr>
      <w:r>
        <w:lastRenderedPageBreak/>
        <w:t>BADLAR &lt; 5%  →  Puntaje: 100 (crédito expansivo, confianza alta) BADLAR 5-10%  →  Puntaje: 80 (crédito moderado) BADLAR 10-15%  →  Puntaje: 60 (crédito restrictivo pero funcional) BADLAR 15-25%  →  Puntaje: 35 (muy restrictivo, desconfianza) BADLAR &gt; 25%  →  Puntaje: 10 (sistema financiero colapsado)</w:t>
      </w:r>
    </w:p>
    <w:p w14:paraId="4C31BDED" w14:textId="77777777" w:rsidR="006D3E2B" w:rsidRDefault="00000000">
      <w:pPr>
        <w:spacing w:after="200" w:line="360" w:lineRule="auto"/>
      </w:pPr>
      <w:r>
        <w:t>Aplicación mayo 2026: BADLAR = 20,62% → Puntaje = 35</w:t>
      </w:r>
    </w:p>
    <w:p w14:paraId="2B500943" w14:textId="77777777" w:rsidR="006D3E2B" w:rsidRDefault="00000000">
      <w:pPr>
        <w:pStyle w:val="Ttulo2"/>
      </w:pPr>
      <w:r>
        <w:t>Subcomponente G: Actividad Económica (EMAE)</w:t>
      </w:r>
    </w:p>
    <w:p w14:paraId="388012DA" w14:textId="77777777" w:rsidR="006D3E2B" w:rsidRDefault="00000000">
      <w:pPr>
        <w:spacing w:after="80" w:line="360" w:lineRule="auto"/>
      </w:pPr>
      <w:r>
        <w:t>ESCALA DE PUNTAJE (variación interanual %):</w:t>
      </w:r>
    </w:p>
    <w:p w14:paraId="246001ED" w14:textId="77777777" w:rsidR="006D3E2B" w:rsidRDefault="00000000">
      <w:pPr>
        <w:spacing w:after="120" w:line="340" w:lineRule="auto"/>
      </w:pPr>
      <w:r>
        <w:t>EMAE &gt; 5%  →  Puntaje: 100 (crecimiento robusto) EMAE 3-5%  →  Puntaje: 80 (crecimiento moderado) EMAE 0-3%  →  Puntaje: 60 (estancamiento bajo) EMAE -2 a 0%  →  Puntaje: 40 (recesión leve) EMAE -5 a -2%  →  Puntaje: 20 (recesión moderada) EMAE &lt; -5%  →  Puntaje: 5 (recesión severa)</w:t>
      </w:r>
    </w:p>
    <w:p w14:paraId="12369494" w14:textId="77777777" w:rsidR="006D3E2B" w:rsidRDefault="00000000">
      <w:pPr>
        <w:spacing w:after="240" w:line="360" w:lineRule="auto"/>
      </w:pPr>
      <w:r>
        <w:t>Aplicación mayo 2026: EMAE = 5,48% → Puntaje = 85 (justo por encima del 5%)</w:t>
      </w:r>
    </w:p>
    <w:p w14:paraId="52EE9D13" w14:textId="77777777" w:rsidR="006D3E2B" w:rsidRDefault="00000000">
      <w:pPr>
        <w:pStyle w:val="Ttulo1"/>
      </w:pPr>
      <w:r>
        <w:t>V. Cálculo Integrado: ITCM para Argentina, Mayo 2026</w:t>
      </w:r>
    </w:p>
    <w:p w14:paraId="270CBB4B" w14:textId="77777777" w:rsidR="006D3E2B" w:rsidRDefault="00000000">
      <w:pPr>
        <w:spacing w:after="100" w:line="360" w:lineRule="auto"/>
      </w:pPr>
      <w:r>
        <w:t>RESUMEN DE PUNTAJES INDIVIDUALES:</w:t>
      </w:r>
    </w:p>
    <w:p w14:paraId="2E79FA79" w14:textId="77777777" w:rsidR="006D3E2B" w:rsidRDefault="00000000">
      <w:pPr>
        <w:spacing w:after="200" w:line="340" w:lineRule="auto"/>
      </w:pPr>
      <w:r>
        <w:t>P_IPC = 65 P_EXP = 35 P_REC = 75 P_COM = 60 P_RES = 70 P_BADLAR = 35 P_EMAE = 85</w:t>
      </w:r>
    </w:p>
    <w:p w14:paraId="188ABFB6" w14:textId="77777777" w:rsidR="006D3E2B" w:rsidRDefault="00000000">
      <w:pPr>
        <w:spacing w:after="100" w:line="360" w:lineRule="auto"/>
      </w:pPr>
      <w:r>
        <w:t>CÁLCULO DEL ÍNDICE:</w:t>
      </w:r>
    </w:p>
    <w:p w14:paraId="1DE97519" w14:textId="77777777" w:rsidR="006D3E2B" w:rsidRDefault="00000000">
      <w:pPr>
        <w:spacing w:after="120" w:line="340" w:lineRule="auto"/>
      </w:pPr>
      <w:r>
        <w:t>Dimensión 1 (35%): (0,5 × 65 + 0,5 × 35) = 50 Dimensión 2 (30%): (0,6 × 75 + 0,4 × 60) = 69 Dimensión 3 (20%): (0,5 × 70 + 0,5 × 35) = 52,5 Dimensión 4 (15%): 85</w:t>
      </w:r>
    </w:p>
    <w:p w14:paraId="203DFA9A" w14:textId="77777777" w:rsidR="006D3E2B" w:rsidRDefault="00000000">
      <w:pPr>
        <w:spacing w:line="340" w:lineRule="auto"/>
      </w:pPr>
      <w:r>
        <w:t>ITCM = (0,35 × 50) + (0,30 × 69) + (0,20 × 52,5) + (0,15 × 85)</w:t>
      </w:r>
    </w:p>
    <w:p w14:paraId="04C3BA78" w14:textId="77777777" w:rsidR="006D3E2B" w:rsidRDefault="00000000">
      <w:pPr>
        <w:spacing w:after="240" w:line="340" w:lineRule="auto"/>
      </w:pPr>
      <w:r>
        <w:t>ITCM = 17,5 + 20,7 + 10,5 + 12,75 = 61,45</w:t>
      </w:r>
    </w:p>
    <w:p w14:paraId="63D53CDF" w14:textId="77777777" w:rsidR="006D3E2B" w:rsidRDefault="00000000">
      <w:pPr>
        <w:pStyle w:val="Ttulo1"/>
      </w:pPr>
      <w:r>
        <w:t>VI. Interpretación del Resultado: ITCM = 61,45</w:t>
      </w:r>
    </w:p>
    <w:p w14:paraId="068D2875" w14:textId="77777777" w:rsidR="006D3E2B" w:rsidRDefault="00000000">
      <w:pPr>
        <w:pStyle w:val="Ttulo2"/>
      </w:pPr>
      <w:r>
        <w:t>Escala de Interpretación</w:t>
      </w:r>
    </w:p>
    <w:p w14:paraId="7055C420" w14:textId="77777777" w:rsidR="006D3E2B" w:rsidRDefault="00000000">
      <w:pPr>
        <w:spacing w:after="200" w:line="340" w:lineRule="auto"/>
      </w:pPr>
      <w:r>
        <w:t>0-20: CINTURÓN SEVERAMENTE APRETADO (Crisis macroeconómica profunda) 21-40: CINTURÓN APRETADO (Restricciones severas, poco margen de maniobra) 41-60: CINTURÓN MODERADAMENTE APRETADO (Equilibrio frágil, riesgos latentes) 61-80: CINTURÓN MODERADAMENTE AFLOJADO (Equilibrio dinámico, cierto margen) 81-100: CINTURÓN AFLOJADO (Estabilidad sólida, márgenes amplios)</w:t>
      </w:r>
    </w:p>
    <w:p w14:paraId="25520599" w14:textId="77777777" w:rsidR="006D3E2B" w:rsidRDefault="00000000">
      <w:pPr>
        <w:spacing w:after="120" w:line="360" w:lineRule="auto"/>
      </w:pPr>
      <w:r>
        <w:t>RESULTADO PARA ARGENTINA, MAYO 2026: ITCM = 61,45</w:t>
      </w:r>
    </w:p>
    <w:p w14:paraId="56AD8FBA" w14:textId="77777777" w:rsidR="006D3E2B" w:rsidRDefault="00000000">
      <w:pPr>
        <w:spacing w:after="120" w:line="360" w:lineRule="auto"/>
      </w:pPr>
      <w:r>
        <w:t>Interpretación: El cinturón macroeconómico está en una posición MODERADAMENTE AFLOJADA.</w:t>
      </w:r>
    </w:p>
    <w:p w14:paraId="5B6FC7E8" w14:textId="77777777" w:rsidR="006D3E2B" w:rsidRDefault="00000000">
      <w:pPr>
        <w:spacing w:after="100" w:line="360" w:lineRule="auto"/>
      </w:pPr>
      <w:r>
        <w:t>¿Qué significa esto en términos de TENSIÓN (concepto Matus-CIGOB)?</w:t>
      </w:r>
    </w:p>
    <w:p w14:paraId="6A54FA5A" w14:textId="77777777" w:rsidR="006D3E2B" w:rsidRDefault="00000000">
      <w:pPr>
        <w:spacing w:after="200" w:line="340" w:lineRule="auto"/>
      </w:pPr>
      <w:r>
        <w:lastRenderedPageBreak/>
        <w:t>1. El proyecto de Milei ha logrado CIERTO CONTROL sobre la macroeconomía (no está en crisis severa)  2. Sin embargo, la tensión sigue siendo SIGNIFICATIVA porque:    • Las expectativas de inflación permanecen ALTAS (24,2%) - alerta de que la ciudadanía no cree completamente en sostenibilidad    • La Tasa BADLAR está muy restrictiva (20,62%) - el crédito es caro, limita inversión    • El saldo comercial positivo se debe más a CONTRACCIÓN que a crecimiento de exportaciones  3. El margen de maniobra ES LIMITADO porque:    • No puede aumentar gasto sin riesgo de inflación    • No puede expandir crédito sin subir tasas aún más    • Actividad económica está en recuperación pero frágil  4. RIESGOS LATENTES (por qué no está "aflojado" sino "moderadamente aflojado"):    • Si expectativas de inflación se materializan (pasan a 25-30%), ITCM caería a 50-55    • Si EMAE comienza a caer (recaída económica), ITCM caería a 45-50    • Si tasas BADLAR suben más (desconfianza financiera), ITCM caería a 45-50</w:t>
      </w:r>
    </w:p>
    <w:p w14:paraId="59153E30" w14:textId="77777777" w:rsidR="006D3E2B" w:rsidRDefault="00000000">
      <w:pPr>
        <w:pStyle w:val="Ttulo1"/>
      </w:pPr>
      <w:r>
        <w:t>VII. Justificación de Pesos: Por qué esta estructura</w:t>
      </w:r>
    </w:p>
    <w:p w14:paraId="1EFF9C12" w14:textId="77777777" w:rsidR="006D3E2B" w:rsidRDefault="00000000">
      <w:pPr>
        <w:pStyle w:val="Ttulo2"/>
      </w:pPr>
      <w:r>
        <w:t>¿Por qué Estabilidad Monetaria pesa 35%?</w:t>
      </w:r>
    </w:p>
    <w:p w14:paraId="4F130FD7" w14:textId="3E5EEF8E" w:rsidR="006D3E2B" w:rsidRDefault="001B4D67">
      <w:pPr>
        <w:spacing w:after="200" w:line="360" w:lineRule="auto"/>
      </w:pPr>
      <w:r>
        <w:t>Sin estabilidad monetaria, todo puede colapsar. Una inflación descontrolada: • Erosiona ingresos reales del ciudadano (destruye legitimidad) • Genera espiral inflacionaria que hace imposible planificar (parálisis) • Conduce a devaluación y crisis de divisas • Hace que todos los otros indicadores se deterioren  Esta es la dimensión fundamental  del cinturón. Por eso recibe el peso más alto (35%).</w:t>
      </w:r>
    </w:p>
    <w:p w14:paraId="295398E1" w14:textId="77777777" w:rsidR="006D3E2B" w:rsidRDefault="00000000">
      <w:pPr>
        <w:pStyle w:val="Ttulo2"/>
      </w:pPr>
      <w:r>
        <w:t>¿Por qué Viabilidad Fiscal pesa 30%?</w:t>
      </w:r>
    </w:p>
    <w:p w14:paraId="071CA730" w14:textId="19000E4A" w:rsidR="006D3E2B" w:rsidRDefault="001B4D67">
      <w:pPr>
        <w:spacing w:after="200" w:line="360" w:lineRule="auto"/>
      </w:pPr>
      <w:r>
        <w:t>Sin viabilidad fiscal, un proyecto muere. El gobierno que no tiene ingresos debe imprimir dinero (generando inflación) o dejar de pagar servicios (erosionando vida cotidiana).  La viabilidad fiscal es la SEGUNDA restricción más crítica. Por eso pesa 30% .  Incluye tanto recaudación (¿el gobierno está generando ingresos?) como saldo comercial (¿tenemos divisas para importar lo que necesitamos?).</w:t>
      </w:r>
    </w:p>
    <w:p w14:paraId="71469FCC" w14:textId="77777777" w:rsidR="006D3E2B" w:rsidRDefault="00000000">
      <w:pPr>
        <w:pStyle w:val="Ttulo2"/>
      </w:pPr>
      <w:r>
        <w:t>¿Por qué Capacidad de Financiamiento pesa 20%?</w:t>
      </w:r>
    </w:p>
    <w:p w14:paraId="3D6D3A43" w14:textId="054C41AE" w:rsidR="006D3E2B" w:rsidRDefault="00000000">
      <w:pPr>
        <w:spacing w:after="200" w:line="360" w:lineRule="auto"/>
      </w:pPr>
      <w:r>
        <w:t xml:space="preserve">Un gobierno con reservas adecuadas y crédito disponible tiene "oxígeno". Puede enfrentar shocks externos. Puede otorgar crédito al sector privado para invertir.  Pero esta capacidad </w:t>
      </w:r>
      <w:proofErr w:type="spellStart"/>
      <w:r>
        <w:t>es</w:t>
      </w:r>
      <w:r w:rsidR="001B4D67">
        <w:t>derivada</w:t>
      </w:r>
      <w:proofErr w:type="spellEnd"/>
      <w:r>
        <w:t xml:space="preserve"> de las anteriores (estabilidad monetaria y viabilidad fiscal). Si tienes buena macroeconomía, tendrás acceso al crédito. No es causa sino efecto.  Por eso pesa MENOS que las dimensiones anteriores (20%).</w:t>
      </w:r>
    </w:p>
    <w:p w14:paraId="2260FE6C" w14:textId="77777777" w:rsidR="006D3E2B" w:rsidRDefault="00000000">
      <w:pPr>
        <w:pStyle w:val="Ttulo2"/>
      </w:pPr>
      <w:r>
        <w:t>¿Por qué Actividad Económica pesa 15%?</w:t>
      </w:r>
    </w:p>
    <w:p w14:paraId="7E0D4627" w14:textId="5348D83A" w:rsidR="006D3E2B" w:rsidRDefault="00000000">
      <w:pPr>
        <w:spacing w:after="300" w:line="360" w:lineRule="auto"/>
      </w:pPr>
      <w:r>
        <w:t xml:space="preserve">El crecimiento es IMPORTANTE pero no es la prioridad INMEDIATA del cinturón macro. En un contexto donde el gobierno está combatiendo inflación, algún nivel de contracción es  Un gobierno </w:t>
      </w:r>
      <w:r>
        <w:lastRenderedPageBreak/>
        <w:t xml:space="preserve">que crece al 10% anual pero tiene inflación al 50% está apretando el cinturón (porque la estabilidad se perdió).  En cambio, un gobierno que crece al 3% pero controla la inflación está en mejor posición macro.  La actividad es </w:t>
      </w:r>
      <w:r w:rsidR="001B4D67">
        <w:t xml:space="preserve">indicador de éxito </w:t>
      </w:r>
      <w:r>
        <w:t>pero no es la medida central de tensión. Por eso pesa 15% (peso más bajo).</w:t>
      </w:r>
    </w:p>
    <w:p w14:paraId="5E494CF6" w14:textId="77777777" w:rsidR="006D3E2B" w:rsidRDefault="00000000">
      <w:pPr>
        <w:pStyle w:val="Ttulo1"/>
      </w:pPr>
      <w:r>
        <w:t>Conclusión: Tensión Macroeconómica en el Proyecto Milei</w:t>
      </w:r>
    </w:p>
    <w:p w14:paraId="3D1A70E1" w14:textId="77777777" w:rsidR="006D3E2B" w:rsidRDefault="00000000">
      <w:pPr>
        <w:spacing w:after="120" w:line="360" w:lineRule="auto"/>
      </w:pPr>
      <w:r>
        <w:t>El ITCM de 61,45 indica que el cinturón macroeconómico del gobierno Milei está en EQUILIBRIO DINÁMICO pero FRÁGIL.</w:t>
      </w:r>
    </w:p>
    <w:p w14:paraId="3A6936B7" w14:textId="77777777" w:rsidR="006D3E2B" w:rsidRDefault="00000000">
      <w:pPr>
        <w:spacing w:after="120" w:line="360" w:lineRule="auto"/>
      </w:pPr>
      <w:r>
        <w:t>Usando la terminología de Matus-CIGOB: el gobierno está "apretando" el cinturón macro de forma CONTROLADA pero los márgenes son ESTRECHOS. Si comete errores en secuenciación de reformas, o si shocks externos deterioran las condiciones, rápidamente pasaría a "apretar" de manera más severa.</w:t>
      </w:r>
    </w:p>
    <w:p w14:paraId="7164CF30" w14:textId="77777777" w:rsidR="006D3E2B" w:rsidRDefault="00000000">
      <w:pPr>
        <w:spacing w:after="400" w:line="360" w:lineRule="auto"/>
      </w:pPr>
      <w:r w:rsidRPr="00764D6D">
        <w:rPr>
          <w:highlight w:val="yellow"/>
        </w:rPr>
        <w:t>La tensión más crítica está en la DESCONEXIÓN entre: • Lo que el mercado SABE (inflación controlada a 2,58%) • Lo que el mercado CREE que ocurrirá (</w:t>
      </w:r>
      <w:proofErr w:type="spellStart"/>
      <w:r w:rsidRPr="00764D6D">
        <w:rPr>
          <w:highlight w:val="yellow"/>
        </w:rPr>
        <w:t>re-aceleración</w:t>
      </w:r>
      <w:proofErr w:type="spellEnd"/>
      <w:r w:rsidRPr="00764D6D">
        <w:rPr>
          <w:highlight w:val="yellow"/>
        </w:rPr>
        <w:t xml:space="preserve"> a 24,2%)  Esta brecha es donde se aloja el riesgo más significativo para el cinturón macro en los próximos meses</w:t>
      </w:r>
      <w:r>
        <w:t>.</w:t>
      </w:r>
    </w:p>
    <w:p w14:paraId="436D53EE" w14:textId="77777777" w:rsidR="006D3E2B" w:rsidRDefault="00000000">
      <w:pPr>
        <w:pBdr>
          <w:top w:val="single" w:sz="6" w:space="0" w:color="1F4E78"/>
        </w:pBdr>
        <w:spacing w:before="400"/>
        <w:jc w:val="center"/>
      </w:pPr>
      <w:r>
        <w:rPr>
          <w:b/>
          <w:bCs/>
          <w:color w:val="1F4E78"/>
          <w:sz w:val="20"/>
          <w:szCs w:val="20"/>
        </w:rPr>
        <w:t>Fundación CIGOB - Ciencias y Métodos de Gobierno</w:t>
      </w:r>
    </w:p>
    <w:p w14:paraId="5439B617" w14:textId="77777777" w:rsidR="006D3E2B" w:rsidRDefault="00000000">
      <w:pPr>
        <w:jc w:val="center"/>
      </w:pPr>
      <w:r>
        <w:rPr>
          <w:color w:val="595959"/>
          <w:sz w:val="20"/>
          <w:szCs w:val="20"/>
        </w:rPr>
        <w:t>Mayo 2026</w:t>
      </w:r>
    </w:p>
    <w:sectPr w:rsidR="006D3E2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0427C"/>
    <w:multiLevelType w:val="hybridMultilevel"/>
    <w:tmpl w:val="B9F217A2"/>
    <w:lvl w:ilvl="0" w:tplc="FFF29C5A">
      <w:start w:val="1"/>
      <w:numFmt w:val="bullet"/>
      <w:lvlText w:val="●"/>
      <w:lvlJc w:val="left"/>
      <w:pPr>
        <w:ind w:left="720" w:hanging="360"/>
      </w:pPr>
    </w:lvl>
    <w:lvl w:ilvl="1" w:tplc="98962726">
      <w:start w:val="1"/>
      <w:numFmt w:val="bullet"/>
      <w:lvlText w:val="○"/>
      <w:lvlJc w:val="left"/>
      <w:pPr>
        <w:ind w:left="1440" w:hanging="360"/>
      </w:pPr>
    </w:lvl>
    <w:lvl w:ilvl="2" w:tplc="61067ABA">
      <w:start w:val="1"/>
      <w:numFmt w:val="bullet"/>
      <w:lvlText w:val="■"/>
      <w:lvlJc w:val="left"/>
      <w:pPr>
        <w:ind w:left="2160" w:hanging="360"/>
      </w:pPr>
    </w:lvl>
    <w:lvl w:ilvl="3" w:tplc="D1C897A4">
      <w:start w:val="1"/>
      <w:numFmt w:val="bullet"/>
      <w:lvlText w:val="●"/>
      <w:lvlJc w:val="left"/>
      <w:pPr>
        <w:ind w:left="2880" w:hanging="360"/>
      </w:pPr>
    </w:lvl>
    <w:lvl w:ilvl="4" w:tplc="E67817EE">
      <w:start w:val="1"/>
      <w:numFmt w:val="bullet"/>
      <w:lvlText w:val="○"/>
      <w:lvlJc w:val="left"/>
      <w:pPr>
        <w:ind w:left="3600" w:hanging="360"/>
      </w:pPr>
    </w:lvl>
    <w:lvl w:ilvl="5" w:tplc="506225E8">
      <w:start w:val="1"/>
      <w:numFmt w:val="bullet"/>
      <w:lvlText w:val="■"/>
      <w:lvlJc w:val="left"/>
      <w:pPr>
        <w:ind w:left="4320" w:hanging="360"/>
      </w:pPr>
    </w:lvl>
    <w:lvl w:ilvl="6" w:tplc="A4FC04A0">
      <w:start w:val="1"/>
      <w:numFmt w:val="bullet"/>
      <w:lvlText w:val="●"/>
      <w:lvlJc w:val="left"/>
      <w:pPr>
        <w:ind w:left="5040" w:hanging="360"/>
      </w:pPr>
    </w:lvl>
    <w:lvl w:ilvl="7" w:tplc="EB06D84C">
      <w:start w:val="1"/>
      <w:numFmt w:val="bullet"/>
      <w:lvlText w:val="●"/>
      <w:lvlJc w:val="left"/>
      <w:pPr>
        <w:ind w:left="5760" w:hanging="360"/>
      </w:pPr>
    </w:lvl>
    <w:lvl w:ilvl="8" w:tplc="62527EAE">
      <w:start w:val="1"/>
      <w:numFmt w:val="bullet"/>
      <w:lvlText w:val="●"/>
      <w:lvlJc w:val="left"/>
      <w:pPr>
        <w:ind w:left="6480" w:hanging="360"/>
      </w:pPr>
    </w:lvl>
  </w:abstractNum>
  <w:num w:numId="1" w16cid:durableId="1491824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E2B"/>
    <w:rsid w:val="000C7F88"/>
    <w:rsid w:val="001B4D67"/>
    <w:rsid w:val="006C702D"/>
    <w:rsid w:val="006D3E2B"/>
    <w:rsid w:val="00764D6D"/>
    <w:rsid w:val="00D71F49"/>
    <w:rsid w:val="00DD7A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9EE48B3"/>
  <w15:docId w15:val="{31E23139-8E2F-0A44-9335-347C8585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4E78"/>
      <w:sz w:val="32"/>
      <w:szCs w:val="32"/>
    </w:rPr>
  </w:style>
  <w:style w:type="paragraph" w:styleId="Ttulo2">
    <w:name w:val="heading 2"/>
    <w:uiPriority w:val="9"/>
    <w:unhideWhenUsed/>
    <w:qFormat/>
    <w:pPr>
      <w:spacing w:before="180" w:after="100"/>
      <w:outlineLvl w:val="1"/>
    </w:pPr>
    <w:rPr>
      <w:b/>
      <w:bCs/>
      <w:color w:val="2E5C8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2149</Words>
  <Characters>12357</Characters>
  <Application>Microsoft Office Word</Application>
  <DocSecurity>0</DocSecurity>
  <Lines>205</Lines>
  <Paragraphs>109</Paragraphs>
  <ScaleCrop>false</ScaleCrop>
  <Company/>
  <LinksUpToDate>false</LinksUpToDate>
  <CharactersWithSpaces>14397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babino</cp:lastModifiedBy>
  <cp:revision>6</cp:revision>
  <dcterms:created xsi:type="dcterms:W3CDTF">2026-06-02T19:43:00Z</dcterms:created>
  <dcterms:modified xsi:type="dcterms:W3CDTF">2026-06-25T23:26:00Z</dcterms:modified>
</cp:coreProperties>
</file>