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 metodológicas · Cinturón Impacto social</w:t>
      </w:r>
    </w:p>
    <w:p>
      <w:pPr>
        <w:pStyle w:val="Subtitle"/>
      </w:pPr>
      <w:r>
        <w:t xml:space="preserve">Informe de Coyuntura · Capa de semáforo (4 colores)</w:t>
      </w:r>
    </w:p>
    <w:p>
      <w:pPr>
        <w:pStyle w:val="Author"/>
      </w:pPr>
      <w:r>
        <w:t xml:space="preserve">Fundación CIGOB</w:t>
      </w:r>
    </w:p>
    <w:p>
      <w:pPr>
        <w:pStyle w:val="FirstParagraph"/>
      </w:pPr>
      <w:r>
        <w:rPr>
          <w:b/>
          <w:bCs/>
        </w:rPr>
        <w:t xml:space="preserve">CIGOB · INFORME DE COYUNTURA</w:t>
      </w:r>
    </w:p>
    <w:bookmarkStart w:id="23" w:name="cinturón-impacto-social-resumen"/>
    <w:p>
      <w:pPr>
        <w:pStyle w:val="Heading1"/>
      </w:pPr>
      <w:r>
        <w:t xml:space="preserve">Cinturón Impacto social — resumen</w:t>
      </w:r>
    </w:p>
    <w:p>
      <w:pPr>
        <w:pStyle w:val="FirstParagraph"/>
      </w:pPr>
      <w:r>
        <w:t xml:space="preserve">Este documento tiene una ficha por indicador — son 18 en total, y cada una arranca en página nueva. Antes de las fichas, el cinturón completo de un vistazo.</w:t>
      </w:r>
    </w:p>
    <w:bookmarkStart w:id="19" w:name="cómo-se-define-el-color"/>
    <w:p>
      <w:pPr>
        <w:pStyle w:val="Heading2"/>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
          <w:bCs/>
        </w:rPr>
        <w:t xml:space="preserve">tensión de 0 a 10</w:t>
      </w:r>
      <w:r>
        <w:t xml:space="preserve"> </w:t>
      </w:r>
      <w:r>
        <w:t xml:space="preserve">que publica el informe. Se parte en cuatro tramos y esos tramos son los mismos para todo.</w:t>
      </w:r>
    </w:p>
    <w:p>
      <w:pPr>
        <w:pStyle w:val="BodyText"/>
      </w:pPr>
      <w:r>
        <w:t xml:space="preserve">El ITVC no es un puntaje de 0 a 100: usa una escala continua donde 100 equivale a tensión 5. En 17 componentes, 100 es el promedio del 4º trimestre de 2023; la canasta de servicios públicos es la excepción: 100 surge de referencias internacionales de asequibilidad. La tensión sale de 5 − (índice − 100) × 0,2 en ambos casos.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Tensión</w:t>
            </w:r>
          </w:p>
        </w:tc>
        <w:tc>
          <w:tcPr/>
          <w:p>
            <w:pPr>
              <w:pStyle w:val="Compact"/>
            </w:pPr>
            <w:r>
              <w:t xml:space="preserve">Índice del ITCIS y de sus dimensiones (100 = tensión 5)</w:t>
            </w:r>
          </w:p>
        </w:tc>
        <w:tc>
          <w:tcPr/>
          <w:p>
            <w:pPr>
              <w:pStyle w:val="Compact"/>
            </w:pPr>
            <w:r>
              <w:t xml:space="preserve">Color</w:t>
            </w:r>
          </w:p>
        </w:tc>
      </w:tr>
      <w:tr>
        <w:tc>
          <w:tcPr/>
          <w:p>
            <w:pPr>
              <w:pStyle w:val="Compact"/>
            </w:pPr>
            <w:r>
              <w:t xml:space="preserve">hasta 4</w:t>
            </w:r>
          </w:p>
        </w:tc>
        <w:tc>
          <w:tcPr/>
          <w:p>
            <w:pPr>
              <w:pStyle w:val="Compact"/>
            </w:pPr>
            <w:r>
              <w:t xml:space="preserve">105 o más</w:t>
            </w:r>
          </w:p>
        </w:tc>
        <w:tc>
          <w:tcPr/>
          <w:p>
            <w:pPr>
              <w:pStyle w:val="Compact"/>
            </w:pPr>
            <w:r>
              <w:t xml:space="preserve">VERDE</w:t>
            </w:r>
          </w:p>
        </w:tc>
      </w:tr>
      <w:tr>
        <w:tc>
          <w:tcPr/>
          <w:p>
            <w:pPr>
              <w:pStyle w:val="Compact"/>
            </w:pPr>
            <w:r>
              <w:t xml:space="preserve">más de 4 y hasta 6</w:t>
            </w:r>
          </w:p>
        </w:tc>
        <w:tc>
          <w:tcPr/>
          <w:p>
            <w:pPr>
              <w:pStyle w:val="Compact"/>
            </w:pPr>
            <w:r>
              <w:t xml:space="preserve">de 95 a 105</w:t>
            </w:r>
          </w:p>
        </w:tc>
        <w:tc>
          <w:tcPr/>
          <w:p>
            <w:pPr>
              <w:pStyle w:val="Compact"/>
            </w:pPr>
            <w:r>
              <w:t xml:space="preserve">AMARILLO</w:t>
            </w:r>
          </w:p>
        </w:tc>
      </w:tr>
      <w:tr>
        <w:tc>
          <w:tcPr/>
          <w:p>
            <w:pPr>
              <w:pStyle w:val="Compact"/>
            </w:pPr>
            <w:r>
              <w:t xml:space="preserve">más de 6 y hasta 8</w:t>
            </w:r>
          </w:p>
        </w:tc>
        <w:tc>
          <w:tcPr/>
          <w:p>
            <w:pPr>
              <w:pStyle w:val="Compact"/>
            </w:pPr>
            <w:r>
              <w:t xml:space="preserve">de 85 a 95</w:t>
            </w:r>
          </w:p>
        </w:tc>
        <w:tc>
          <w:tcPr/>
          <w:p>
            <w:pPr>
              <w:pStyle w:val="Compact"/>
            </w:pPr>
            <w:r>
              <w:t xml:space="preserve">NARANJA</w:t>
            </w:r>
          </w:p>
        </w:tc>
      </w:tr>
      <w:tr>
        <w:tc>
          <w:tcPr/>
          <w:p>
            <w:pPr>
              <w:pStyle w:val="Compact"/>
            </w:pPr>
            <w:r>
              <w:t xml:space="preserve">más de 8</w:t>
            </w:r>
          </w:p>
        </w:tc>
        <w:tc>
          <w:tcPr/>
          <w:p>
            <w:pPr>
              <w:pStyle w:val="Compact"/>
            </w:pPr>
            <w:r>
              <w:t xml:space="preserve">menos de 85</w:t>
            </w:r>
          </w:p>
        </w:tc>
        <w:tc>
          <w:tcPr/>
          <w:p>
            <w:pPr>
              <w:pStyle w:val="Compact"/>
            </w:pPr>
            <w:r>
              <w:t xml:space="preserve">ROJO</w:t>
            </w:r>
          </w:p>
        </w:tc>
      </w:tr>
    </w:tbl>
    <w:p>
      <w:pPr>
        <w:pStyle w:val="BodyText"/>
      </w:pPr>
      <w:r>
        <w:rPr>
          <w:b/>
          <w:bCs/>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
          <w:bCs/>
        </w:rPr>
        <w:t xml:space="preserve">CIGOB · INFORME DE COYUNTURA</w:t>
      </w:r>
    </w:p>
    <w:bookmarkEnd w:id="19"/>
    <w:bookmarkStart w:id="20" w:name="itcis-el-índice-del-cinturón"/>
    <w:p>
      <w:pPr>
        <w:pStyle w:val="Heading2"/>
      </w:pPr>
      <w:r>
        <w:t xml:space="preserve">ITCIS — el índice del cinturón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ITCIS: 93,8</w:t>
            </w:r>
          </w:p>
        </w:tc>
        <w:tc>
          <w:tcPr/>
          <w:p>
            <w:pPr>
              <w:pStyle w:val="Compact"/>
            </w:pPr>
            <w:r>
              <w:rPr>
                <w:b/>
                <w:bCs/>
              </w:rPr>
              <w:t xml:space="preserve">NARANJA</w:t>
            </w:r>
          </w:p>
        </w:tc>
        <w:tc>
          <w:tcPr/>
          <w:p>
            <w:pPr>
              <w:pStyle w:val="Compact"/>
            </w:pPr>
            <w:r>
              <w:t xml:space="preserve">Deterioro moderado frente a las referencias</w:t>
            </w:r>
          </w:p>
        </w:tc>
        <w:tc>
          <w:tcPr/>
          <w:p>
            <w:pPr>
              <w:pStyle w:val="Compact"/>
            </w:pPr>
            <w:r>
              <w:t xml:space="preserve">18 indicadores: 6 en verde · 3 en amarillo · 6 en naranja · 3 en rojo</w:t>
            </w:r>
          </w:p>
        </w:tc>
      </w:tr>
    </w:tbl>
    <w:bookmarkEnd w:id="20"/>
    <w:bookmarkStart w:id="21" w:name="dimensiones"/>
    <w:p>
      <w:pPr>
        <w:pStyle w:val="Heading2"/>
      </w:pPr>
      <w:r>
        <w:t xml:space="preserve">Dimensiones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w:t>
            </w:r>
          </w:p>
        </w:tc>
        <w:tc>
          <w:tcPr/>
          <w:p>
            <w:pPr>
              <w:pStyle w:val="Compact"/>
            </w:pPr>
            <w:r>
              <w:t xml:space="preserve">Qué mide</w:t>
            </w:r>
          </w:p>
        </w:tc>
        <w:tc>
          <w:tcPr/>
          <w:p>
            <w:pPr>
              <w:pStyle w:val="Compact"/>
            </w:pPr>
            <w:r>
              <w:t xml:space="preserve">Índice</w:t>
            </w:r>
          </w:p>
        </w:tc>
        <w:tc>
          <w:tcPr/>
          <w:p>
            <w:pPr>
              <w:pStyle w:val="Compact"/>
            </w:pPr>
            <w:r>
              <w:t xml:space="preserve">Color</w:t>
            </w:r>
          </w:p>
        </w:tc>
        <w:tc>
          <w:tcPr/>
          <w:p>
            <w:pPr>
              <w:pStyle w:val="Compact"/>
            </w:pPr>
            <w:r>
              <w:t xml:space="preserve">Peso</w:t>
            </w:r>
          </w:p>
        </w:tc>
      </w:tr>
      <w:tr>
        <w:tc>
          <w:tcPr/>
          <w:p>
            <w:pPr>
              <w:pStyle w:val="Compact"/>
            </w:pPr>
            <w:r>
              <w:t xml:space="preserve">Ingresos y consumo</w:t>
            </w:r>
          </w:p>
        </w:tc>
        <w:tc>
          <w:tcPr/>
          <w:p>
            <w:pPr>
              <w:pStyle w:val="Compact"/>
            </w:pPr>
            <w:r>
              <w:t xml:space="preserve">Si el sueldo alcanza y qué compra.</w:t>
            </w:r>
          </w:p>
        </w:tc>
        <w:tc>
          <w:tcPr/>
          <w:p>
            <w:pPr>
              <w:pStyle w:val="Compact"/>
            </w:pPr>
            <w:r>
              <w:t xml:space="preserve">112,4</w:t>
            </w:r>
          </w:p>
        </w:tc>
        <w:tc>
          <w:tcPr/>
          <w:p>
            <w:pPr>
              <w:pStyle w:val="Compact"/>
            </w:pPr>
            <w:r>
              <w:t xml:space="preserve">VERDE</w:t>
            </w:r>
          </w:p>
        </w:tc>
        <w:tc>
          <w:tcPr/>
          <w:p>
            <w:pPr>
              <w:pStyle w:val="Compact"/>
            </w:pPr>
            <w:r>
              <w:t xml:space="preserve">28,1 %</w:t>
            </w:r>
          </w:p>
        </w:tc>
      </w:tr>
      <w:tr>
        <w:tc>
          <w:tcPr/>
          <w:p>
            <w:pPr>
              <w:pStyle w:val="Compact"/>
            </w:pPr>
            <w:r>
              <w:t xml:space="preserve">Presión de precios</w:t>
            </w:r>
          </w:p>
        </w:tc>
        <w:tc>
          <w:tcPr/>
          <w:p>
            <w:pPr>
              <w:pStyle w:val="Compact"/>
            </w:pPr>
            <w:r>
              <w:t xml:space="preserve">Tres gastos sensibles.</w:t>
            </w:r>
          </w:p>
        </w:tc>
        <w:tc>
          <w:tcPr/>
          <w:p>
            <w:pPr>
              <w:pStyle w:val="Compact"/>
            </w:pPr>
            <w:r>
              <w:t xml:space="preserve">101,3</w:t>
            </w:r>
          </w:p>
        </w:tc>
        <w:tc>
          <w:tcPr/>
          <w:p>
            <w:pPr>
              <w:pStyle w:val="Compact"/>
            </w:pPr>
            <w:r>
              <w:t xml:space="preserve">AMARILLO</w:t>
            </w:r>
          </w:p>
        </w:tc>
        <w:tc>
          <w:tcPr/>
          <w:p>
            <w:pPr>
              <w:pStyle w:val="Compact"/>
            </w:pPr>
            <w:r>
              <w:t xml:space="preserve">25,0 %</w:t>
            </w:r>
          </w:p>
        </w:tc>
      </w:tr>
      <w:tr>
        <w:tc>
          <w:tcPr/>
          <w:p>
            <w:pPr>
              <w:pStyle w:val="Compact"/>
            </w:pPr>
            <w:r>
              <w:t xml:space="preserve">Prospectivas de empleo</w:t>
            </w:r>
          </w:p>
        </w:tc>
        <w:tc>
          <w:tcPr/>
          <w:p>
            <w:pPr>
              <w:pStyle w:val="Compact"/>
            </w:pPr>
            <w:r>
              <w:t xml:space="preserve">El trabajo por sus dos caras: cuánto hay y de qué calidad es.</w:t>
            </w:r>
          </w:p>
        </w:tc>
        <w:tc>
          <w:tcPr/>
          <w:p>
            <w:pPr>
              <w:pStyle w:val="Compact"/>
            </w:pPr>
            <w:r>
              <w:t xml:space="preserve">92,5</w:t>
            </w:r>
          </w:p>
        </w:tc>
        <w:tc>
          <w:tcPr/>
          <w:p>
            <w:pPr>
              <w:pStyle w:val="Compact"/>
            </w:pPr>
            <w:r>
              <w:t xml:space="preserve">NARANJA</w:t>
            </w:r>
          </w:p>
        </w:tc>
        <w:tc>
          <w:tcPr/>
          <w:p>
            <w:pPr>
              <w:pStyle w:val="Compact"/>
            </w:pPr>
            <w:r>
              <w:t xml:space="preserve">24,2 %</w:t>
            </w:r>
          </w:p>
        </w:tc>
      </w:tr>
      <w:tr>
        <w:tc>
          <w:tcPr/>
          <w:p>
            <w:pPr>
              <w:pStyle w:val="Compact"/>
            </w:pPr>
            <w:r>
              <w:t xml:space="preserve">Vulnerabilidad financiera</w:t>
            </w:r>
          </w:p>
        </w:tc>
        <w:tc>
          <w:tcPr/>
          <w:p>
            <w:pPr>
              <w:pStyle w:val="Compact"/>
            </w:pPr>
            <w:r>
              <w:t xml:space="preserve">Cuán expuestas están las familias por su deuda de consumo, medida por la mora de esa cartera: qué proporción del crédito de consumo está en situación irregular.</w:t>
            </w:r>
          </w:p>
        </w:tc>
        <w:tc>
          <w:tcPr/>
          <w:p>
            <w:pPr>
              <w:pStyle w:val="Compact"/>
            </w:pPr>
            <w:r>
              <w:t xml:space="preserve">17,2</w:t>
            </w:r>
          </w:p>
        </w:tc>
        <w:tc>
          <w:tcPr/>
          <w:p>
            <w:pPr>
              <w:pStyle w:val="Compact"/>
            </w:pPr>
            <w:r>
              <w:t xml:space="preserve">ROJO</w:t>
            </w:r>
          </w:p>
        </w:tc>
        <w:tc>
          <w:tcPr/>
          <w:p>
            <w:pPr>
              <w:pStyle w:val="Compact"/>
            </w:pPr>
            <w:r>
              <w:t xml:space="preserve">10,0 %</w:t>
            </w:r>
          </w:p>
        </w:tc>
      </w:tr>
      <w:tr>
        <w:tc>
          <w:tcPr/>
          <w:p>
            <w:pPr>
              <w:pStyle w:val="Compact"/>
            </w:pPr>
            <w:r>
              <w:t xml:space="preserve">Confianza y percepción</w:t>
            </w:r>
          </w:p>
        </w:tc>
        <w:tc>
          <w:tcPr/>
          <w:p>
            <w:pPr>
              <w:pStyle w:val="Compact"/>
            </w:pPr>
            <w:r>
              <w:t xml:space="preserve">El ánimo con que se vive el momento, medido de dos maneras.</w:t>
            </w:r>
          </w:p>
        </w:tc>
        <w:tc>
          <w:tcPr/>
          <w:p>
            <w:pPr>
              <w:pStyle w:val="Compact"/>
            </w:pPr>
            <w:r>
              <w:t xml:space="preserve">100,1</w:t>
            </w:r>
          </w:p>
        </w:tc>
        <w:tc>
          <w:tcPr/>
          <w:p>
            <w:pPr>
              <w:pStyle w:val="Compact"/>
            </w:pPr>
            <w:r>
              <w:t xml:space="preserve">AMARILLO</w:t>
            </w:r>
          </w:p>
        </w:tc>
        <w:tc>
          <w:tcPr/>
          <w:p>
            <w:pPr>
              <w:pStyle w:val="Compact"/>
            </w:pPr>
            <w:r>
              <w:t xml:space="preserve">8,2 %</w:t>
            </w:r>
          </w:p>
        </w:tc>
      </w:tr>
      <w:tr>
        <w:tc>
          <w:tcPr/>
          <w:p>
            <w:pPr>
              <w:pStyle w:val="Compact"/>
            </w:pPr>
            <w:r>
              <w:t xml:space="preserve">Seguridad</w:t>
            </w:r>
          </w:p>
        </w:tc>
        <w:tc>
          <w:tcPr/>
          <w:p>
            <w:pPr>
              <w:pStyle w:val="Compact"/>
            </w:pPr>
            <w:r>
              <w:t xml:space="preserve">Qué proporción de los hogares fue víctima de un delito.</w:t>
            </w:r>
          </w:p>
        </w:tc>
        <w:tc>
          <w:tcPr/>
          <w:p>
            <w:pPr>
              <w:pStyle w:val="Compact"/>
            </w:pPr>
            <w:r>
              <w:t xml:space="preserve">102,1</w:t>
            </w:r>
          </w:p>
        </w:tc>
        <w:tc>
          <w:tcPr/>
          <w:p>
            <w:pPr>
              <w:pStyle w:val="Compact"/>
            </w:pPr>
            <w:r>
              <w:t xml:space="preserve">AMARILLO</w:t>
            </w:r>
          </w:p>
        </w:tc>
        <w:tc>
          <w:tcPr/>
          <w:p>
            <w:pPr>
              <w:pStyle w:val="Compact"/>
            </w:pPr>
            <w:r>
              <w:t xml:space="preserve">4,5 %</w:t>
            </w:r>
          </w:p>
        </w:tc>
      </w:tr>
    </w:tbl>
    <w:p>
      <w:r>
        <w:br w:type="page"/>
      </w:r>
    </w:p>
    <w:p>
      <w:pPr>
        <w:pStyle w:val="BodyText"/>
      </w:pPr>
      <w:r>
        <w:rPr>
          <w:b/>
          <w:bCs/>
        </w:rPr>
        <w:t xml:space="preserve">CIGOB · INFORME DE COYUNTURA</w:t>
      </w:r>
    </w:p>
    <w:bookmarkEnd w:id="21"/>
    <w:bookmarkStart w:id="22" w:name="todos-los-indicadores"/>
    <w:p>
      <w:pPr>
        <w:pStyle w:val="Heading2"/>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Indicador</w:t>
            </w:r>
          </w:p>
        </w:tc>
        <w:tc>
          <w:tcPr/>
          <w:p>
            <w:pPr>
              <w:pStyle w:val="Compact"/>
            </w:pPr>
            <w:r>
              <w:t xml:space="preserve">Qué mide</w:t>
            </w:r>
          </w:p>
        </w:tc>
        <w:tc>
          <w:tcPr/>
          <w:p>
            <w:pPr>
              <w:pStyle w:val="Compact"/>
            </w:pPr>
            <w:r>
              <w:t xml:space="preserve">Hoy</w:t>
            </w:r>
          </w:p>
        </w:tc>
        <w:tc>
          <w:tcPr/>
          <w:p>
            <w:pPr>
              <w:pStyle w:val="Compact"/>
            </w:pPr>
            <w:r>
              <w:t xml:space="preserve">Color</w:t>
            </w:r>
          </w:p>
        </w:tc>
        <w:tc>
          <w:tcPr/>
          <w:p>
            <w:pPr>
              <w:pStyle w:val="Compact"/>
            </w:pPr>
            <w:r>
              <w:t xml:space="preserve">Peso en el ITCIS</w:t>
            </w:r>
          </w:p>
        </w:tc>
      </w:tr>
      <w:tr>
        <w:tc>
          <w:tcPr/>
          <w:p>
            <w:pPr>
              <w:pStyle w:val="Compact"/>
            </w:pPr>
            <w:r>
              <w:rPr>
                <w:b/>
                <w:bCs/>
              </w:rPr>
              <w:t xml:space="preserve">DIMENSIÓN: Ingresos y consumo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Salario real vs. canasta</w:t>
            </w:r>
          </w:p>
        </w:tc>
        <w:tc>
          <w:tcPr/>
          <w:p>
            <w:pPr>
              <w:pStyle w:val="Compact"/>
            </w:pPr>
            <w:r>
              <w:t xml:space="preserve">Cuántas canastas básicas totales alcanza a cubrir el salario formal promedio.</w:t>
            </w:r>
          </w:p>
        </w:tc>
        <w:tc>
          <w:tcPr/>
          <w:p>
            <w:pPr>
              <w:pStyle w:val="Compact"/>
            </w:pPr>
            <w:r>
              <w:t xml:space="preserve">3,87 canastas (RIPTE/CBT)</w:t>
            </w:r>
          </w:p>
        </w:tc>
        <w:tc>
          <w:tcPr/>
          <w:p>
            <w:pPr>
              <w:pStyle w:val="Compact"/>
            </w:pPr>
            <w:r>
              <w:t xml:space="preserve">VERDE</w:t>
            </w:r>
          </w:p>
        </w:tc>
        <w:tc>
          <w:tcPr/>
          <w:p>
            <w:pPr>
              <w:pStyle w:val="Compact"/>
            </w:pPr>
            <w:r>
              <w:t xml:space="preserve">13,4 %</w:t>
            </w:r>
          </w:p>
        </w:tc>
      </w:tr>
      <w:tr>
        <w:tc>
          <w:tcPr/>
          <w:p>
            <w:pPr>
              <w:pStyle w:val="Compact"/>
            </w:pPr>
            <w:r>
              <w:t xml:space="preserve">Consumo total de carnes per cápita</w:t>
            </w:r>
          </w:p>
        </w:tc>
        <w:tc>
          <w:tcPr/>
          <w:p>
            <w:pPr>
              <w:pStyle w:val="Compact"/>
            </w:pPr>
            <w:r>
              <w:t xml:space="preserve">Los kilos de carne por habitante y por año sumando vacuna, aviar y porcina, en promedio móvil de doce meses.</w:t>
            </w:r>
          </w:p>
        </w:tc>
        <w:tc>
          <w:tcPr/>
          <w:p>
            <w:pPr>
              <w:pStyle w:val="Compact"/>
            </w:pPr>
            <w:r>
              <w:t xml:space="preserve">114,45 kg/hab/año</w:t>
            </w:r>
          </w:p>
        </w:tc>
        <w:tc>
          <w:tcPr/>
          <w:p>
            <w:pPr>
              <w:pStyle w:val="Compact"/>
            </w:pPr>
            <w:r>
              <w:t xml:space="preserve">AMARILLO</w:t>
            </w:r>
          </w:p>
        </w:tc>
        <w:tc>
          <w:tcPr/>
          <w:p>
            <w:pPr>
              <w:pStyle w:val="Compact"/>
            </w:pPr>
            <w:r>
              <w:t xml:space="preserve">0,9 %</w:t>
            </w:r>
          </w:p>
        </w:tc>
      </w:tr>
      <w:tr>
        <w:tc>
          <w:tcPr/>
          <w:p>
            <w:pPr>
              <w:pStyle w:val="Compact"/>
            </w:pPr>
            <w:r>
              <w:t xml:space="preserve">Pobreza (estimación mensual)</w:t>
            </w:r>
          </w:p>
        </w:tc>
        <w:tc>
          <w:tcPr/>
          <w:p>
            <w:pPr>
              <w:pStyle w:val="Compact"/>
            </w:pPr>
            <w:r>
              <w:t xml:space="preserve">El porcentaje de personas que viven en hogares urbanos pobres, estimado para el semestre móvil que termina en el mes…</w:t>
            </w:r>
          </w:p>
        </w:tc>
        <w:tc>
          <w:tcPr/>
          <w:p>
            <w:pPr>
              <w:pStyle w:val="Compact"/>
            </w:pPr>
            <w:r>
              <w:t xml:space="preserve">31,6 % de personas</w:t>
            </w:r>
          </w:p>
        </w:tc>
        <w:tc>
          <w:tcPr/>
          <w:p>
            <w:pPr>
              <w:pStyle w:val="Compact"/>
            </w:pPr>
            <w:r>
              <w:t xml:space="preserve">VERDE</w:t>
            </w:r>
          </w:p>
        </w:tc>
        <w:tc>
          <w:tcPr/>
          <w:p>
            <w:pPr>
              <w:pStyle w:val="Compact"/>
            </w:pPr>
            <w:r>
              <w:t xml:space="preserve">7,3 %</w:t>
            </w:r>
          </w:p>
        </w:tc>
      </w:tr>
      <w:tr>
        <w:tc>
          <w:tcPr/>
          <w:p>
            <w:pPr>
              <w:pStyle w:val="Compact"/>
            </w:pPr>
            <w:r>
              <w:t xml:space="preserve">Motorización total</w:t>
            </w:r>
          </w:p>
        </w:tc>
        <w:tc>
          <w:tcPr/>
          <w:p>
            <w:pPr>
              <w:pStyle w:val="Compact"/>
            </w:pPr>
            <w:r>
              <w:t xml:space="preserve">Cuántos vehículos 0 kilómetro —autos y motos sumados— se incorporan por cada mil habitantes en una ventana móvil de…</w:t>
            </w:r>
          </w:p>
        </w:tc>
        <w:tc>
          <w:tcPr/>
          <w:p>
            <w:pPr>
              <w:pStyle w:val="Compact"/>
            </w:pPr>
            <w:r>
              <w:t xml:space="preserve">30,9 vehículos 0km por cada 1.000 habitantes (12 meses)</w:t>
            </w:r>
          </w:p>
        </w:tc>
        <w:tc>
          <w:tcPr/>
          <w:p>
            <w:pPr>
              <w:pStyle w:val="Compact"/>
            </w:pPr>
            <w:r>
              <w:t xml:space="preserve">VERDE</w:t>
            </w:r>
          </w:p>
        </w:tc>
        <w:tc>
          <w:tcPr/>
          <w:p>
            <w:pPr>
              <w:pStyle w:val="Compact"/>
            </w:pPr>
            <w:r>
              <w:t xml:space="preserve">0,9 %</w:t>
            </w:r>
          </w:p>
        </w:tc>
      </w:tr>
      <w:tr>
        <w:tc>
          <w:tcPr/>
          <w:p>
            <w:pPr>
              <w:pStyle w:val="Compact"/>
            </w:pPr>
            <w:r>
              <w:t xml:space="preserve">Ventas en supermercados</w:t>
            </w:r>
          </w:p>
        </w:tc>
        <w:tc>
          <w:tcPr/>
          <w:p>
            <w:pPr>
              <w:pStyle w:val="Compact"/>
            </w:pPr>
            <w:r>
              <w:t xml:space="preserve">Cuánto compra la gente en los supermercados una vez descontada la inflación.</w:t>
            </w:r>
          </w:p>
        </w:tc>
        <w:tc>
          <w:tcPr/>
          <w:p>
            <w:pPr>
              <w:pStyle w:val="Compact"/>
            </w:pPr>
            <w:r>
              <w:t xml:space="preserve">83,2 índice (2004 = 100, desestacionalizado)</w:t>
            </w:r>
          </w:p>
        </w:tc>
        <w:tc>
          <w:tcPr/>
          <w:p>
            <w:pPr>
              <w:pStyle w:val="Compact"/>
            </w:pPr>
            <w:r>
              <w:t xml:space="preserve">NARANJA</w:t>
            </w:r>
          </w:p>
        </w:tc>
        <w:tc>
          <w:tcPr/>
          <w:p>
            <w:pPr>
              <w:pStyle w:val="Compact"/>
            </w:pPr>
            <w:r>
              <w:t xml:space="preserve">5,6 %</w:t>
            </w:r>
          </w:p>
        </w:tc>
      </w:tr>
      <w:tr>
        <w:tc>
          <w:tcPr/>
          <w:p>
            <w:pPr>
              <w:pStyle w:val="Compact"/>
            </w:pPr>
            <w:r>
              <w:rPr>
                <w:b/>
                <w:bCs/>
              </w:rPr>
              <w:t xml:space="preserve">DIMENSIÓN: Presión de precios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Inflación de alimentos</w:t>
            </w:r>
          </w:p>
        </w:tc>
        <w:tc>
          <w:tcPr/>
          <w:p>
            <w:pPr>
              <w:pStyle w:val="Compact"/>
            </w:pPr>
            <w:r>
              <w:t xml:space="preserve">Cuánto suben en el mes los precios de alimentos y bebidas.</w:t>
            </w:r>
          </w:p>
        </w:tc>
        <w:tc>
          <w:tcPr/>
          <w:p>
            <w:pPr>
              <w:pStyle w:val="Compact"/>
            </w:pPr>
            <w:r>
              <w:t xml:space="preserve">1,98 % m/m</w:t>
            </w:r>
          </w:p>
        </w:tc>
        <w:tc>
          <w:tcPr/>
          <w:p>
            <w:pPr>
              <w:pStyle w:val="Compact"/>
            </w:pPr>
            <w:r>
              <w:t xml:space="preserve">VERDE</w:t>
            </w:r>
          </w:p>
        </w:tc>
        <w:tc>
          <w:tcPr/>
          <w:p>
            <w:pPr>
              <w:pStyle w:val="Compact"/>
            </w:pPr>
            <w:r>
              <w:t xml:space="preserve">8,8 %</w:t>
            </w:r>
          </w:p>
        </w:tc>
      </w:tr>
      <w:tr>
        <w:tc>
          <w:tcPr/>
          <w:p>
            <w:pPr>
              <w:pStyle w:val="Compact"/>
            </w:pPr>
            <w:r>
              <w:t xml:space="preserve">Canasta de servicios públicos / salario</w:t>
            </w:r>
          </w:p>
        </w:tc>
        <w:tc>
          <w:tcPr/>
          <w:p>
            <w:pPr>
              <w:pStyle w:val="Compact"/>
            </w:pPr>
            <w:r>
              <w:t xml:space="preserve">Qué porcentaje de un salario RIPTE cuesta la canasta mensual de electricidad, gas, agua y transporte de un hogar…</w:t>
            </w:r>
          </w:p>
        </w:tc>
        <w:tc>
          <w:tcPr/>
          <w:p>
            <w:pPr>
              <w:pStyle w:val="Compact"/>
            </w:pPr>
            <w:r>
              <w:t xml:space="preserve">14,5 % del salario RIPTE</w:t>
            </w:r>
          </w:p>
        </w:tc>
        <w:tc>
          <w:tcPr/>
          <w:p>
            <w:pPr>
              <w:pStyle w:val="Compact"/>
            </w:pPr>
            <w:r>
              <w:t xml:space="preserve">VERDE</w:t>
            </w:r>
          </w:p>
        </w:tc>
        <w:tc>
          <w:tcPr/>
          <w:p>
            <w:pPr>
              <w:pStyle w:val="Compact"/>
            </w:pPr>
            <w:r>
              <w:t xml:space="preserve">11,2 %</w:t>
            </w:r>
          </w:p>
        </w:tc>
      </w:tr>
      <w:tr>
        <w:tc>
          <w:tcPr/>
          <w:p>
            <w:pPr>
              <w:pStyle w:val="Compact"/>
            </w:pPr>
            <w:r>
              <w:t xml:space="preserve">Costo real del alquiler</w:t>
            </w:r>
          </w:p>
        </w:tc>
        <w:tc>
          <w:tcPr/>
          <w:p>
            <w:pPr>
              <w:pStyle w:val="Compact"/>
            </w:pPr>
            <w:r>
              <w:t xml:space="preserve">Cuánto se encareció el alquiler de la vivienda por encima del resto de los precios.</w:t>
            </w:r>
          </w:p>
        </w:tc>
        <w:tc>
          <w:tcPr/>
          <w:p>
            <w:pPr>
              <w:pStyle w:val="Compact"/>
            </w:pPr>
            <w:r>
              <w:t xml:space="preserve">1,47 % m/m alquileres</w:t>
            </w:r>
          </w:p>
        </w:tc>
        <w:tc>
          <w:tcPr/>
          <w:p>
            <w:pPr>
              <w:pStyle w:val="Compact"/>
            </w:pPr>
            <w:r>
              <w:t xml:space="preserve">ROJO</w:t>
            </w:r>
          </w:p>
        </w:tc>
        <w:tc>
          <w:tcPr/>
          <w:p>
            <w:pPr>
              <w:pStyle w:val="Compact"/>
            </w:pPr>
            <w:r>
              <w:t xml:space="preserve">5,0 %</w:t>
            </w:r>
          </w:p>
        </w:tc>
      </w:tr>
      <w:tr>
        <w:tc>
          <w:tcPr/>
          <w:p>
            <w:pPr>
              <w:pStyle w:val="Compact"/>
            </w:pPr>
            <w:r>
              <w:rPr>
                <w:b/>
                <w:bCs/>
              </w:rPr>
              <w:t xml:space="preserve">DIMENSIÓN: Prospectivas de empleo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Informalidad laboral</w:t>
            </w:r>
          </w:p>
        </w:tc>
        <w:tc>
          <w:tcPr/>
          <w:p>
            <w:pPr>
              <w:pStyle w:val="Compact"/>
            </w:pPr>
            <w:r>
              <w:t xml:space="preserve">Qué porcentaje de los asalariados trabaja sin aportes jubilatorios (empleo en negro), según la EPH trimestral del INDEC.</w:t>
            </w:r>
          </w:p>
        </w:tc>
        <w:tc>
          <w:tcPr/>
          <w:p>
            <w:pPr>
              <w:pStyle w:val="Compact"/>
            </w:pPr>
            <w:r>
              <w:t xml:space="preserve">37,9 %</w:t>
            </w:r>
          </w:p>
        </w:tc>
        <w:tc>
          <w:tcPr/>
          <w:p>
            <w:pPr>
              <w:pStyle w:val="Compact"/>
            </w:pPr>
            <w:r>
              <w:t xml:space="preserve">NARANJA</w:t>
            </w:r>
          </w:p>
        </w:tc>
        <w:tc>
          <w:tcPr/>
          <w:p>
            <w:pPr>
              <w:pStyle w:val="Compact"/>
            </w:pPr>
            <w:r>
              <w:t xml:space="preserve">8,3 %</w:t>
            </w:r>
          </w:p>
        </w:tc>
      </w:tr>
      <w:tr>
        <w:tc>
          <w:tcPr/>
          <w:p>
            <w:pPr>
              <w:pStyle w:val="Compact"/>
            </w:pPr>
            <w:r>
              <w:t xml:space="preserve">Peso del trabajo independiente</w:t>
            </w:r>
          </w:p>
        </w:tc>
        <w:tc>
          <w:tcPr/>
          <w:p>
            <w:pPr>
              <w:pStyle w:val="Compact"/>
            </w:pPr>
            <w:r>
              <w:t xml:space="preserve">Qué proporción del empleo registrado son trabajadores independientes —autónomos y monotributistas— frente a los…</w:t>
            </w:r>
          </w:p>
        </w:tc>
        <w:tc>
          <w:tcPr/>
          <w:p>
            <w:pPr>
              <w:pStyle w:val="Compact"/>
            </w:pPr>
            <w:r>
              <w:t xml:space="preserve">20,6 % del empleo registrado</w:t>
            </w:r>
          </w:p>
        </w:tc>
        <w:tc>
          <w:tcPr/>
          <w:p>
            <w:pPr>
              <w:pStyle w:val="Compact"/>
            </w:pPr>
            <w:r>
              <w:t xml:space="preserve">NARANJA</w:t>
            </w:r>
          </w:p>
        </w:tc>
        <w:tc>
          <w:tcPr/>
          <w:p>
            <w:pPr>
              <w:pStyle w:val="Compact"/>
            </w:pPr>
            <w:r>
              <w:t xml:space="preserve">2,4 %</w:t>
            </w:r>
          </w:p>
        </w:tc>
      </w:tr>
      <w:tr>
        <w:tc>
          <w:tcPr/>
          <w:p>
            <w:pPr>
              <w:pStyle w:val="Compact"/>
            </w:pPr>
            <w:r>
              <w:t xml:space="preserve">Empleadores PyME activos</w:t>
            </w:r>
          </w:p>
        </w:tc>
        <w:tc>
          <w:tcPr/>
          <w:p>
            <w:pPr>
              <w:pStyle w:val="Compact"/>
            </w:pPr>
            <w:r>
              <w:t xml:space="preserve">Cuántas empresas de hasta 50 trabajadores siguen teniendo al menos una persona declarada con cobertura de ART.</w:t>
            </w:r>
          </w:p>
        </w:tc>
        <w:tc>
          <w:tcPr/>
          <w:p>
            <w:pPr>
              <w:pStyle w:val="Compact"/>
            </w:pPr>
            <w:r>
              <w:t xml:space="preserve">460.777 empleadores</w:t>
            </w:r>
          </w:p>
        </w:tc>
        <w:tc>
          <w:tcPr/>
          <w:p>
            <w:pPr>
              <w:pStyle w:val="Compact"/>
            </w:pPr>
            <w:r>
              <w:t xml:space="preserve">NARANJA</w:t>
            </w:r>
          </w:p>
        </w:tc>
        <w:tc>
          <w:tcPr/>
          <w:p>
            <w:pPr>
              <w:pStyle w:val="Compact"/>
            </w:pPr>
            <w:r>
              <w:t xml:space="preserve">3,6 %</w:t>
            </w:r>
          </w:p>
        </w:tc>
      </w:tr>
      <w:tr>
        <w:tc>
          <w:tcPr/>
          <w:p>
            <w:pPr>
              <w:pStyle w:val="Compact"/>
            </w:pPr>
            <w:r>
              <w:t xml:space="preserve">Construcción (ISAC)</w:t>
            </w:r>
          </w:p>
        </w:tc>
        <w:tc>
          <w:tcPr/>
          <w:p>
            <w:pPr>
              <w:pStyle w:val="Compact"/>
            </w:pPr>
            <w:r>
              <w:t xml:space="preserve">El nivel de actividad de la construcción, gran motor de empleo de baja calificación.</w:t>
            </w:r>
          </w:p>
        </w:tc>
        <w:tc>
          <w:tcPr/>
          <w:p>
            <w:pPr>
              <w:pStyle w:val="Compact"/>
            </w:pPr>
            <w:r>
              <w:t xml:space="preserve">148,1 índice ISAC</w:t>
            </w:r>
          </w:p>
        </w:tc>
        <w:tc>
          <w:tcPr/>
          <w:p>
            <w:pPr>
              <w:pStyle w:val="Compact"/>
            </w:pPr>
            <w:r>
              <w:t xml:space="preserve">ROJO</w:t>
            </w:r>
          </w:p>
        </w:tc>
        <w:tc>
          <w:tcPr/>
          <w:p>
            <w:pPr>
              <w:pStyle w:val="Compact"/>
            </w:pPr>
            <w:r>
              <w:t xml:space="preserve">3,3 %</w:t>
            </w:r>
          </w:p>
        </w:tc>
      </w:tr>
      <w:tr>
        <w:tc>
          <w:tcPr/>
          <w:p>
            <w:pPr>
              <w:pStyle w:val="Compact"/>
            </w:pPr>
            <w:r>
              <w:t xml:space="preserve">Subocupación demandante</w:t>
            </w:r>
          </w:p>
        </w:tc>
        <w:tc>
          <w:tcPr/>
          <w:p>
            <w:pPr>
              <w:pStyle w:val="Compact"/>
            </w:pPr>
            <w:r>
              <w:t xml:space="preserve">Qué porcentaje de los ocupados busca trabajar más horas porque su empleo no le alcanza.</w:t>
            </w:r>
          </w:p>
        </w:tc>
        <w:tc>
          <w:tcPr/>
          <w:p>
            <w:pPr>
              <w:pStyle w:val="Compact"/>
            </w:pPr>
            <w:r>
              <w:t xml:space="preserve">7,5 %</w:t>
            </w:r>
          </w:p>
        </w:tc>
        <w:tc>
          <w:tcPr/>
          <w:p>
            <w:pPr>
              <w:pStyle w:val="Compact"/>
            </w:pPr>
            <w:r>
              <w:t xml:space="preserve">NARANJA</w:t>
            </w:r>
          </w:p>
        </w:tc>
        <w:tc>
          <w:tcPr/>
          <w:p>
            <w:pPr>
              <w:pStyle w:val="Compact"/>
            </w:pPr>
            <w:r>
              <w:t xml:space="preserve">1,2 %</w:t>
            </w:r>
          </w:p>
        </w:tc>
      </w:tr>
      <w:tr>
        <w:tc>
          <w:tcPr/>
          <w:p>
            <w:pPr>
              <w:pStyle w:val="Compact"/>
            </w:pPr>
            <w:r>
              <w:t xml:space="preserve">Empleo registrado privado</w:t>
            </w:r>
          </w:p>
        </w:tc>
        <w:tc>
          <w:tcPr/>
          <w:p>
            <w:pPr>
              <w:pStyle w:val="Compact"/>
            </w:pPr>
            <w:r>
              <w:t xml:space="preserve">Cuántos asalariados del sector privado están registrados ante la seguridad social.</w:t>
            </w:r>
          </w:p>
        </w:tc>
        <w:tc>
          <w:tcPr/>
          <w:p>
            <w:pPr>
              <w:pStyle w:val="Compact"/>
            </w:pPr>
            <w:r>
              <w:t xml:space="preserve">6.106,53 miles de puestos</w:t>
            </w:r>
          </w:p>
        </w:tc>
        <w:tc>
          <w:tcPr/>
          <w:p>
            <w:pPr>
              <w:pStyle w:val="Compact"/>
            </w:pPr>
            <w:r>
              <w:t xml:space="preserve">AMARILLO</w:t>
            </w:r>
          </w:p>
        </w:tc>
        <w:tc>
          <w:tcPr/>
          <w:p>
            <w:pPr>
              <w:pStyle w:val="Compact"/>
            </w:pPr>
            <w:r>
              <w:t xml:space="preserve">5,4 %</w:t>
            </w:r>
          </w:p>
        </w:tc>
      </w:tr>
      <w:tr>
        <w:tc>
          <w:tcPr/>
          <w:p>
            <w:pPr>
              <w:pStyle w:val="Compact"/>
            </w:pPr>
            <w:r>
              <w:rPr>
                <w:b/>
                <w:bCs/>
              </w:rPr>
              <w:t xml:space="preserve">DIMENSIÓN: Vulnerabilidad financiera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Mora de las familias</w:t>
            </w:r>
          </w:p>
        </w:tc>
        <w:tc>
          <w:tcPr/>
          <w:p>
            <w:pPr>
              <w:pStyle w:val="Compact"/>
            </w:pPr>
            <w:r>
              <w:t xml:space="preserve">Qué porcentaje del crédito de consumo de las familias (préstamos personales y tarjetas) está en situación irregular —…</w:t>
            </w:r>
          </w:p>
        </w:tc>
        <w:tc>
          <w:tcPr/>
          <w:p>
            <w:pPr>
              <w:pStyle w:val="Compact"/>
            </w:pPr>
            <w:r>
              <w:t xml:space="preserve">14,52 % de la cartera en situación irregular</w:t>
            </w:r>
          </w:p>
        </w:tc>
        <w:tc>
          <w:tcPr/>
          <w:p>
            <w:pPr>
              <w:pStyle w:val="Compact"/>
            </w:pPr>
            <w:r>
              <w:t xml:space="preserve">ROJO</w:t>
            </w:r>
          </w:p>
        </w:tc>
        <w:tc>
          <w:tcPr/>
          <w:p>
            <w:pPr>
              <w:pStyle w:val="Compact"/>
            </w:pPr>
            <w:r>
              <w:t xml:space="preserve">10,0 %</w:t>
            </w:r>
          </w:p>
        </w:tc>
      </w:tr>
      <w:tr>
        <w:tc>
          <w:tcPr/>
          <w:p>
            <w:pPr>
              <w:pStyle w:val="Compact"/>
            </w:pPr>
            <w:r>
              <w:rPr>
                <w:b/>
                <w:bCs/>
              </w:rPr>
              <w:t xml:space="preserve">DIMENSIÓN: Confianza y percepción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Confianza del consumidor (ICC)</w:t>
            </w:r>
          </w:p>
        </w:tc>
        <w:tc>
          <w:tcPr/>
          <w:p>
            <w:pPr>
              <w:pStyle w:val="Compact"/>
            </w:pPr>
            <w:r>
              <w:t xml:space="preserve">El optimismo de la gente sobre la economía y sus finanzas personales (Índice de Confianza del Consumidor).</w:t>
            </w:r>
          </w:p>
        </w:tc>
        <w:tc>
          <w:tcPr/>
          <w:p>
            <w:pPr>
              <w:pStyle w:val="Compact"/>
            </w:pPr>
            <w:r>
              <w:t xml:space="preserve">39,9 índice</w:t>
            </w:r>
          </w:p>
        </w:tc>
        <w:tc>
          <w:tcPr/>
          <w:p>
            <w:pPr>
              <w:pStyle w:val="Compact"/>
            </w:pPr>
            <w:r>
              <w:t xml:space="preserve">NARANJA</w:t>
            </w:r>
          </w:p>
        </w:tc>
        <w:tc>
          <w:tcPr/>
          <w:p>
            <w:pPr>
              <w:pStyle w:val="Compact"/>
            </w:pPr>
            <w:r>
              <w:t xml:space="preserve">6,8 %</w:t>
            </w:r>
          </w:p>
        </w:tc>
      </w:tr>
      <w:tr>
        <w:tc>
          <w:tcPr/>
          <w:p>
            <w:pPr>
              <w:pStyle w:val="Compact"/>
            </w:pPr>
            <w:r>
              <w:t xml:space="preserve">Sentimiento digital (Trends)</w:t>
            </w:r>
          </w:p>
        </w:tc>
        <w:tc>
          <w:tcPr/>
          <w:p>
            <w:pPr>
              <w:pStyle w:val="Compact"/>
            </w:pPr>
            <w:r>
              <w:t xml:space="preserve">Cuánta atención pública se llevan seis problemas, medida por lo que se busca en internet.</w:t>
            </w:r>
          </w:p>
        </w:tc>
        <w:tc>
          <w:tcPr/>
          <w:p>
            <w:pPr>
              <w:pStyle w:val="Compact"/>
            </w:pPr>
            <w:r>
              <w:t xml:space="preserve">57,6 índice (100 = 4T-2023)</w:t>
            </w:r>
          </w:p>
        </w:tc>
        <w:tc>
          <w:tcPr/>
          <w:p>
            <w:pPr>
              <w:pStyle w:val="Compact"/>
            </w:pPr>
            <w:r>
              <w:t xml:space="preserve">VERDE</w:t>
            </w:r>
          </w:p>
        </w:tc>
        <w:tc>
          <w:tcPr/>
          <w:p>
            <w:pPr>
              <w:pStyle w:val="Compact"/>
            </w:pPr>
            <w:r>
              <w:t xml:space="preserve">1,5 %</w:t>
            </w:r>
          </w:p>
        </w:tc>
      </w:tr>
      <w:tr>
        <w:tc>
          <w:tcPr/>
          <w:p>
            <w:pPr>
              <w:pStyle w:val="Compact"/>
            </w:pPr>
            <w:r>
              <w:rPr>
                <w:b/>
                <w:bCs/>
              </w:rPr>
              <w:t xml:space="preserve">DIMENSIÓN: Seguridad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Victimización (IVI)</w:t>
            </w:r>
          </w:p>
        </w:tc>
        <w:tc>
          <w:tcPr/>
          <w:p>
            <w:pPr>
              <w:pStyle w:val="Compact"/>
            </w:pPr>
            <w:r>
              <w:t xml:space="preserve">Qué porcentaje de los hogares sufrió al menos un delito en los últimos 12 meses, según la encuesta mensual de…</w:t>
            </w:r>
          </w:p>
        </w:tc>
        <w:tc>
          <w:tcPr/>
          <w:p>
            <w:pPr>
              <w:pStyle w:val="Compact"/>
            </w:pPr>
            <w:r>
              <w:t xml:space="preserve">28 % de hogares víctimas (últimos 12 meses)</w:t>
            </w:r>
          </w:p>
        </w:tc>
        <w:tc>
          <w:tcPr/>
          <w:p>
            <w:pPr>
              <w:pStyle w:val="Compact"/>
            </w:pPr>
            <w:r>
              <w:t xml:space="preserve">AMARILLO</w:t>
            </w:r>
          </w:p>
        </w:tc>
        <w:tc>
          <w:tcPr/>
          <w:p>
            <w:pPr>
              <w:pStyle w:val="Compact"/>
            </w:pPr>
            <w:r>
              <w:t xml:space="preserve">4,5 %</w:t>
            </w:r>
          </w:p>
        </w:tc>
      </w:tr>
    </w:tbl>
    <w:p>
      <w:pPr>
        <w:pStyle w:val="BodyText"/>
      </w:pPr>
      <w:r>
        <w:rPr>
          <w:i/>
          <w:iCs/>
        </w:rPr>
        <w:t xml:space="preserve">Datos al 2026-08-21.</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22"/>
    <w:bookmarkEnd w:id="23"/>
    <w:bookmarkStart w:id="33" w:name="salario-real-vs.-canasta"/>
    <w:p>
      <w:pPr>
        <w:pStyle w:val="Heading1"/>
      </w:pPr>
      <w:r>
        <w:t xml:space="preserve">Salario real vs. canasta</w:t>
      </w:r>
    </w:p>
    <w:p>
      <w:pPr>
        <w:pStyle w:val="FirstParagraph"/>
      </w:pPr>
      <w:r>
        <w:t xml:space="preserve">Cuántas canastas básicas totales alcanza a cubrir el salario formal promedio.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3,87 canastas (RIPTE/CBT)</w:t>
            </w:r>
            <w:r>
              <w:t xml:space="preserve"> </w:t>
            </w:r>
            <w:r>
              <w:t xml:space="preserve">(2026-06)</w:t>
            </w:r>
          </w:p>
        </w:tc>
        <w:tc>
          <w:tcPr/>
          <w:p>
            <w:pPr>
              <w:pStyle w:val="Compact"/>
            </w:pPr>
            <w:r>
              <w:rPr>
                <w:b/>
                <w:bCs/>
              </w:rPr>
              <w:t xml:space="preserve">VERDE</w:t>
            </w:r>
          </w:p>
        </w:tc>
        <w:tc>
          <w:tcPr/>
          <w:p>
            <w:pPr>
              <w:pStyle w:val="Compact"/>
            </w:pPr>
            <w:r>
              <w:t xml:space="preserve">Peso efectivo 13,4 % del ITCIS</w:t>
            </w:r>
          </w:p>
        </w:tc>
        <w:tc>
          <w:tcPr/>
          <w:p>
            <w:pPr>
              <w:pStyle w:val="Compact"/>
            </w:pPr>
            <w:r>
              <w:t xml:space="preserve">Cinturón Impacto social</w:t>
            </w:r>
          </w:p>
        </w:tc>
      </w:tr>
    </w:tbl>
    <w:bookmarkStart w:id="24" w:name="identificación"/>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brecha_salario_cbt</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Ingresos y consumo</w:t>
            </w:r>
          </w:p>
        </w:tc>
        <w:tc>
          <w:tcPr/>
          <w:p>
            <w:pPr>
              <w:pStyle w:val="Compact"/>
            </w:pPr>
            <w:r>
              <w:rPr>
                <w:b/>
                <w:bCs/>
              </w:rPr>
              <w:t xml:space="preserve">UNIDAD DE MEDIDA</w:t>
            </w:r>
          </w:p>
        </w:tc>
        <w:tc>
          <w:tcPr/>
          <w:p>
            <w:pPr>
              <w:pStyle w:val="Compact"/>
            </w:pPr>
            <w:r>
              <w:t xml:space="preserve">canastas (RIPTE/CBT)</w:t>
            </w:r>
          </w:p>
        </w:tc>
      </w:tr>
      <w:tr>
        <w:tc>
          <w:tcPr/>
          <w:p>
            <w:pPr>
              <w:pStyle w:val="Compact"/>
            </w:pPr>
            <w:r>
              <w:rPr>
                <w:b/>
                <w:bCs/>
              </w:rPr>
              <w:t xml:space="preserve">SERIE DISPONIBLE</w:t>
            </w:r>
          </w:p>
        </w:tc>
        <w:tc>
          <w:tcPr/>
          <w:p>
            <w:pPr>
              <w:pStyle w:val="Compact"/>
            </w:pPr>
            <w:r>
              <w:t xml:space="preserve">2021-08 → 2026-06 (59 puntos)</w:t>
            </w:r>
          </w:p>
        </w:tc>
        <w:tc>
          <w:tcPr/>
          <w:p>
            <w:pPr>
              <w:pStyle w:val="Compact"/>
            </w:pPr>
            <w:r>
              <w:rPr>
                <w:b/>
                <w:bCs/>
              </w:rPr>
              <w:t xml:space="preserve">REZAGO DE PUBLICACIÓN</w:t>
            </w:r>
          </w:p>
        </w:tc>
        <w:tc>
          <w:tcPr/>
          <w:p>
            <w:pPr>
              <w:pStyle w:val="Compact"/>
            </w:pPr>
            <w:r>
              <w:t xml:space="preserve">El salario formal (RIPTE) corre un mes detrás de la canasta: el par común queda ~2 meses atrás del calendario.</w:t>
            </w:r>
          </w:p>
        </w:tc>
      </w:tr>
      <w:tr>
        <w:tc>
          <w:tcPr/>
          <w:p>
            <w:pPr>
              <w:pStyle w:val="Compact"/>
            </w:pPr>
            <w:r>
              <w:rPr>
                <w:b/>
                <w:bCs/>
              </w:rPr>
              <w:t xml:space="preserve">PRODUCTOR DEL DATO</w:t>
            </w:r>
          </w:p>
        </w:tc>
        <w:tc>
          <w:tcPr/>
          <w:p>
            <w:pPr>
              <w:pStyle w:val="Compact"/>
            </w:pPr>
            <w:r>
              <w:t xml:space="preserve">Secretaría de Trabajo (RIPTE) + INDEC (Canasta Básica Total)</w:t>
            </w:r>
          </w:p>
        </w:tc>
        <w:tc>
          <w:tcPr/>
          <w:p>
            <w:pPr>
              <w:pStyle w:val="Compact"/>
            </w:pPr>
            <w:r>
              <w:rPr>
                <w:b/>
                <w:bCs/>
              </w:rPr>
              <w:t xml:space="preserve">OPERACIÓN ESTADÍSTICA</w:t>
            </w:r>
          </w:p>
        </w:tc>
        <w:tc>
          <w:tcPr/>
          <w:p>
            <w:pPr>
              <w:pStyle w:val="Compact"/>
            </w:pPr>
            <w:r>
              <w:t xml:space="preserve">RIPTE — remuneración imponible promedio de los trabajadores estables ÷ Canasta Básica Total por adulto equivalente</w:t>
            </w:r>
          </w:p>
        </w:tc>
      </w:tr>
      <w:tr>
        <w:tc>
          <w:tcPr/>
          <w:p>
            <w:pPr>
              <w:pStyle w:val="Compact"/>
            </w:pPr>
            <w:r>
              <w:rPr>
                <w:b/>
                <w:bCs/>
              </w:rPr>
              <w:t xml:space="preserve">MODO DE ACCESO</w:t>
            </w:r>
          </w:p>
        </w:tc>
        <w:tc>
          <w:tcPr/>
          <w:p>
            <w:pPr>
              <w:pStyle w:val="Compact"/>
            </w:pPr>
            <w:r>
              <w:t xml:space="preserve">Automático: descarga de la planilla oficial del RIPTE y API de series para la canasta; el cociente se calcula alineando por mes común.</w:t>
            </w:r>
          </w:p>
        </w:tc>
        <w:tc>
          <w:tcPr/>
          <w:p>
            <w:pPr>
              <w:pStyle w:val="Compact"/>
            </w:pPr>
            <w:r>
              <w:rPr>
                <w:b/>
                <w:bCs/>
              </w:rPr>
              <w:t xml:space="preserve">ÚLTIMA ACTUALIZACIÓN</w:t>
            </w:r>
          </w:p>
        </w:tc>
        <w:tc>
          <w:tcPr/>
          <w:p>
            <w:pPr>
              <w:pStyle w:val="Compact"/>
            </w:pPr>
            <w:r>
              <w:t xml:space="preserve">Dato a 2026-06 · informe generado el 2026-08-21</w:t>
            </w:r>
          </w:p>
        </w:tc>
      </w:tr>
    </w:tbl>
    <w:bookmarkEnd w:id="24"/>
    <w:bookmarkStart w:id="25" w:name="definición-qué-mide-y-por-qué-importa"/>
    <w:p>
      <w:pPr>
        <w:pStyle w:val="Heading2"/>
      </w:pPr>
      <w:r>
        <w:t xml:space="preserve">Definición — qué mide y por qué importa</w:t>
      </w:r>
    </w:p>
    <w:p>
      <w:pPr>
        <w:pStyle w:val="FirstParagraph"/>
      </w:pPr>
      <w:r>
        <w:t xml:space="preserve">Cuántas canastas básicas totales alcanza a cubrir el salario formal promedio.</w:t>
      </w:r>
    </w:p>
    <w:p>
      <w:pPr>
        <w:pStyle w:val="BodyText"/>
      </w:pPr>
      <w:r>
        <w:t xml:space="preserve">Mide el poder adquisitivo real del ingreso, lo que la gente siente en el bolsillo.</w:t>
      </w:r>
    </w:p>
    <w:p>
      <w:pPr>
        <w:pStyle w:val="BodyText"/>
      </w:pPr>
      <w:r>
        <w:rPr>
          <w:b/>
          <w:bCs/>
        </w:rPr>
        <w:t xml:space="preserve">Dimensión que integra — Ingresos y consumo.</w:t>
      </w:r>
      <w:r>
        <w:t xml:space="preserve"> </w:t>
      </w:r>
      <w:r>
        <w:t xml:space="preserve">Si el sueldo alcanza y qué compra: la brecha entre el salario y la canasta de pobreza, la pobreza estimada mes a mes, y tres termómetros de bolsillo —las ventas de supermercados a precios constantes, el consumo de carne y la motorización total, que suma autos y motos 0 km por habitante— que se mueven con el poder de compra.</w:t>
      </w:r>
    </w:p>
    <w:bookmarkEnd w:id="25"/>
    <w:bookmarkStart w:id="26" w:name="método-de-cómputo"/>
    <w:p>
      <w:pPr>
        <w:pStyle w:val="Heading2"/>
      </w:pPr>
      <w:r>
        <w:t xml:space="preserve">Método de cómputo</w:t>
      </w:r>
    </w:p>
    <w:p>
      <w:pPr>
        <w:pStyle w:val="Compact"/>
        <w:numPr>
          <w:ilvl w:val="0"/>
          <w:numId w:val="1001"/>
        </w:numPr>
      </w:pPr>
      <w:r>
        <w:t xml:space="preserve">Canastas cubiertas = salario formal promedio ÷ canasta básica total del mismo mes.</w:t>
      </w:r>
    </w:p>
    <w:p>
      <w:pPr>
        <w:pStyle w:val="Compact"/>
        <w:numPr>
          <w:ilvl w:val="0"/>
          <w:numId w:val="1001"/>
        </w:numPr>
      </w:pPr>
      <w:r>
        <w:t xml:space="preserve">Componente del índice: el cociente rebaseado a 100 = promedio del 4º trimestre de 2023 (más canastas = mejora).</w:t>
      </w:r>
    </w:p>
    <w:bookmarkEnd w:id="26"/>
    <w:bookmarkStart w:id="27" w:name="semáforo-valores-que-determinan-el-color"/>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112,5</w:t>
      </w:r>
      <w:r>
        <w:t xml:space="preserve">.</w:t>
      </w:r>
    </w:p>
    <w:bookmarkEnd w:id="27"/>
    <w:bookmarkStart w:id="28" w:name="datos-concretos-detrás-del-valor"/>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02"/>
        </w:numPr>
      </w:pPr>
      <w:r>
        <w:t xml:space="preserve">RIPTE / CBT del mismo mes (2026-06): canastas cubiertas por el salario imponible promedio — CBT de 2026-07 ya publicada ($506,381): esa brecha queda provisoria hasta que salga el RIPTE</w:t>
      </w:r>
    </w:p>
    <w:bookmarkEnd w:id="28"/>
    <w:bookmarkStart w:id="29" w:name="color-vigente-y-por-qué"/>
    <w:p>
      <w:pPr>
        <w:pStyle w:val="Heading2"/>
      </w:pPr>
      <w:r>
        <w:t xml:space="preserve">Color vigente y por qué</w:t>
      </w:r>
    </w:p>
    <w:p>
      <w:pPr>
        <w:pStyle w:val="FirstParagraph"/>
      </w:pPr>
      <w:r>
        <w:t xml:space="preserve">Dato vigente: 3,87 canastas (RIPTE/CBT) (2026-06).</w:t>
      </w:r>
    </w:p>
    <w:p>
      <w:pPr>
        <w:pStyle w:val="BodyText"/>
      </w:pPr>
      <w:r>
        <w:t xml:space="preserve">El componente está en 112,5 sobre la base 100 del 4º trimestre de 2023 — 105 o más —, que es el tramo VERDE.</w:t>
      </w:r>
    </w:p>
    <w:p>
      <w:pPr>
        <w:pStyle w:val="BodyText"/>
      </w:pPr>
      <w:r>
        <w:rPr>
          <w:b/>
          <w:bCs/>
        </w:rPr>
        <w:t xml:space="preserve">Color vigente: VERDE</w:t>
      </w:r>
    </w:p>
    <w:p>
      <w:pPr>
        <w:pStyle w:val="BodyText"/>
      </w:pPr>
      <w:r>
        <w:t xml:space="preserve">Ponderación vigente en el ITCIS: 13,4 % efectivo. El color es una lectura adicional — no reemplaza ni cambia esta ponderación.</w:t>
      </w:r>
    </w:p>
    <w:bookmarkEnd w:id="29"/>
    <w:bookmarkStart w:id="30" w:name="transparencia-limitaciones-declaradas"/>
    <w:p>
      <w:pPr>
        <w:pStyle w:val="Heading2"/>
      </w:pPr>
      <w:r>
        <w:t xml:space="preserve">Transparencia — limitaciones declaradas</w:t>
      </w:r>
    </w:p>
    <w:p>
      <w:pPr>
        <w:pStyle w:val="Compact"/>
        <w:numPr>
          <w:ilvl w:val="0"/>
          <w:numId w:val="1003"/>
        </w:numPr>
      </w:pPr>
      <w:r>
        <w:t xml:space="preserve">El RIPTE cubre solo asalariados formales estables: deja afuera a informales y cuentapropistas; la canasta es por adulto equivalente.</w:t>
      </w:r>
    </w:p>
    <w:p>
      <w:pPr>
        <w:pStyle w:val="Compact"/>
        <w:numPr>
          <w:ilvl w:val="0"/>
          <w:numId w:val="1003"/>
        </w:numPr>
      </w:pPr>
      <w:r>
        <w:t xml:space="preserve">El peso del componente (13,38% del índice) es una discusión abierta declarada del diseño.</w:t>
      </w:r>
    </w:p>
    <w:p>
      <w:pPr>
        <w:pStyle w:val="Compact"/>
        <w:numPr>
          <w:ilvl w:val="0"/>
          <w:numId w:val="1003"/>
        </w:numPr>
      </w:pPr>
      <w:r>
        <w:t xml:space="preserve">Efecto base auditado: parte de la mejora contra el 4º trimestre de 2023 es rebote de la devaluación de diciembre.</w:t>
      </w:r>
    </w:p>
    <w:bookmarkEnd w:id="30"/>
    <w:bookmarkStart w:id="31" w:name="si-falta-el-dato-política-de-revisiones"/>
    <w:p>
      <w:pPr>
        <w:pStyle w:val="Heading2"/>
      </w:pPr>
      <w:r>
        <w:t xml:space="preserve">Si falta el dato / Política de revisiones</w:t>
      </w:r>
    </w:p>
    <w:p>
      <w:pPr>
        <w:numPr>
          <w:ilvl w:val="0"/>
          <w:numId w:val="1004"/>
        </w:numPr>
      </w:pPr>
      <w:r>
        <w:rPr>
          <w:b/>
          <w:bCs/>
        </w:rPr>
        <w:t xml:space="preserve">Si falta el dato:</w:t>
      </w:r>
      <w:r>
        <w:t xml:space="preserve"> </w:t>
      </w:r>
      <w:r>
        <w:t xml:space="preserve">Si una fuente falla, se mantiene el último valor publicado (marcado como desactualizado); si el componente no calcula, los pesos del índice se renormalizan.</w:t>
      </w:r>
    </w:p>
    <w:p>
      <w:pPr>
        <w:numPr>
          <w:ilvl w:val="0"/>
          <w:numId w:val="1004"/>
        </w:numPr>
      </w:pPr>
      <w:r>
        <w:rPr>
          <w:b/>
          <w:bCs/>
        </w:rPr>
        <w:t xml:space="preserve">Política de revisiones:</w:t>
      </w:r>
      <w:r>
        <w:t xml:space="preserve"> </w:t>
      </w:r>
      <w:r>
        <w:t xml:space="preserve">Cada actualización re-descarga las series completas y adopta las revisiones de las fuentes; con canasta fresca sin salario, el par se declara provisorio.</w:t>
      </w:r>
    </w:p>
    <w:bookmarkEnd w:id="31"/>
    <w:bookmarkStart w:id="32" w:name="Xa4c99cad3d412932a0237e958bf70f8f0cdbe7e"/>
    <w:p>
      <w:pPr>
        <w:pStyle w:val="Heading2"/>
      </w:pPr>
      <w:r>
        <w:t xml:space="preserve">Historial — cambios metodológicos documentados</w:t>
      </w:r>
    </w:p>
    <w:p>
      <w:pPr>
        <w:pStyle w:val="FirstParagraph"/>
      </w:pPr>
      <w:r>
        <w:rPr>
          <w:b/>
          <w:bCs/>
        </w:rPr>
        <w:t xml:space="preserve">2026-07-03</w:t>
      </w:r>
      <w:r>
        <w:t xml:space="preserve"> </w:t>
      </w:r>
      <w:r>
        <w:t xml:space="preserve">— Entra al ITCIS base-100 como rebase directo del cociente, con 22,75% de peso efectivo.</w:t>
      </w:r>
    </w:p>
    <w:p>
      <w:pPr>
        <w:pStyle w:val="BodyText"/>
      </w:pPr>
      <w:r>
        <w:rPr>
          <w:b/>
          <w:bCs/>
        </w:rPr>
        <w:t xml:space="preserve">2026-07-04</w:t>
      </w:r>
      <w:r>
        <w:t xml:space="preserve"> </w:t>
      </w:r>
      <w:r>
        <w:t xml:space="preserve">— Alineación estricta por mes común: antes podía mezclar el salario de un mes con la canasta de otro. Además queda como única medición del ratio ingresos/comida del índice.</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32"/>
    <w:bookmarkEnd w:id="33"/>
    <w:bookmarkStart w:id="43" w:name="inflación-de-alimentos"/>
    <w:p>
      <w:pPr>
        <w:pStyle w:val="Heading1"/>
      </w:pPr>
      <w:r>
        <w:t xml:space="preserve">Inflación de alimentos</w:t>
      </w:r>
    </w:p>
    <w:p>
      <w:pPr>
        <w:pStyle w:val="FirstParagraph"/>
      </w:pPr>
      <w:r>
        <w:t xml:space="preserve">Cuánto suben en el mes los precios de alimentos y bebidas. En el ITCIS puntúa por el NIVEL acumulado del índice de alimentos relativo al IPC general, rebaseado a 100 = 4T-2023: si supera 100, la comida subió menos que el resto de los precios desde el arranque del mandato (alivio relativo); si queda debajo, encarece por encima del promedio.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1,98 % m/m</w:t>
            </w:r>
            <w:r>
              <w:t xml:space="preserve"> </w:t>
            </w:r>
            <w:r>
              <w:t xml:space="preserve">(2026-07)</w:t>
            </w:r>
          </w:p>
        </w:tc>
        <w:tc>
          <w:tcPr/>
          <w:p>
            <w:pPr>
              <w:pStyle w:val="Compact"/>
            </w:pPr>
            <w:r>
              <w:rPr>
                <w:b/>
                <w:bCs/>
              </w:rPr>
              <w:t xml:space="preserve">VERDE</w:t>
            </w:r>
          </w:p>
        </w:tc>
        <w:tc>
          <w:tcPr/>
          <w:p>
            <w:pPr>
              <w:pStyle w:val="Compact"/>
            </w:pPr>
            <w:r>
              <w:t xml:space="preserve">Peso efectivo 8,8 % del ITCIS</w:t>
            </w:r>
          </w:p>
        </w:tc>
        <w:tc>
          <w:tcPr/>
          <w:p>
            <w:pPr>
              <w:pStyle w:val="Compact"/>
            </w:pPr>
            <w:r>
              <w:t xml:space="preserve">Cinturón Impacto social</w:t>
            </w:r>
          </w:p>
        </w:tc>
      </w:tr>
    </w:tbl>
    <w:bookmarkStart w:id="34" w:name="identificación-1"/>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ipc_alimentos</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Presión de precios</w:t>
            </w:r>
          </w:p>
        </w:tc>
        <w:tc>
          <w:tcPr/>
          <w:p>
            <w:pPr>
              <w:pStyle w:val="Compact"/>
            </w:pPr>
            <w:r>
              <w:rPr>
                <w:b/>
                <w:bCs/>
              </w:rPr>
              <w:t xml:space="preserve">UNIDAD DE MEDIDA</w:t>
            </w:r>
          </w:p>
        </w:tc>
        <w:tc>
          <w:tcPr/>
          <w:p>
            <w:pPr>
              <w:pStyle w:val="Compact"/>
            </w:pPr>
            <w:r>
              <w:t xml:space="preserve">% m/m</w:t>
            </w:r>
          </w:p>
        </w:tc>
      </w:tr>
      <w:tr>
        <w:tc>
          <w:tcPr/>
          <w:p>
            <w:pPr>
              <w:pStyle w:val="Compact"/>
            </w:pPr>
            <w:r>
              <w:rPr>
                <w:b/>
                <w:bCs/>
              </w:rPr>
              <w:t xml:space="preserve">SERIE DISPONIBLE</w:t>
            </w:r>
          </w:p>
        </w:tc>
        <w:tc>
          <w:tcPr/>
          <w:p>
            <w:pPr>
              <w:pStyle w:val="Compact"/>
            </w:pPr>
            <w:r>
              <w:t xml:space="preserve">2022-09 → 2026-07 (47 puntos)</w:t>
            </w:r>
          </w:p>
        </w:tc>
        <w:tc>
          <w:tcPr/>
          <w:p>
            <w:pPr>
              <w:pStyle w:val="Compact"/>
            </w:pPr>
            <w:r>
              <w:rPr>
                <w:b/>
                <w:bCs/>
              </w:rPr>
              <w:t xml:space="preserve">REZAGO DE PUBLICACIÓN</w:t>
            </w:r>
          </w:p>
        </w:tc>
        <w:tc>
          <w:tcPr/>
          <w:p>
            <w:pPr>
              <w:pStyle w:val="Compact"/>
            </w:pPr>
            <w:r>
              <w:t xml:space="preserve">El IPC se publica a mediados del mes siguiente.</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IPC — Alimentos y bebidas no alcohólicas, nivel nacional; el componente lo compara contra el IPC general</w:t>
            </w:r>
          </w:p>
        </w:tc>
      </w:tr>
      <w:tr>
        <w:tc>
          <w:tcPr/>
          <w:p>
            <w:pPr>
              <w:pStyle w:val="Compact"/>
            </w:pPr>
            <w:r>
              <w:rPr>
                <w:b/>
                <w:bCs/>
              </w:rPr>
              <w:t xml:space="preserve">MODO DE ACCESO</w:t>
            </w:r>
          </w:p>
        </w:tc>
        <w:tc>
          <w:tcPr/>
          <w:p>
            <w:pPr>
              <w:pStyle w:val="Compact"/>
            </w:pPr>
            <w:r>
              <w:t xml:space="preserve">Automático: API pública de series de tiempo.</w:t>
            </w:r>
          </w:p>
        </w:tc>
        <w:tc>
          <w:tcPr/>
          <w:p>
            <w:pPr>
              <w:pStyle w:val="Compact"/>
            </w:pPr>
            <w:r>
              <w:rPr>
                <w:b/>
                <w:bCs/>
              </w:rPr>
              <w:t xml:space="preserve">ÚLTIMA ACTUALIZACIÓN</w:t>
            </w:r>
          </w:p>
        </w:tc>
        <w:tc>
          <w:tcPr/>
          <w:p>
            <w:pPr>
              <w:pStyle w:val="Compact"/>
            </w:pPr>
            <w:r>
              <w:t xml:space="preserve">Dato a 2026-07 · informe generado el 2026-08-21</w:t>
            </w:r>
          </w:p>
        </w:tc>
      </w:tr>
    </w:tbl>
    <w:bookmarkEnd w:id="34"/>
    <w:bookmarkStart w:id="35" w:name="definición-qué-mide-y-por-qué-importa-1"/>
    <w:p>
      <w:pPr>
        <w:pStyle w:val="Heading2"/>
      </w:pPr>
      <w:r>
        <w:t xml:space="preserve">Definición — qué mide y por qué importa</w:t>
      </w:r>
    </w:p>
    <w:p>
      <w:pPr>
        <w:pStyle w:val="FirstParagraph"/>
      </w:pPr>
      <w:r>
        <w:t xml:space="preserve">Cuánto suben en el mes los precios de alimentos y bebidas. En el ITCIS puntúa por el NIVEL acumulado del índice de alimentos relativo al IPC general, rebaseado a 100 = 4T-2023: si supera 100, la comida subió menos que el resto de los precios desde el arranque del mandato (alivio relativo); si queda debajo, encarece por encima del promedio.</w:t>
      </w:r>
    </w:p>
    <w:p>
      <w:pPr>
        <w:pStyle w:val="BodyText"/>
      </w:pPr>
      <w:r>
        <w:t xml:space="preserve">Es la inflación más sensible socialmente: pega directo en la mesa de cada hogar, y castiga la canasta de los hogares de menores ingresos aunque la inflación general baje. Es una pregunta de precios pura, independiente del salario — el poder de compra lo mide la brecha salario/canasta, en Ingresos.</w:t>
      </w:r>
    </w:p>
    <w:p>
      <w:pPr>
        <w:pStyle w:val="BodyText"/>
      </w:pPr>
      <w:r>
        <w:rPr>
          <w:b/>
          <w:bCs/>
        </w:rPr>
        <w:t xml:space="preserve">Dimensión que integra — Presión de precios.</w:t>
      </w:r>
      <w:r>
        <w:t xml:space="preserve"> </w:t>
      </w:r>
      <w:r>
        <w:t xml:space="preserve">Tres gastos sensibles: alimentos contra el IPC general, alquiler contra el resto de los precios y la canasta efectiva de electricidad, gas, agua y transporte como proporción del salario. Agua+energía y transporte se evalúan por separado contra referencias internacionales de asequibilidad, no contra las tarifas subsidiadas de 2023.</w:t>
      </w:r>
    </w:p>
    <w:bookmarkEnd w:id="35"/>
    <w:bookmarkStart w:id="36" w:name="método-de-cómputo-1"/>
    <w:p>
      <w:pPr>
        <w:pStyle w:val="Heading2"/>
      </w:pPr>
      <w:r>
        <w:t xml:space="preserve">Método de cómputo</w:t>
      </w:r>
    </w:p>
    <w:p>
      <w:pPr>
        <w:pStyle w:val="Compact"/>
        <w:numPr>
          <w:ilvl w:val="0"/>
          <w:numId w:val="1005"/>
        </w:numPr>
      </w:pPr>
      <w:r>
        <w:t xml:space="preserve">La card muestra la variación mensual de los alimentos.</w:t>
      </w:r>
    </w:p>
    <w:p>
      <w:pPr>
        <w:pStyle w:val="Compact"/>
        <w:numPr>
          <w:ilvl w:val="0"/>
          <w:numId w:val="1005"/>
        </w:numPr>
      </w:pPr>
      <w:r>
        <w:t xml:space="preserve">El componente del índice mide el encarecimiento RELATIVO de la comida: el nivel de alimentos contra el nivel general de precios, rebaseado a 100 = 4º trimestre de 2023. Por encima de 100, la comida sube menos que el resto de los precios.</w:t>
      </w:r>
    </w:p>
    <w:bookmarkEnd w:id="36"/>
    <w:bookmarkStart w:id="37" w:name="Xb12ddc46376972206f8477b880174f9cd0b3196"/>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107,6</w:t>
      </w:r>
      <w:r>
        <w:t xml:space="preserve">.</w:t>
      </w:r>
    </w:p>
    <w:bookmarkEnd w:id="37"/>
    <w:bookmarkStart w:id="38" w:name="datos-concretos-detrás-del-valor-1"/>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06"/>
        </w:numPr>
      </w:pPr>
      <w:r>
        <w:t xml:space="preserve">El informe publica el valor (1,98 % m/m) pero no los números que lo componen: la fuente entrega la serie ya calculada. Para auditar el dato hay que ir a la operación estadística citada más arriba.</w:t>
      </w:r>
    </w:p>
    <w:bookmarkEnd w:id="38"/>
    <w:bookmarkStart w:id="39" w:name="color-vigente-y-por-qué-1"/>
    <w:p>
      <w:pPr>
        <w:pStyle w:val="Heading2"/>
      </w:pPr>
      <w:r>
        <w:t xml:space="preserve">Color vigente y por qué</w:t>
      </w:r>
    </w:p>
    <w:p>
      <w:pPr>
        <w:pStyle w:val="FirstParagraph"/>
      </w:pPr>
      <w:r>
        <w:t xml:space="preserve">Dato vigente: 1,98 % m/m (2026-07).</w:t>
      </w:r>
    </w:p>
    <w:p>
      <w:pPr>
        <w:pStyle w:val="BodyText"/>
      </w:pPr>
      <w:r>
        <w:t xml:space="preserve">El componente está en 107,6 sobre la base 100 del 4º trimestre de 2023 — 105 o más —, que es el tramo VERDE.</w:t>
      </w:r>
    </w:p>
    <w:p>
      <w:pPr>
        <w:pStyle w:val="BodyText"/>
      </w:pPr>
      <w:r>
        <w:rPr>
          <w:b/>
          <w:bCs/>
        </w:rPr>
        <w:t xml:space="preserve">Color vigente: VERDE</w:t>
      </w:r>
    </w:p>
    <w:p>
      <w:pPr>
        <w:pStyle w:val="BodyText"/>
      </w:pPr>
      <w:r>
        <w:t xml:space="preserve">Ponderación vigente en el ITCIS: 8,8 % efectivo. El color es una lectura adicional — no reemplaza ni cambia esta ponderación.</w:t>
      </w:r>
    </w:p>
    <w:bookmarkEnd w:id="39"/>
    <w:bookmarkStart w:id="40" w:name="transparencia-limitaciones-declaradas-1"/>
    <w:p>
      <w:pPr>
        <w:pStyle w:val="Heading2"/>
      </w:pPr>
      <w:r>
        <w:t xml:space="preserve">Transparencia — limitaciones declaradas</w:t>
      </w:r>
    </w:p>
    <w:p>
      <w:pPr>
        <w:pStyle w:val="Compact"/>
        <w:numPr>
          <w:ilvl w:val="0"/>
          <w:numId w:val="1007"/>
        </w:numPr>
      </w:pPr>
      <w:r>
        <w:t xml:space="preserve">La métrica anterior (alimentos contra salario) correlacionaba casi uno a uno con la brecha de la canasta: un tercio del índice contaba dos veces lo mismo. Se corrigió con el rediseño relativo al IPC general.</w:t>
      </w:r>
    </w:p>
    <w:p>
      <w:pPr>
        <w:pStyle w:val="Compact"/>
        <w:numPr>
          <w:ilvl w:val="0"/>
          <w:numId w:val="1007"/>
        </w:numPr>
      </w:pPr>
      <w:r>
        <w:t xml:space="preserve">Leve estacionalidad de la canasta alimentaria aceptada sin corrección, auditada y declarada.</w:t>
      </w:r>
    </w:p>
    <w:bookmarkEnd w:id="40"/>
    <w:bookmarkStart w:id="41" w:name="X5bd7fb7e3de0539204b5af8f15d14927966600e"/>
    <w:p>
      <w:pPr>
        <w:pStyle w:val="Heading2"/>
      </w:pPr>
      <w:r>
        <w:t xml:space="preserve">Si falta el dato / Política de revisiones</w:t>
      </w:r>
    </w:p>
    <w:p>
      <w:pPr>
        <w:numPr>
          <w:ilvl w:val="0"/>
          <w:numId w:val="1008"/>
        </w:numPr>
      </w:pPr>
      <w:r>
        <w:rPr>
          <w:b/>
          <w:bCs/>
        </w:rPr>
        <w:t xml:space="preserve">Si falta el dato:</w:t>
      </w:r>
      <w:r>
        <w:t xml:space="preserve"> </w:t>
      </w:r>
      <w:r>
        <w:t xml:space="preserve">Se mantiene el último valor publicado como desactualizado; sin componente, los pesos del índice se renormalizan.</w:t>
      </w:r>
    </w:p>
    <w:p>
      <w:pPr>
        <w:numPr>
          <w:ilvl w:val="0"/>
          <w:numId w:val="1008"/>
        </w:numPr>
      </w:pPr>
      <w:r>
        <w:rPr>
          <w:b/>
          <w:bCs/>
        </w:rPr>
        <w:t xml:space="preserve">Política de revisiones:</w:t>
      </w:r>
      <w:r>
        <w:t xml:space="preserve"> </w:t>
      </w:r>
      <w:r>
        <w:t xml:space="preserve">La API sirve la serie revisada; la base del 4º trimestre de 2023 se recalcula dinámicamente de la propia serie.</w:t>
      </w:r>
    </w:p>
    <w:bookmarkEnd w:id="41"/>
    <w:bookmarkStart w:id="42" w:name="X96d65d75de98372a532c7c1fba300d7558b9e4c"/>
    <w:p>
      <w:pPr>
        <w:pStyle w:val="Heading2"/>
      </w:pPr>
      <w:r>
        <w:t xml:space="preserve">Historial — cambios metodológicos documentados</w:t>
      </w:r>
    </w:p>
    <w:p>
      <w:pPr>
        <w:pStyle w:val="FirstParagraph"/>
      </w:pPr>
      <w:r>
        <w:rPr>
          <w:b/>
          <w:bCs/>
        </w:rPr>
        <w:t xml:space="preserve">2026-07-03</w:t>
      </w:r>
      <w:r>
        <w:t xml:space="preserve"> </w:t>
      </w:r>
      <w:r>
        <w:t xml:space="preserve">— Entra al ITCIS base-100 (entonces como nivel contra el salario).</w:t>
      </w:r>
    </w:p>
    <w:p>
      <w:pPr>
        <w:pStyle w:val="BodyText"/>
      </w:pPr>
      <w:r>
        <w:rPr>
          <w:b/>
          <w:bCs/>
        </w:rPr>
        <w:t xml:space="preserve">2026-07-04</w:t>
      </w:r>
      <w:r>
        <w:t xml:space="preserve"> </w:t>
      </w:r>
      <w:r>
        <w:t xml:space="preserve">— Rediseño: nivel contra el IPC general, eliminando el doble conteo con la brecha salario/canasta.</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42"/>
    <w:bookmarkEnd w:id="43"/>
    <w:bookmarkStart w:id="53" w:name="canasta-de-servicios-públicos-salario"/>
    <w:p>
      <w:pPr>
        <w:pStyle w:val="Heading1"/>
      </w:pPr>
      <w:r>
        <w:t xml:space="preserve">Canasta de servicios públicos / salario</w:t>
      </w:r>
    </w:p>
    <w:p>
      <w:pPr>
        <w:pStyle w:val="FirstParagraph"/>
      </w:pPr>
      <w:r>
        <w:t xml:space="preserve">Qué porcentaje de un salario RIPTE cuesta la canasta mensual de electricidad, gas, agua y transporte de un hogar representativo del AMBA.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14,5 % del salario RIPTE</w:t>
            </w:r>
            <w:r>
              <w:t xml:space="preserve"> </w:t>
            </w:r>
            <w:r>
              <w:t xml:space="preserve">(2026-08)</w:t>
            </w:r>
          </w:p>
        </w:tc>
        <w:tc>
          <w:tcPr/>
          <w:p>
            <w:pPr>
              <w:pStyle w:val="Compact"/>
            </w:pPr>
            <w:r>
              <w:rPr>
                <w:b/>
                <w:bCs/>
              </w:rPr>
              <w:t xml:space="preserve">VERDE</w:t>
            </w:r>
          </w:p>
        </w:tc>
        <w:tc>
          <w:tcPr/>
          <w:p>
            <w:pPr>
              <w:pStyle w:val="Compact"/>
            </w:pPr>
            <w:r>
              <w:t xml:space="preserve">Peso efectivo 11,2 % del ITCIS</w:t>
            </w:r>
          </w:p>
        </w:tc>
        <w:tc>
          <w:tcPr/>
          <w:p>
            <w:pPr>
              <w:pStyle w:val="Compact"/>
            </w:pPr>
            <w:r>
              <w:t xml:space="preserve">Cinturón Impacto social</w:t>
            </w:r>
          </w:p>
        </w:tc>
      </w:tr>
    </w:tbl>
    <w:bookmarkStart w:id="44" w:name="identificación-2"/>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peso_tarifas</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Presión de precios</w:t>
            </w:r>
          </w:p>
        </w:tc>
        <w:tc>
          <w:tcPr/>
          <w:p>
            <w:pPr>
              <w:pStyle w:val="Compact"/>
            </w:pPr>
            <w:r>
              <w:rPr>
                <w:b/>
                <w:bCs/>
              </w:rPr>
              <w:t xml:space="preserve">UNIDAD DE MEDIDA</w:t>
            </w:r>
          </w:p>
        </w:tc>
        <w:tc>
          <w:tcPr/>
          <w:p>
            <w:pPr>
              <w:pStyle w:val="Compact"/>
            </w:pPr>
            <w:r>
              <w:t xml:space="preserve">% del salario RIPTE</w:t>
            </w:r>
          </w:p>
        </w:tc>
      </w:tr>
      <w:tr>
        <w:tc>
          <w:tcPr/>
          <w:p>
            <w:pPr>
              <w:pStyle w:val="Compact"/>
            </w:pPr>
            <w:r>
              <w:rPr>
                <w:b/>
                <w:bCs/>
              </w:rPr>
              <w:t xml:space="preserve">SERIE DISPONIBLE</w:t>
            </w:r>
          </w:p>
        </w:tc>
        <w:tc>
          <w:tcPr/>
          <w:p>
            <w:pPr>
              <w:pStyle w:val="Compact"/>
            </w:pPr>
            <w:r>
              <w:t xml:space="preserve">2025-12 → 2026-08 (9 puntos)</w:t>
            </w:r>
          </w:p>
        </w:tc>
        <w:tc>
          <w:tcPr/>
          <w:p>
            <w:pPr>
              <w:pStyle w:val="Compact"/>
            </w:pPr>
            <w:r>
              <w:rPr>
                <w:b/>
                <w:bCs/>
              </w:rPr>
              <w:t xml:space="preserve">REZAGO DE PUBLICACIÓN</w:t>
            </w:r>
          </w:p>
        </w:tc>
        <w:tc>
          <w:tcPr/>
          <w:p>
            <w:pPr>
              <w:pStyle w:val="Compact"/>
            </w:pPr>
            <w:r>
              <w:t xml:space="preserve">El IIEP publica durante el mismo mes una estimación de la canasta y del RIPTE del período.</w:t>
            </w:r>
          </w:p>
        </w:tc>
      </w:tr>
      <w:tr>
        <w:tc>
          <w:tcPr/>
          <w:p>
            <w:pPr>
              <w:pStyle w:val="Compact"/>
            </w:pPr>
            <w:r>
              <w:rPr>
                <w:b/>
                <w:bCs/>
              </w:rPr>
              <w:t xml:space="preserve">PRODUCTOR DEL DATO</w:t>
            </w:r>
          </w:p>
        </w:tc>
        <w:tc>
          <w:tcPr/>
          <w:p>
            <w:pPr>
              <w:pStyle w:val="Compact"/>
            </w:pPr>
            <w:r>
              <w:t xml:space="preserve">IIEP UBA-CONICET, Observatorio de Tarifas y Subsidios</w:t>
            </w:r>
          </w:p>
        </w:tc>
        <w:tc>
          <w:tcPr/>
          <w:p>
            <w:pPr>
              <w:pStyle w:val="Compact"/>
            </w:pPr>
            <w:r>
              <w:rPr>
                <w:b/>
                <w:bCs/>
              </w:rPr>
              <w:t xml:space="preserve">OPERACIÓN ESTADÍSTICA</w:t>
            </w:r>
          </w:p>
        </w:tc>
        <w:tc>
          <w:tcPr/>
          <w:p>
            <w:pPr>
              <w:pStyle w:val="Compact"/>
            </w:pPr>
            <w:r>
              <w:t xml:space="preserve">Canasta de Servicios Públicos del AMBA sobre salario RIPTE</w:t>
            </w:r>
          </w:p>
        </w:tc>
      </w:tr>
      <w:tr>
        <w:tc>
          <w:tcPr/>
          <w:p>
            <w:pPr>
              <w:pStyle w:val="Compact"/>
            </w:pPr>
            <w:r>
              <w:rPr>
                <w:b/>
                <w:bCs/>
              </w:rPr>
              <w:t xml:space="preserve">MODO DE ACCESO</w:t>
            </w:r>
          </w:p>
        </w:tc>
        <w:tc>
          <w:tcPr/>
          <w:p>
            <w:pPr>
              <w:pStyle w:val="Compact"/>
            </w:pPr>
            <w:r>
              <w:t xml:space="preserve">Automático: páginas mensuales del reporte de Tarifas y Subsidios.</w:t>
            </w:r>
          </w:p>
        </w:tc>
        <w:tc>
          <w:tcPr/>
          <w:p>
            <w:pPr>
              <w:pStyle w:val="Compact"/>
            </w:pPr>
            <w:r>
              <w:rPr>
                <w:b/>
                <w:bCs/>
              </w:rPr>
              <w:t xml:space="preserve">ÚLTIMA ACTUALIZACIÓN</w:t>
            </w:r>
          </w:p>
        </w:tc>
        <w:tc>
          <w:tcPr/>
          <w:p>
            <w:pPr>
              <w:pStyle w:val="Compact"/>
            </w:pPr>
            <w:r>
              <w:t xml:space="preserve">Dato a 2026-08 · informe generado el 2026-08-21</w:t>
            </w:r>
          </w:p>
        </w:tc>
      </w:tr>
    </w:tbl>
    <w:bookmarkEnd w:id="44"/>
    <w:bookmarkStart w:id="45" w:name="definición-qué-mide-y-por-qué-importa-2"/>
    <w:p>
      <w:pPr>
        <w:pStyle w:val="Heading2"/>
      </w:pPr>
      <w:r>
        <w:t xml:space="preserve">Definición — qué mide y por qué importa</w:t>
      </w:r>
    </w:p>
    <w:p>
      <w:pPr>
        <w:pStyle w:val="FirstParagraph"/>
      </w:pPr>
      <w:r>
        <w:t xml:space="preserve">Qué porcentaje de un salario RIPTE cuesta la canasta mensual de electricidad, gas, agua y transporte de un hogar representativo del AMBA.</w:t>
      </w:r>
    </w:p>
    <w:p>
      <w:pPr>
        <w:pStyle w:val="BodyText"/>
      </w:pPr>
      <w:r>
        <w:t xml:space="preserve">Mide directamente la asequibilidad de los servicios públicos y puntúa con 45% de la dimensión de precios. Agua+energía y transporte se comparan por separado con referencias internacionales de 10% y 5% del ingreso; entra la mayor tensión para que un rubro caro no quede oculto por otro barato.</w:t>
      </w:r>
    </w:p>
    <w:p>
      <w:pPr>
        <w:pStyle w:val="BodyText"/>
      </w:pPr>
      <w:r>
        <w:rPr>
          <w:b/>
          <w:bCs/>
        </w:rPr>
        <w:t xml:space="preserve">Dimensión que integra — Presión de precios.</w:t>
      </w:r>
      <w:r>
        <w:t xml:space="preserve"> </w:t>
      </w:r>
      <w:r>
        <w:t xml:space="preserve">Tres gastos sensibles: alimentos contra el IPC general, alquiler contra el resto de los precios y la canasta efectiva de electricidad, gas, agua y transporte como proporción del salario. Agua+energía y transporte se evalúan por separado contra referencias internacionales de asequibilidad, no contra las tarifas subsidiadas de 2023.</w:t>
      </w:r>
    </w:p>
    <w:bookmarkEnd w:id="45"/>
    <w:bookmarkStart w:id="46" w:name="método-de-cómputo-2"/>
    <w:p>
      <w:pPr>
        <w:pStyle w:val="Heading2"/>
      </w:pPr>
      <w:r>
        <w:t xml:space="preserve">Método de cómputo</w:t>
      </w:r>
    </w:p>
    <w:p>
      <w:pPr>
        <w:pStyle w:val="Compact"/>
        <w:numPr>
          <w:ilvl w:val="0"/>
          <w:numId w:val="1009"/>
        </w:numPr>
      </w:pPr>
      <w:r>
        <w:t xml:space="preserve">El IIEP suma las facturas mensuales de electricidad, gas, agua y transporte para un hogar representativo del AMBA.</w:t>
      </w:r>
    </w:p>
    <w:p>
      <w:pPr>
        <w:pStyle w:val="Compact"/>
        <w:numPr>
          <w:ilvl w:val="0"/>
          <w:numId w:val="1009"/>
        </w:numPr>
      </w:pPr>
      <w:r>
        <w:t xml:space="preserve">La card publica esa canasta como porcentaje del salario RIPTE estimado por el propio reporte.</w:t>
      </w:r>
    </w:p>
    <w:p>
      <w:pPr>
        <w:pStyle w:val="Compact"/>
        <w:numPr>
          <w:ilvl w:val="0"/>
          <w:numId w:val="1009"/>
        </w:numPr>
      </w:pPr>
      <w:r>
        <w:t xml:space="preserve">El total se separa usando la participación del transporte que publica el IIEP. Agua+energía se compara con 10% del ingreso y transporte con 5%; cada exceso de 2,5 puntos agrega 5 de tensión. Se toma el peor grupo y el índice que entra al ITCIS es 125 − 5 × tensión.</w:t>
      </w:r>
    </w:p>
    <w:bookmarkEnd w:id="46"/>
    <w:bookmarkStart w:id="47" w:name="Xeaceac25dc22f621ad8bee78d29eedd39b8dc62"/>
    <w:p>
      <w:pPr>
        <w:pStyle w:val="Heading2"/>
      </w:pPr>
      <w:r>
        <w:t xml:space="preserve">Semáforo — valores que determinan el color</w:t>
      </w:r>
    </w:p>
    <w:p>
      <w:pPr>
        <w:pStyle w:val="FirstParagraph"/>
      </w:pPr>
      <w:r>
        <w:t xml:space="preserve">Este componente no usa como vara las tarifas subsidiadas de 2023. Agua y energía se comparan con 10% del ingreso, transporte con 5%, y se conserva la mayor tensión. Ese resultado se expresa en la escala común del ITCIS, donde 100 equivale a tensión 5; no es un índice temporal base 100.</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de asequibilidad; 100 = tensión 5)</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112,6</w:t>
      </w:r>
      <w:r>
        <w:t xml:space="preserve">.</w:t>
      </w:r>
    </w:p>
    <w:bookmarkEnd w:id="47"/>
    <w:bookmarkStart w:id="48" w:name="datos-concretos-detrás-del-valor-2"/>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0"/>
        </w:numPr>
      </w:pPr>
      <w:r>
        <w:t xml:space="preserve">El informe publica el valor (14,5 % del salario RIPTE) pero no los números que lo componen: la fuente entrega la serie ya calculada. Para auditar el dato hay que ir a la operación estadística citada más arriba.</w:t>
      </w:r>
    </w:p>
    <w:bookmarkEnd w:id="48"/>
    <w:bookmarkStart w:id="49" w:name="color-vigente-y-por-qué-2"/>
    <w:p>
      <w:pPr>
        <w:pStyle w:val="Heading2"/>
      </w:pPr>
      <w:r>
        <w:t xml:space="preserve">Color vigente y por qué</w:t>
      </w:r>
    </w:p>
    <w:p>
      <w:pPr>
        <w:pStyle w:val="FirstParagraph"/>
      </w:pPr>
      <w:r>
        <w:t xml:space="preserve">Dato vigente: 14,5 % del salario RIPTE (2026-08).</w:t>
      </w:r>
    </w:p>
    <w:p>
      <w:pPr>
        <w:pStyle w:val="BodyText"/>
      </w:pPr>
      <w:r>
        <w:t xml:space="preserve">Agua y energía representan 8,3% del salario; transporte, 6,2%. La mayor de las dos señales fija la tensión equivalente en 2,5/10. El índice de asequibilidad resultante es 112,6 — 105 o más —, que corresponde al tramo VERDE. 100 equivale a tensión 5; no al nivel tarifario del 4º trimestre de 2023.</w:t>
      </w:r>
    </w:p>
    <w:p>
      <w:pPr>
        <w:pStyle w:val="BodyText"/>
      </w:pPr>
      <w:r>
        <w:rPr>
          <w:b/>
          <w:bCs/>
        </w:rPr>
        <w:t xml:space="preserve">Color vigente: VERDE</w:t>
      </w:r>
    </w:p>
    <w:p>
      <w:pPr>
        <w:pStyle w:val="BodyText"/>
      </w:pPr>
      <w:r>
        <w:t xml:space="preserve">Ponderación vigente en el ITCIS: 11,2 % efectivo. El color es una lectura adicional — no reemplaza ni cambia esta ponderación.</w:t>
      </w:r>
    </w:p>
    <w:bookmarkEnd w:id="49"/>
    <w:bookmarkStart w:id="50" w:name="transparencia-limitaciones-declaradas-2"/>
    <w:p>
      <w:pPr>
        <w:pStyle w:val="Heading2"/>
      </w:pPr>
      <w:r>
        <w:t xml:space="preserve">Transparencia — limitaciones declaradas</w:t>
      </w:r>
    </w:p>
    <w:p>
      <w:pPr>
        <w:pStyle w:val="Compact"/>
        <w:numPr>
          <w:ilvl w:val="0"/>
          <w:numId w:val="1011"/>
        </w:numPr>
      </w:pPr>
      <w:r>
        <w:t xml:space="preserve">Representa un hogar tipo del AMBA y no al país entero; consumo, segmentación y cuadros tarifarios varían por hogar y jurisdicción.</w:t>
      </w:r>
    </w:p>
    <w:p>
      <w:pPr>
        <w:pStyle w:val="Compact"/>
        <w:numPr>
          <w:ilvl w:val="0"/>
          <w:numId w:val="1011"/>
        </w:numPr>
      </w:pPr>
      <w:r>
        <w:t xml:space="preserve">El denominador es RIPTE: representa empleo formal estable, no el ingreso mediano de todos los hogares.</w:t>
      </w:r>
    </w:p>
    <w:p>
      <w:pPr>
        <w:pStyle w:val="Compact"/>
        <w:numPr>
          <w:ilvl w:val="0"/>
          <w:numId w:val="1011"/>
        </w:numPr>
      </w:pPr>
      <w:r>
        <w:t xml:space="preserve">Las referencias internacionales usan ingreso o presupuesto del hogar; el RIPTE es un salario formal individual. La comparación es una escala de asequibilidad del ingreso formal representativo, no una estimación de pobreza energética de todos los hogares.</w:t>
      </w:r>
    </w:p>
    <w:p>
      <w:pPr>
        <w:pStyle w:val="Compact"/>
        <w:numPr>
          <w:ilvl w:val="0"/>
          <w:numId w:val="1011"/>
        </w:numPr>
      </w:pPr>
      <w:r>
        <w:t xml:space="preserve">La serie exacta reconstruida comienza en diciembre de 2025, cuando los informes PDF pasan a expresar en texto tanto la carga sobre el salario como la participación del transporte. Los meses anteriores no se estiman leyendo puntos de un gráfico.</w:t>
      </w:r>
    </w:p>
    <w:bookmarkEnd w:id="50"/>
    <w:bookmarkStart w:id="51" w:name="Xef0254494c8cbb948c0e61c654d5e9b1983623c"/>
    <w:p>
      <w:pPr>
        <w:pStyle w:val="Heading2"/>
      </w:pPr>
      <w:r>
        <w:t xml:space="preserve">Si falta el dato / Política de revisiones</w:t>
      </w:r>
    </w:p>
    <w:p>
      <w:pPr>
        <w:numPr>
          <w:ilvl w:val="0"/>
          <w:numId w:val="1012"/>
        </w:numPr>
      </w:pPr>
      <w:r>
        <w:rPr>
          <w:b/>
          <w:bCs/>
        </w:rPr>
        <w:t xml:space="preserve">Si falta el dato:</w:t>
      </w:r>
      <w:r>
        <w:t xml:space="preserve"> </w:t>
      </w:r>
      <w:r>
        <w:t xml:space="preserve">Se mantiene el último valor publicado como desactualizado; si no hay dato utilizable, la dimensión renormaliza entre alimentos y alquiler.</w:t>
      </w:r>
    </w:p>
    <w:p>
      <w:pPr>
        <w:numPr>
          <w:ilvl w:val="0"/>
          <w:numId w:val="1012"/>
        </w:numPr>
      </w:pPr>
      <w:r>
        <w:rPr>
          <w:b/>
          <w:bCs/>
        </w:rPr>
        <w:t xml:space="preserve">Política de revisiones:</w:t>
      </w:r>
      <w:r>
        <w:t xml:space="preserve"> </w:t>
      </w:r>
      <w:r>
        <w:t xml:space="preserve">Re-descarga completa de las páginas mensuales; las anclas de 10% para agua+energía y 5% para transporte son fijas y no se recalibran con el resultado argentino.</w:t>
      </w:r>
    </w:p>
    <w:bookmarkEnd w:id="51"/>
    <w:bookmarkStart w:id="52" w:name="X26b91c30c62ddbbdbd672bb193ae636df8c7ae1"/>
    <w:p>
      <w:pPr>
        <w:pStyle w:val="Heading2"/>
      </w:pPr>
      <w:r>
        <w:t xml:space="preserve">Historial — cambios metodológicos documentados</w:t>
      </w:r>
    </w:p>
    <w:p>
      <w:pPr>
        <w:pStyle w:val="FirstParagraph"/>
      </w:pPr>
      <w:r>
        <w:rPr>
          <w:b/>
          <w:bCs/>
        </w:rPr>
        <w:t xml:space="preserve">2026-08-21</w:t>
      </w:r>
      <w:r>
        <w:t xml:space="preserve"> </w:t>
      </w:r>
      <w:r>
        <w:t xml:space="preserve">— IPC Regulados/RIPTE se reemplaza por la canasta efectiva IIEP/RIPTE. Conserva su peso; agua+energía y transporte pasan a anclas internacionales propias, sin usar como vara el 4T-2023 subsidiado.</w:t>
      </w:r>
    </w:p>
    <w:p>
      <w:pPr>
        <w:pStyle w:val="BodyText"/>
      </w:pPr>
      <w:r>
        <w:rPr>
          <w:b/>
          <w:bCs/>
        </w:rPr>
        <w:t xml:space="preserve">2026-07-03</w:t>
      </w:r>
      <w:r>
        <w:t xml:space="preserve"> </w:t>
      </w:r>
      <w:r>
        <w:t xml:space="preserve">— Entra al ITCIS base-100 como nivel de regulados contra el salario (decisión superada por ADR-0232).</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52"/>
    <w:bookmarkEnd w:id="53"/>
    <w:bookmarkStart w:id="63" w:name="costo-real-del-alquiler"/>
    <w:p>
      <w:pPr>
        <w:pStyle w:val="Heading1"/>
      </w:pPr>
      <w:r>
        <w:t xml:space="preserve">Costo real del alquiler</w:t>
      </w:r>
    </w:p>
    <w:p>
      <w:pPr>
        <w:pStyle w:val="FirstParagraph"/>
      </w:pPr>
      <w:r>
        <w:t xml:space="preserve">Cuánto se encareció el alquiler de la vivienda por encima del resto de los precios. En el ITCIS puntúa por el NIVEL del alquiler relativo al índice general del Gran Buenos Aires, rebaseado a 100 = 4T-2023.</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1,47 % m/m alquileres</w:t>
            </w:r>
            <w:r>
              <w:t xml:space="preserve"> </w:t>
            </w:r>
            <w:r>
              <w:t xml:space="preserve">(2026-07)</w:t>
            </w:r>
          </w:p>
        </w:tc>
        <w:tc>
          <w:tcPr/>
          <w:p>
            <w:pPr>
              <w:pStyle w:val="Compact"/>
            </w:pPr>
            <w:r>
              <w:rPr>
                <w:b/>
                <w:bCs/>
              </w:rPr>
              <w:t xml:space="preserve">ROJO</w:t>
            </w:r>
          </w:p>
        </w:tc>
        <w:tc>
          <w:tcPr/>
          <w:p>
            <w:pPr>
              <w:pStyle w:val="Compact"/>
            </w:pPr>
            <w:r>
              <w:t xml:space="preserve">Peso efectivo 5 % del ITCIS</w:t>
            </w:r>
          </w:p>
        </w:tc>
        <w:tc>
          <w:tcPr/>
          <w:p>
            <w:pPr>
              <w:pStyle w:val="Compact"/>
            </w:pPr>
            <w:r>
              <w:t xml:space="preserve">Cinturón Impacto social</w:t>
            </w:r>
          </w:p>
        </w:tc>
      </w:tr>
    </w:tbl>
    <w:bookmarkStart w:id="54" w:name="identificación-3"/>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alquiler_real</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Presión de precios</w:t>
            </w:r>
          </w:p>
        </w:tc>
        <w:tc>
          <w:tcPr/>
          <w:p>
            <w:pPr>
              <w:pStyle w:val="Compact"/>
            </w:pPr>
            <w:r>
              <w:rPr>
                <w:b/>
                <w:bCs/>
              </w:rPr>
              <w:t xml:space="preserve">UNIDAD DE MEDIDA</w:t>
            </w:r>
          </w:p>
        </w:tc>
        <w:tc>
          <w:tcPr/>
          <w:p>
            <w:pPr>
              <w:pStyle w:val="Compact"/>
            </w:pPr>
            <w:r>
              <w:t xml:space="preserve">% m/m alquileres</w:t>
            </w:r>
          </w:p>
        </w:tc>
      </w:tr>
      <w:tr>
        <w:tc>
          <w:tcPr/>
          <w:p>
            <w:pPr>
              <w:pStyle w:val="Compact"/>
            </w:pPr>
            <w:r>
              <w:rPr>
                <w:b/>
                <w:bCs/>
              </w:rPr>
              <w:t xml:space="preserve">SERIE DISPONIBLE</w:t>
            </w:r>
          </w:p>
        </w:tc>
        <w:tc>
          <w:tcPr/>
          <w:p>
            <w:pPr>
              <w:pStyle w:val="Compact"/>
            </w:pPr>
            <w:r>
              <w:t xml:space="preserve">2021-09 → 2026-07 (59 puntos)</w:t>
            </w:r>
          </w:p>
        </w:tc>
        <w:tc>
          <w:tcPr/>
          <w:p>
            <w:pPr>
              <w:pStyle w:val="Compact"/>
            </w:pPr>
            <w:r>
              <w:rPr>
                <w:b/>
                <w:bCs/>
              </w:rPr>
              <w:t xml:space="preserve">REZAGO DE PUBLICACIÓN</w:t>
            </w:r>
          </w:p>
        </w:tc>
        <w:tc>
          <w:tcPr/>
          <w:p>
            <w:pPr>
              <w:pStyle w:val="Compact"/>
            </w:pPr>
            <w:r>
              <w:t xml:space="preserve">El IPC-GBA se publica a mediados del mes siguiente (~1 mes).</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Índice de Precios al Consumidor del Gran Buenos Aires — alquiler de la vivienda</w:t>
            </w:r>
          </w:p>
        </w:tc>
      </w:tr>
      <w:tr>
        <w:tc>
          <w:tcPr/>
          <w:p>
            <w:pPr>
              <w:pStyle w:val="Compact"/>
            </w:pPr>
            <w:r>
              <w:rPr>
                <w:b/>
                <w:bCs/>
              </w:rPr>
              <w:t xml:space="preserve">MODO DE ACCESO</w:t>
            </w:r>
          </w:p>
        </w:tc>
        <w:tc>
          <w:tcPr/>
          <w:p>
            <w:pPr>
              <w:pStyle w:val="Compact"/>
            </w:pPr>
            <w:r>
              <w:t xml:space="preserve">Automático: API pública de series.</w:t>
            </w:r>
          </w:p>
        </w:tc>
        <w:tc>
          <w:tcPr/>
          <w:p>
            <w:pPr>
              <w:pStyle w:val="Compact"/>
            </w:pPr>
            <w:r>
              <w:rPr>
                <w:b/>
                <w:bCs/>
              </w:rPr>
              <w:t xml:space="preserve">ÚLTIMA ACTUALIZACIÓN</w:t>
            </w:r>
          </w:p>
        </w:tc>
        <w:tc>
          <w:tcPr/>
          <w:p>
            <w:pPr>
              <w:pStyle w:val="Compact"/>
            </w:pPr>
            <w:r>
              <w:t xml:space="preserve">Dato a 2026-07 · informe generado el 2026-08-21</w:t>
            </w:r>
          </w:p>
        </w:tc>
      </w:tr>
    </w:tbl>
    <w:bookmarkEnd w:id="54"/>
    <w:bookmarkStart w:id="55" w:name="definición-qué-mide-y-por-qué-importa-3"/>
    <w:p>
      <w:pPr>
        <w:pStyle w:val="Heading2"/>
      </w:pPr>
      <w:r>
        <w:t xml:space="preserve">Definición — qué mide y por qué importa</w:t>
      </w:r>
    </w:p>
    <w:p>
      <w:pPr>
        <w:pStyle w:val="FirstParagraph"/>
      </w:pPr>
      <w:r>
        <w:t xml:space="preserve">Cuánto se encareció el alquiler de la vivienda por encima del resto de los precios. En el ITCIS puntúa por el NIVEL del alquiler relativo al índice general del Gran Buenos Aires, rebaseado a 100 = 4T-2023.</w:t>
      </w:r>
    </w:p>
    <w:p>
      <w:pPr>
        <w:pStyle w:val="BodyText"/>
      </w:pPr>
      <w:r>
        <w:t xml:space="preserve">La desregulación del mercado de alquileres fue uno de los cambios de política más visibles del período, y el costo de la vivienda golpea sobre todo a los hogares inquilinos urbanos — un gasto fijo que ningún otro componente del cinturón captura.</w:t>
      </w:r>
    </w:p>
    <w:p>
      <w:pPr>
        <w:pStyle w:val="BodyText"/>
      </w:pPr>
      <w:r>
        <w:rPr>
          <w:b/>
          <w:bCs/>
        </w:rPr>
        <w:t xml:space="preserve">Dimensión que integra — Presión de precios.</w:t>
      </w:r>
      <w:r>
        <w:t xml:space="preserve"> </w:t>
      </w:r>
      <w:r>
        <w:t xml:space="preserve">Tres gastos sensibles: alimentos contra el IPC general, alquiler contra el resto de los precios y la canasta efectiva de electricidad, gas, agua y transporte como proporción del salario. Agua+energía y transporte se evalúan por separado contra referencias internacionales de asequibilidad, no contra las tarifas subsidiadas de 2023.</w:t>
      </w:r>
    </w:p>
    <w:bookmarkEnd w:id="55"/>
    <w:bookmarkStart w:id="56" w:name="método-de-cómputo-3"/>
    <w:p>
      <w:pPr>
        <w:pStyle w:val="Heading2"/>
      </w:pPr>
      <w:r>
        <w:t xml:space="preserve">Método de cómputo</w:t>
      </w:r>
    </w:p>
    <w:p>
      <w:pPr>
        <w:pStyle w:val="Compact"/>
        <w:numPr>
          <w:ilvl w:val="0"/>
          <w:numId w:val="1013"/>
        </w:numPr>
      </w:pPr>
      <w:r>
        <w:t xml:space="preserve">La card muestra la variación mensual del alquiler.</w:t>
      </w:r>
    </w:p>
    <w:p>
      <w:pPr>
        <w:pStyle w:val="Compact"/>
        <w:numPr>
          <w:ilvl w:val="0"/>
          <w:numId w:val="1013"/>
        </w:numPr>
      </w:pPr>
      <w:r>
        <w:t xml:space="preserve">El componente mide el encarecimiento RELATIVO del alquiler: nivel del alquiler contra el nivel general de precios del mismo aglomerado, rebaseado a 100 = 4º trimestre de 2023. Por debajo de 100, el alquiler subió más que el resto de los precios desde el arranque.</w:t>
      </w:r>
    </w:p>
    <w:p>
      <w:pPr>
        <w:pStyle w:val="Compact"/>
        <w:numPr>
          <w:ilvl w:val="0"/>
          <w:numId w:val="1013"/>
        </w:numPr>
      </w:pPr>
      <w:r>
        <w:t xml:space="preserve">Se compara contra el índice general del Gran Buenos Aires y no contra el nacional: dividir un precio de una plaza por el índice de otra mezclaría dos mercados en el mismo cociente.</w:t>
      </w:r>
    </w:p>
    <w:bookmarkEnd w:id="56"/>
    <w:bookmarkStart w:id="57" w:name="X884d325e79d6de86b403bfd00b9257f415af6f1"/>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64,8</w:t>
      </w:r>
      <w:r>
        <w:t xml:space="preserve">.</w:t>
      </w:r>
    </w:p>
    <w:bookmarkEnd w:id="57"/>
    <w:bookmarkStart w:id="58" w:name="datos-concretos-detrás-del-valor-3"/>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4"/>
        </w:numPr>
      </w:pPr>
      <w:r>
        <w:t xml:space="preserve">El informe publica el valor (1,47 % m/m alquileres) pero no los números que lo componen: la fuente entrega la serie ya calculada. Para auditar el dato hay que ir a la operación estadística citada más arriba.</w:t>
      </w:r>
    </w:p>
    <w:bookmarkEnd w:id="58"/>
    <w:bookmarkStart w:id="59" w:name="color-vigente-y-por-qué-3"/>
    <w:p>
      <w:pPr>
        <w:pStyle w:val="Heading2"/>
      </w:pPr>
      <w:r>
        <w:t xml:space="preserve">Color vigente y por qué</w:t>
      </w:r>
    </w:p>
    <w:p>
      <w:pPr>
        <w:pStyle w:val="FirstParagraph"/>
      </w:pPr>
      <w:r>
        <w:t xml:space="preserve">Dato vigente: 1,47 % m/m alquileres (2026-07).</w:t>
      </w:r>
    </w:p>
    <w:p>
      <w:pPr>
        <w:pStyle w:val="BodyText"/>
      </w:pPr>
      <w:r>
        <w:t xml:space="preserve">El componente está en 64,8 sobre la base 100 del 4º trimestre de 2023 — menos de 85 —, que es el tramo ROJO. Está por debajo del punto donde la tensión toca 10, así que el semáforo ya no distingue deterioros adicionales: seguiría rojo igual.</w:t>
      </w:r>
    </w:p>
    <w:p>
      <w:pPr>
        <w:pStyle w:val="BodyText"/>
      </w:pPr>
      <w:r>
        <w:rPr>
          <w:b/>
          <w:bCs/>
        </w:rPr>
        <w:t xml:space="preserve">Color vigente: ROJO</w:t>
      </w:r>
    </w:p>
    <w:p>
      <w:pPr>
        <w:pStyle w:val="BodyText"/>
      </w:pPr>
      <w:r>
        <w:t xml:space="preserve">Ponderación vigente en el ITCIS: 5 % efectivo. El color es una lectura adicional — no reemplaza ni cambia esta ponderación.</w:t>
      </w:r>
    </w:p>
    <w:bookmarkEnd w:id="59"/>
    <w:bookmarkStart w:id="60" w:name="transparencia-limitaciones-declaradas-3"/>
    <w:p>
      <w:pPr>
        <w:pStyle w:val="Heading2"/>
      </w:pPr>
      <w:r>
        <w:t xml:space="preserve">Transparencia — limitaciones declaradas</w:t>
      </w:r>
    </w:p>
    <w:p>
      <w:pPr>
        <w:pStyle w:val="Compact"/>
        <w:numPr>
          <w:ilvl w:val="0"/>
          <w:numId w:val="1015"/>
        </w:numPr>
      </w:pPr>
      <w:r>
        <w:t xml:space="preserve">Sólo mide el Gran Buenos Aires: es la única apertura de alquiler que publica el INDEC, y el mercado del interior puede comportarse distinto.</w:t>
      </w:r>
    </w:p>
    <w:p>
      <w:pPr>
        <w:pStyle w:val="Compact"/>
        <w:numPr>
          <w:ilvl w:val="0"/>
          <w:numId w:val="1015"/>
        </w:numPr>
      </w:pPr>
      <w:r>
        <w:t xml:space="preserve">Mide el alquiler que releva el IPC, que sigue contratos vigentes; los valores de los contratos nuevos pueden moverse antes.</w:t>
      </w:r>
    </w:p>
    <w:p>
      <w:pPr>
        <w:pStyle w:val="Compact"/>
        <w:numPr>
          <w:ilvl w:val="0"/>
          <w:numId w:val="1015"/>
        </w:numPr>
      </w:pPr>
      <w:r>
        <w:t xml:space="preserve">No distingue entre hogares propietarios e inquilinos: el índice describe el precio, no cuántos lo pagan.</w:t>
      </w:r>
    </w:p>
    <w:bookmarkEnd w:id="60"/>
    <w:bookmarkStart w:id="61" w:name="X70e697facfb18692fa01ac9fd893f095e78dfba"/>
    <w:p>
      <w:pPr>
        <w:pStyle w:val="Heading2"/>
      </w:pPr>
      <w:r>
        <w:t xml:space="preserve">Si falta el dato / Política de revisiones</w:t>
      </w:r>
    </w:p>
    <w:p>
      <w:pPr>
        <w:numPr>
          <w:ilvl w:val="0"/>
          <w:numId w:val="1016"/>
        </w:numPr>
      </w:pPr>
      <w:r>
        <w:rPr>
          <w:b/>
          <w:bCs/>
        </w:rPr>
        <w:t xml:space="preserve">Si falta el dato:</w:t>
      </w:r>
      <w:r>
        <w:t xml:space="preserve"> </w:t>
      </w:r>
      <w:r>
        <w:t xml:space="preserve">Se mantiene el último valor publicado como desactualizado; sin componente, renormalización.</w:t>
      </w:r>
    </w:p>
    <w:p>
      <w:pPr>
        <w:numPr>
          <w:ilvl w:val="0"/>
          <w:numId w:val="1016"/>
        </w:numPr>
      </w:pPr>
      <w:r>
        <w:rPr>
          <w:b/>
          <w:bCs/>
        </w:rPr>
        <w:t xml:space="preserve">Política de revisiones:</w:t>
      </w:r>
      <w:r>
        <w:t xml:space="preserve"> </w:t>
      </w:r>
      <w:r>
        <w:t xml:space="preserve">Re-descarga completa por actualización; base fija en el 4º trimestre de 2023.</w:t>
      </w:r>
    </w:p>
    <w:bookmarkEnd w:id="61"/>
    <w:bookmarkStart w:id="62" w:name="X57c472e6153e0a3a54ac23c7ee61d844b37a3be"/>
    <w:p>
      <w:pPr>
        <w:pStyle w:val="Heading2"/>
      </w:pPr>
      <w:r>
        <w:t xml:space="preserve">Historial — cambios metodológicos documentados</w:t>
      </w:r>
    </w:p>
    <w:p>
      <w:pPr>
        <w:pStyle w:val="FirstParagraph"/>
      </w:pPr>
      <w:r>
        <w:rPr>
          <w:b/>
          <w:bCs/>
        </w:rPr>
        <w:t xml:space="preserve">2026-07-20</w:t>
      </w:r>
      <w:r>
        <w:t xml:space="preserve"> </w:t>
      </w:r>
      <w:r>
        <w:t xml:space="preserve">— Alta del indicador: la dimensión de precios no medía el costo de la vivienda.</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62"/>
    <w:bookmarkEnd w:id="63"/>
    <w:bookmarkStart w:id="73" w:name="consumo-total-de-carnes-per-cápita"/>
    <w:p>
      <w:pPr>
        <w:pStyle w:val="Heading1"/>
      </w:pPr>
      <w:r>
        <w:t xml:space="preserve">Consumo total de carnes per cápita</w:t>
      </w:r>
    </w:p>
    <w:p>
      <w:pPr>
        <w:pStyle w:val="FirstParagraph"/>
      </w:pPr>
      <w:r>
        <w:t xml:space="preserve">Los kilos de carne por habitante y por año sumando vacuna, aviar y porcina, en promedio móvil de doce meses. Es el acceso total a proteína cárnica, sin importar de qué animal viene.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114,45 kg/hab/año</w:t>
            </w:r>
            <w:r>
              <w:t xml:space="preserve"> </w:t>
            </w:r>
            <w:r>
              <w:t xml:space="preserve">(2026-06)</w:t>
            </w:r>
          </w:p>
        </w:tc>
        <w:tc>
          <w:tcPr/>
          <w:p>
            <w:pPr>
              <w:pStyle w:val="Compact"/>
            </w:pPr>
            <w:r>
              <w:rPr>
                <w:b/>
                <w:bCs/>
              </w:rPr>
              <w:t xml:space="preserve">AMARILLO</w:t>
            </w:r>
          </w:p>
        </w:tc>
        <w:tc>
          <w:tcPr/>
          <w:p>
            <w:pPr>
              <w:pStyle w:val="Compact"/>
            </w:pPr>
            <w:r>
              <w:t xml:space="preserve">Peso efectivo 0,9 % del ITCIS</w:t>
            </w:r>
          </w:p>
        </w:tc>
        <w:tc>
          <w:tcPr/>
          <w:p>
            <w:pPr>
              <w:pStyle w:val="Compact"/>
            </w:pPr>
            <w:r>
              <w:t xml:space="preserve">Cinturón Impacto social</w:t>
            </w:r>
          </w:p>
        </w:tc>
      </w:tr>
    </w:tbl>
    <w:bookmarkStart w:id="64" w:name="identificación-4"/>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consumo_carnes_total</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Ingresos y consumo</w:t>
            </w:r>
          </w:p>
        </w:tc>
        <w:tc>
          <w:tcPr/>
          <w:p>
            <w:pPr>
              <w:pStyle w:val="Compact"/>
            </w:pPr>
            <w:r>
              <w:rPr>
                <w:b/>
                <w:bCs/>
              </w:rPr>
              <w:t xml:space="preserve">UNIDAD DE MEDIDA</w:t>
            </w:r>
          </w:p>
        </w:tc>
        <w:tc>
          <w:tcPr/>
          <w:p>
            <w:pPr>
              <w:pStyle w:val="Compact"/>
            </w:pPr>
            <w:r>
              <w:t xml:space="preserve">kg/hab/año</w:t>
            </w:r>
          </w:p>
        </w:tc>
      </w:tr>
      <w:tr>
        <w:tc>
          <w:tcPr/>
          <w:p>
            <w:pPr>
              <w:pStyle w:val="Compact"/>
            </w:pPr>
            <w:r>
              <w:rPr>
                <w:b/>
                <w:bCs/>
              </w:rPr>
              <w:t xml:space="preserve">SERIE DISPONIBLE</w:t>
            </w:r>
          </w:p>
        </w:tc>
        <w:tc>
          <w:tcPr/>
          <w:p>
            <w:pPr>
              <w:pStyle w:val="Compact"/>
            </w:pPr>
            <w:r>
              <w:t xml:space="preserve">2023-01 → 2026-06 (42 puntos)</w:t>
            </w:r>
          </w:p>
        </w:tc>
        <w:tc>
          <w:tcPr/>
          <w:p>
            <w:pPr>
              <w:pStyle w:val="Compact"/>
            </w:pPr>
            <w:r>
              <w:rPr>
                <w:b/>
                <w:bCs/>
              </w:rPr>
              <w:t xml:space="preserve">REZAGO DE PUBLICACIÓN</w:t>
            </w:r>
          </w:p>
        </w:tc>
        <w:tc>
          <w:tcPr/>
          <w:p>
            <w:pPr>
              <w:pStyle w:val="Compact"/>
            </w:pPr>
            <w:r>
              <w:t xml:space="preserve">El tablero oficial publica el mes con unas semanas de demora; la faena del INDEC, con dos meses. El titular avanza con el tablero y el índice con la faena.</w:t>
            </w:r>
          </w:p>
        </w:tc>
      </w:tr>
      <w:tr>
        <w:tc>
          <w:tcPr/>
          <w:p>
            <w:pPr>
              <w:pStyle w:val="Compact"/>
            </w:pPr>
            <w:r>
              <w:rPr>
                <w:b/>
                <w:bCs/>
              </w:rPr>
              <w:t xml:space="preserve">PRODUCTOR DEL DATO</w:t>
            </w:r>
          </w:p>
        </w:tc>
        <w:tc>
          <w:tcPr/>
          <w:p>
            <w:pPr>
              <w:pStyle w:val="Compact"/>
            </w:pPr>
            <w:r>
              <w:t xml:space="preserve">SAGYP (nivel) e INDEC (evolución)</w:t>
            </w:r>
          </w:p>
        </w:tc>
        <w:tc>
          <w:tcPr/>
          <w:p>
            <w:pPr>
              <w:pStyle w:val="Compact"/>
            </w:pPr>
            <w:r>
              <w:rPr>
                <w:b/>
                <w:bCs/>
              </w:rPr>
              <w:t xml:space="preserve">OPERACIÓN ESTADÍSTICA</w:t>
            </w:r>
          </w:p>
        </w:tc>
        <w:tc>
          <w:tcPr/>
          <w:p>
            <w:pPr>
              <w:pStyle w:val="Compact"/>
            </w:pPr>
            <w:r>
              <w:t xml:space="preserve">Nivel: SAGYP — Dirección Nacional de Producción Ganadera, tablero de consumo per cápita de carnes, promedio móvil de 12 meses. Evolución: faena mensual en toneladas de vacunos, porcinos y aves (INDEC, series 40.3_VT_0_M_17 · 40.3_PT_0_M_18 · 40.3_AT_0_M_14), per cápita con la población proyectada del INDEC.</w:t>
            </w:r>
          </w:p>
        </w:tc>
      </w:tr>
      <w:tr>
        <w:tc>
          <w:tcPr/>
          <w:p>
            <w:pPr>
              <w:pStyle w:val="Compact"/>
            </w:pPr>
            <w:r>
              <w:rPr>
                <w:b/>
                <w:bCs/>
              </w:rPr>
              <w:t xml:space="preserve">MODO DE ACCESO</w:t>
            </w:r>
          </w:p>
        </w:tc>
        <w:tc>
          <w:tcPr/>
          <w:p>
            <w:pPr>
              <w:pStyle w:val="Compact"/>
            </w:pPr>
            <w:r>
              <w:t xml:space="preserve">Automático: lectura mensual del PDF del tablero y de la API de series de tiempo del INDEC.</w:t>
            </w:r>
          </w:p>
        </w:tc>
        <w:tc>
          <w:tcPr/>
          <w:p>
            <w:pPr>
              <w:pStyle w:val="Compact"/>
            </w:pPr>
            <w:r>
              <w:rPr>
                <w:b/>
                <w:bCs/>
              </w:rPr>
              <w:t xml:space="preserve">ÚLTIMA ACTUALIZACIÓN</w:t>
            </w:r>
          </w:p>
        </w:tc>
        <w:tc>
          <w:tcPr/>
          <w:p>
            <w:pPr>
              <w:pStyle w:val="Compact"/>
            </w:pPr>
            <w:r>
              <w:t xml:space="preserve">Dato a 2026-06 · informe generado el 2026-08-21</w:t>
            </w:r>
          </w:p>
        </w:tc>
      </w:tr>
    </w:tbl>
    <w:bookmarkEnd w:id="64"/>
    <w:bookmarkStart w:id="65" w:name="definición-qué-mide-y-por-qué-importa-4"/>
    <w:p>
      <w:pPr>
        <w:pStyle w:val="Heading2"/>
      </w:pPr>
      <w:r>
        <w:t xml:space="preserve">Definición — qué mide y por qué importa</w:t>
      </w:r>
    </w:p>
    <w:p>
      <w:pPr>
        <w:pStyle w:val="FirstParagraph"/>
      </w:pPr>
      <w:r>
        <w:t xml:space="preserve">Los kilos de carne por habitante y por año sumando vacuna, aviar y porcina, en promedio móvil de doce meses. Es el acceso total a proteína cárnica, sin importar de qué animal viene.</w:t>
      </w:r>
    </w:p>
    <w:p>
      <w:pPr>
        <w:pStyle w:val="BodyText"/>
      </w:pPr>
      <w:r>
        <w:t xml:space="preserve">Distingue dos cosas que se parecen y no son lo mismo: si el consumo de vacuna cae y el total se sostiene, hay sustitución hacia pollo o cerdo; si caen los dos juntos, hay una pérdida real de acceso a proteína animal. Por eso puntúa el total y no la vacuna, que sola no permite separarlas — el desglose por carne se publica acá abajo, junto al color. El titular muestra el nivel oficial en kilos; el gráfico y el puntaje van en índice base 100 = 4T-2023, reconstruido desde la faena, que es lo único con historia para comparar contra el arranque del mandato.</w:t>
      </w:r>
    </w:p>
    <w:p>
      <w:pPr>
        <w:pStyle w:val="BodyText"/>
      </w:pPr>
      <w:r>
        <w:rPr>
          <w:b/>
          <w:bCs/>
        </w:rPr>
        <w:t xml:space="preserve">Dimensión que integra — Ingresos y consumo.</w:t>
      </w:r>
      <w:r>
        <w:t xml:space="preserve"> </w:t>
      </w:r>
      <w:r>
        <w:t xml:space="preserve">Si el sueldo alcanza y qué compra: la brecha entre el salario y la canasta de pobreza, la pobreza estimada mes a mes, y tres termómetros de bolsillo —las ventas de supermercados a precios constantes, el consumo de carne y la motorización total, que suma autos y motos 0 km por habitante— que se mueven con el poder de compra.</w:t>
      </w:r>
    </w:p>
    <w:bookmarkEnd w:id="65"/>
    <w:bookmarkStart w:id="66" w:name="método-de-cómputo-4"/>
    <w:p>
      <w:pPr>
        <w:pStyle w:val="Heading2"/>
      </w:pPr>
      <w:r>
        <w:t xml:space="preserve">Método de cómputo</w:t>
      </w:r>
    </w:p>
    <w:p>
      <w:pPr>
        <w:pStyle w:val="Compact"/>
        <w:numPr>
          <w:ilvl w:val="0"/>
          <w:numId w:val="1017"/>
        </w:numPr>
      </w:pPr>
      <w:r>
        <w:t xml:space="preserve">Suma de las tres carnes —vacuna, aviar y porcina— en toneladas, promedio móvil de 12 meses: la misma ventana con la que la fuente oficial publica su per cápita, y la que saca la estacionalidad fuerte de la faena.</w:t>
      </w:r>
    </w:p>
    <w:p>
      <w:pPr>
        <w:pStyle w:val="Compact"/>
        <w:numPr>
          <w:ilvl w:val="0"/>
          <w:numId w:val="1017"/>
        </w:numPr>
      </w:pPr>
      <w:r>
        <w:t xml:space="preserve">Pasaje a per cápita con la población total proyectada del INDEC, interpolada a meses desde su serie trimestral.</w:t>
      </w:r>
    </w:p>
    <w:p>
      <w:pPr>
        <w:pStyle w:val="Compact"/>
        <w:numPr>
          <w:ilvl w:val="0"/>
          <w:numId w:val="1017"/>
        </w:numPr>
      </w:pPr>
      <w:r>
        <w:t xml:space="preserve">Componente del índice: el resultado rebaseado a 100 = promedio del 4º trimestre de 2023 (menos proteína por habitante = deterioro).</w:t>
      </w:r>
    </w:p>
    <w:bookmarkEnd w:id="66"/>
    <w:bookmarkStart w:id="67" w:name="X645ca3b02a92b2e30ea8c7e8d98b73de6b8b70c"/>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95</w:t>
      </w:r>
      <w:r>
        <w:t xml:space="preserve">.</w:t>
      </w:r>
    </w:p>
    <w:bookmarkEnd w:id="67"/>
    <w:bookmarkStart w:id="68" w:name="datos-concretos-detrás-del-valor-4"/>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8"/>
        </w:numPr>
      </w:pPr>
      <w:r>
        <w:t xml:space="preserve">El informe publica el valor (114,45 kg/hab/año) pero no los números que lo componen: la fuente entrega la serie ya calculada. Para auditar el dato hay que ir a la operación estadística citada más arriba.</w:t>
      </w:r>
    </w:p>
    <w:bookmarkEnd w:id="68"/>
    <w:bookmarkStart w:id="69" w:name="color-vigente-y-por-qué-4"/>
    <w:p>
      <w:pPr>
        <w:pStyle w:val="Heading2"/>
      </w:pPr>
      <w:r>
        <w:t xml:space="preserve">Color vigente y por qué</w:t>
      </w:r>
    </w:p>
    <w:p>
      <w:pPr>
        <w:pStyle w:val="FirstParagraph"/>
      </w:pPr>
      <w:r>
        <w:t xml:space="preserve">Dato vigente: 114,45 kg/hab/año (2026-06).</w:t>
      </w:r>
    </w:p>
    <w:p>
      <w:pPr>
        <w:pStyle w:val="BodyText"/>
      </w:pPr>
      <w:r>
        <w:t xml:space="preserve">Sustitución, no menos proteína: la carne vacuna suma 47,3 kg por habitante (−7,7% interanual) y el total de carnes 114,5 kg (−1,7%); la vacuna es el 41,3% de lo que se come. El total se mantiene en o por encima del promedio histórico de largo plazo (112,8 kg), así que lo que cae es la vacuna en favor de pollo y cerdo.</w:t>
      </w:r>
    </w:p>
    <w:p>
      <w:pPr>
        <w:pStyle w:val="BodyText"/>
      </w:pPr>
      <w:r>
        <w:rPr>
          <w:b/>
          <w:bCs/>
        </w:rPr>
        <w:t xml:space="preserve">Color vigente: AMARILLO</w:t>
      </w:r>
    </w:p>
    <w:p>
      <w:pPr>
        <w:pStyle w:val="BodyText"/>
      </w:pPr>
      <w:r>
        <w:t xml:space="preserve">Ponderación vigente en el ITCIS: 0,9 % efectivo. El color es una lectura adicional — no reemplaza ni cambia esta ponderación.</w:t>
      </w:r>
    </w:p>
    <w:bookmarkEnd w:id="69"/>
    <w:bookmarkStart w:id="70" w:name="transparencia-limitaciones-declaradas-4"/>
    <w:p>
      <w:pPr>
        <w:pStyle w:val="Heading2"/>
      </w:pPr>
      <w:r>
        <w:t xml:space="preserve">Transparencia — limitaciones declaradas</w:t>
      </w:r>
    </w:p>
    <w:p>
      <w:pPr>
        <w:pStyle w:val="Compact"/>
        <w:numPr>
          <w:ilvl w:val="0"/>
          <w:numId w:val="1019"/>
        </w:numPr>
      </w:pPr>
      <w:r>
        <w:t xml:space="preserve">El nivel es consumo «aparente», no medición de hogares: no observa lo que come una familia, sino lo que queda en el mercado interno.</w:t>
      </w:r>
    </w:p>
    <w:p>
      <w:pPr>
        <w:pStyle w:val="Compact"/>
        <w:numPr>
          <w:ilvl w:val="0"/>
          <w:numId w:val="1019"/>
        </w:numPr>
      </w:pPr>
      <w:r>
        <w:t xml:space="preserve">La evolución se reconstruye desde la FAENA, que es producción y no netea exportaciones. No afecta al puntaje —el índice se lee contra su propia base, así que pesa la evolución y no el nivel— pero sí explica que la variación reconstruida no dé idéntica a la que publica el tablero. La distancia entre ambas se vigila: si supera los 3 puntos porcentuales, la faena dejó de aproximar el consumo.</w:t>
      </w:r>
    </w:p>
    <w:p>
      <w:pPr>
        <w:pStyle w:val="Compact"/>
        <w:numPr>
          <w:ilvl w:val="0"/>
          <w:numId w:val="1019"/>
        </w:numPr>
      </w:pPr>
      <w:r>
        <w:t xml:space="preserve">Sólo cubre las tres carnes. Huevo, lácteos, pescado y legumbres también son proteína y también muestran sustitución; sus fuentes no tienen la frecuencia necesaria para un seguimiento mensual.</w:t>
      </w:r>
    </w:p>
    <w:p>
      <w:pPr>
        <w:pStyle w:val="Compact"/>
        <w:numPr>
          <w:ilvl w:val="0"/>
          <w:numId w:val="1019"/>
        </w:numPr>
      </w:pPr>
      <w:r>
        <w:t xml:space="preserve">El pasaje a per cápita usa una proyección de población, no un censo del mes.</w:t>
      </w:r>
    </w:p>
    <w:bookmarkEnd w:id="70"/>
    <w:bookmarkStart w:id="71" w:name="X61b77bf27a7482596b8c47f1ea71e4d36077bf4"/>
    <w:p>
      <w:pPr>
        <w:pStyle w:val="Heading2"/>
      </w:pPr>
      <w:r>
        <w:t xml:space="preserve">Si falta el dato / Política de revisiones</w:t>
      </w:r>
    </w:p>
    <w:p>
      <w:pPr>
        <w:numPr>
          <w:ilvl w:val="0"/>
          <w:numId w:val="1020"/>
        </w:numPr>
      </w:pPr>
      <w:r>
        <w:rPr>
          <w:b/>
          <w:bCs/>
        </w:rPr>
        <w:t xml:space="preserve">Si falta el dato:</w:t>
      </w:r>
      <w:r>
        <w:t xml:space="preserve"> </w:t>
      </w:r>
      <w:r>
        <w:t xml:space="preserve">Un mes sin tablero legible deja el titular en el último valor publicado; la serie del índice sigue avanzando con la faena, que es independiente.</w:t>
      </w:r>
    </w:p>
    <w:p>
      <w:pPr>
        <w:numPr>
          <w:ilvl w:val="0"/>
          <w:numId w:val="1020"/>
        </w:numPr>
      </w:pPr>
      <w:r>
        <w:rPr>
          <w:b/>
          <w:bCs/>
        </w:rPr>
        <w:t xml:space="preserve">Política de revisiones:</w:t>
      </w:r>
      <w:r>
        <w:t xml:space="preserve"> </w:t>
      </w:r>
      <w:r>
        <w:t xml:space="preserve">La faena del INDEC se revisa hacia atrás y la serie se reconstruye entera en cada corrida, así que las revisiones entran solas.</w:t>
      </w:r>
    </w:p>
    <w:bookmarkEnd w:id="71"/>
    <w:bookmarkStart w:id="72" w:name="X2689a8f17fd66d16ab78fd446a4f0208d24d005"/>
    <w:p>
      <w:pPr>
        <w:pStyle w:val="Heading2"/>
      </w:pPr>
      <w:r>
        <w:t xml:space="preserve">Historial — cambios metodológicos documentados</w:t>
      </w:r>
    </w:p>
    <w:p>
      <w:pPr>
        <w:pStyle w:val="FirstParagraph"/>
      </w:pPr>
      <w:r>
        <w:rPr>
          <w:b/>
          <w:bCs/>
        </w:rPr>
        <w:t xml:space="preserve">2026-07-03</w:t>
      </w:r>
      <w:r>
        <w:t xml:space="preserve"> </w:t>
      </w:r>
      <w:r>
        <w:t xml:space="preserve">— Entra al ITCIS el consumo de carne VACUNA (CICCRA), con línea de base documentada.</w:t>
      </w:r>
    </w:p>
    <w:p>
      <w:pPr>
        <w:pStyle w:val="BodyText"/>
      </w:pPr>
      <w:r>
        <w:rPr>
          <w:b/>
          <w:bCs/>
        </w:rPr>
        <w:t xml:space="preserve">2026-08-12</w:t>
      </w:r>
      <w:r>
        <w:t xml:space="preserve"> </w:t>
      </w:r>
      <w:r>
        <w:t xml:space="preserve">— Se suma el consumo total de las tres carnes y la matriz que distingue sustitución de pérdida de acceso; el nivel pasa al tablero de SAGYP.</w:t>
      </w:r>
    </w:p>
    <w:p>
      <w:pPr>
        <w:pStyle w:val="BodyText"/>
      </w:pPr>
      <w:r>
        <w:rPr>
          <w:b/>
          <w:bCs/>
        </w:rPr>
        <w:t xml:space="preserve">2026-08-20</w:t>
      </w:r>
      <w:r>
        <w:t xml:space="preserve"> </w:t>
      </w:r>
      <w:r>
        <w:t xml:space="preserve">— Pasa a puntuar el TOTAL y no la vacuna, con la serie reconstruida desde la faena del INDEC hasta el 4º trimestre de 2023 (ADR-0217). La vacuna queda como diagnóstico dentro de la matriz. El componente pasa de 89,3 a 95,0 sin mover el índice del cinturón.</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72"/>
    <w:bookmarkEnd w:id="73"/>
    <w:bookmarkStart w:id="83" w:name="informalidad-laboral"/>
    <w:p>
      <w:pPr>
        <w:pStyle w:val="Heading1"/>
      </w:pPr>
      <w:r>
        <w:t xml:space="preserve">Informalidad laboral</w:t>
      </w:r>
    </w:p>
    <w:p>
      <w:pPr>
        <w:pStyle w:val="FirstParagraph"/>
      </w:pPr>
      <w:r>
        <w:t xml:space="preserve">Qué porcentaje de los asalariados trabaja sin aportes jubilatorios (empleo en negro), según la EPH trimestral del INDEC.</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37,9 %</w:t>
            </w:r>
            <w:r>
              <w:t xml:space="preserve"> </w:t>
            </w:r>
            <w:r>
              <w:t xml:space="preserve">(2026-01)</w:t>
            </w:r>
          </w:p>
        </w:tc>
        <w:tc>
          <w:tcPr/>
          <w:p>
            <w:pPr>
              <w:pStyle w:val="Compact"/>
            </w:pPr>
            <w:r>
              <w:rPr>
                <w:b/>
                <w:bCs/>
              </w:rPr>
              <w:t xml:space="preserve">NARANJA</w:t>
            </w:r>
          </w:p>
        </w:tc>
        <w:tc>
          <w:tcPr/>
          <w:p>
            <w:pPr>
              <w:pStyle w:val="Compact"/>
            </w:pPr>
            <w:r>
              <w:t xml:space="preserve">Peso efectivo 8,3 % del ITCIS</w:t>
            </w:r>
          </w:p>
        </w:tc>
        <w:tc>
          <w:tcPr/>
          <w:p>
            <w:pPr>
              <w:pStyle w:val="Compact"/>
            </w:pPr>
            <w:r>
              <w:t xml:space="preserve">Cinturón Impacto social</w:t>
            </w:r>
          </w:p>
        </w:tc>
      </w:tr>
    </w:tbl>
    <w:bookmarkStart w:id="74" w:name="identificación-5"/>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informalidad</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Prospectivas de empleo</w:t>
            </w:r>
          </w:p>
        </w:tc>
        <w:tc>
          <w:tcPr/>
          <w:p>
            <w:pPr>
              <w:pStyle w:val="Compact"/>
            </w:pPr>
            <w:r>
              <w:rPr>
                <w:b/>
                <w:bCs/>
              </w:rPr>
              <w:t xml:space="preserve">UNIDAD DE MEDIDA</w:t>
            </w:r>
          </w:p>
        </w:tc>
        <w:tc>
          <w:tcPr/>
          <w:p>
            <w:pPr>
              <w:pStyle w:val="Compact"/>
            </w:pPr>
            <w:r>
              <w:t xml:space="preserve">%</w:t>
            </w:r>
          </w:p>
        </w:tc>
      </w:tr>
      <w:tr>
        <w:tc>
          <w:tcPr/>
          <w:p>
            <w:pPr>
              <w:pStyle w:val="Compact"/>
            </w:pPr>
            <w:r>
              <w:rPr>
                <w:b/>
                <w:bCs/>
              </w:rPr>
              <w:t xml:space="preserve">SERIE DISPONIBLE</w:t>
            </w:r>
          </w:p>
        </w:tc>
        <w:tc>
          <w:tcPr/>
          <w:p>
            <w:pPr>
              <w:pStyle w:val="Compact"/>
            </w:pPr>
            <w:r>
              <w:t xml:space="preserve">2016-04 → 2026-01 (40 puntos)</w:t>
            </w:r>
          </w:p>
        </w:tc>
        <w:tc>
          <w:tcPr/>
          <w:p>
            <w:pPr>
              <w:pStyle w:val="Compact"/>
            </w:pPr>
            <w:r>
              <w:rPr>
                <w:b/>
                <w:bCs/>
              </w:rPr>
              <w:t xml:space="preserve">REZAGO DE PUBLICACIÓN</w:t>
            </w:r>
          </w:p>
        </w:tc>
        <w:tc>
          <w:tcPr/>
          <w:p>
            <w:pPr>
              <w:pStyle w:val="Compact"/>
            </w:pPr>
            <w:r>
              <w:t xml:space="preserve">Encuesta trimestral publicada con uno a dos trimestres de rezago.</w:t>
            </w:r>
          </w:p>
        </w:tc>
      </w:tr>
      <w:tr>
        <w:tc>
          <w:tcPr/>
          <w:p>
            <w:pPr>
              <w:pStyle w:val="Compact"/>
            </w:pPr>
            <w:r>
              <w:rPr>
                <w:b/>
                <w:bCs/>
              </w:rPr>
              <w:t xml:space="preserve">PRODUCTOR DEL DATO</w:t>
            </w:r>
          </w:p>
        </w:tc>
        <w:tc>
          <w:tcPr/>
          <w:p>
            <w:pPr>
              <w:pStyle w:val="Compact"/>
            </w:pPr>
            <w:r>
              <w:t xml:space="preserve">INDEC (EPH)</w:t>
            </w:r>
          </w:p>
        </w:tc>
        <w:tc>
          <w:tcPr/>
          <w:p>
            <w:pPr>
              <w:pStyle w:val="Compact"/>
            </w:pPr>
            <w:r>
              <w:rPr>
                <w:b/>
                <w:bCs/>
              </w:rPr>
              <w:t xml:space="preserve">OPERACIÓN ESTADÍSTICA</w:t>
            </w:r>
          </w:p>
        </w:tc>
        <w:tc>
          <w:tcPr/>
          <w:p>
            <w:pPr>
              <w:pStyle w:val="Compact"/>
            </w:pPr>
            <w:r>
              <w:t xml:space="preserve">EPH — asalariados sin descuento jubilatorio, tasa trimestral</w:t>
            </w:r>
          </w:p>
        </w:tc>
      </w:tr>
      <w:tr>
        <w:tc>
          <w:tcPr/>
          <w:p>
            <w:pPr>
              <w:pStyle w:val="Compact"/>
            </w:pPr>
            <w:r>
              <w:rPr>
                <w:b/>
                <w:bCs/>
              </w:rPr>
              <w:t xml:space="preserve">MODO DE ACCESO</w:t>
            </w:r>
          </w:p>
        </w:tc>
        <w:tc>
          <w:tcPr/>
          <w:p>
            <w:pPr>
              <w:pStyle w:val="Compact"/>
            </w:pPr>
            <w:r>
              <w:t xml:space="preserve">Automático: API pública de series de tiempo.</w:t>
            </w:r>
          </w:p>
        </w:tc>
        <w:tc>
          <w:tcPr/>
          <w:p>
            <w:pPr>
              <w:pStyle w:val="Compact"/>
            </w:pPr>
            <w:r>
              <w:rPr>
                <w:b/>
                <w:bCs/>
              </w:rPr>
              <w:t xml:space="preserve">ÚLTIMA ACTUALIZACIÓN</w:t>
            </w:r>
          </w:p>
        </w:tc>
        <w:tc>
          <w:tcPr/>
          <w:p>
            <w:pPr>
              <w:pStyle w:val="Compact"/>
            </w:pPr>
            <w:r>
              <w:t xml:space="preserve">Dato a 2026-01 · informe generado el 2026-08-21</w:t>
            </w:r>
          </w:p>
        </w:tc>
      </w:tr>
    </w:tbl>
    <w:bookmarkEnd w:id="74"/>
    <w:bookmarkStart w:id="75" w:name="definición-qué-mide-y-por-qué-importa-5"/>
    <w:p>
      <w:pPr>
        <w:pStyle w:val="Heading2"/>
      </w:pPr>
      <w:r>
        <w:t xml:space="preserve">Definición — qué mide y por qué importa</w:t>
      </w:r>
    </w:p>
    <w:p>
      <w:pPr>
        <w:pStyle w:val="FirstParagraph"/>
      </w:pPr>
      <w:r>
        <w:t xml:space="preserve">Qué porcentaje de los asalariados trabaja sin aportes jubilatorios (empleo en negro), según la EPH trimestral del INDEC.</w:t>
      </w:r>
    </w:p>
    <w:p>
      <w:pPr>
        <w:pStyle w:val="BodyText"/>
      </w:pPr>
      <w:r>
        <w:t xml:space="preserve">Mide la precariedad laboral y la exclusión de la red de protección social. En el ITCIS su base es el 4T-2023 exacto (el trimestre de arranque del mandato).</w:t>
      </w:r>
    </w:p>
    <w:p>
      <w:pPr>
        <w:pStyle w:val="BodyText"/>
      </w:pPr>
      <w:r>
        <w:rPr>
          <w:b/>
          <w:bCs/>
        </w:rPr>
        <w:t xml:space="preserve">Dimensión que integra — Prospectivas de empleo.</w:t>
      </w:r>
      <w:r>
        <w:t xml:space="preserve"> </w:t>
      </w:r>
      <w:r>
        <w:t xml:space="preserve">El trabajo por sus dos caras: cuánto hay y de qué calidad es. La informalidad y el empleo registrado del sector privado miden lo segundo y lo primero; las completan cuatro señales del entorno que demanda ese empleo: el cierre neto de empleadores PyME, la construcción (cemento, el sector más intensivo en mano de obra), el pluriempleo y el peso del trabajo independiente sobre el empleo registrado.</w:t>
      </w:r>
    </w:p>
    <w:bookmarkEnd w:id="75"/>
    <w:bookmarkStart w:id="76" w:name="método-de-cómputo-5"/>
    <w:p>
      <w:pPr>
        <w:pStyle w:val="Heading2"/>
      </w:pPr>
      <w:r>
        <w:t xml:space="preserve">Método de cómputo</w:t>
      </w:r>
    </w:p>
    <w:p>
      <w:pPr>
        <w:pStyle w:val="Compact"/>
        <w:numPr>
          <w:ilvl w:val="0"/>
          <w:numId w:val="1021"/>
        </w:numPr>
      </w:pPr>
      <w:r>
        <w:t xml:space="preserve">Componente del índice: la tasa rebaseada de forma invertida (menos informalidad = mejora) contra el trimestre del arranque del mandato (4º trimestre de 2023).</w:t>
      </w:r>
    </w:p>
    <w:bookmarkEnd w:id="76"/>
    <w:bookmarkStart w:id="77" w:name="Xb1931c6abcbcf859f1adda48bf40e4d48635f98"/>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94,2</w:t>
      </w:r>
      <w:r>
        <w:t xml:space="preserve">.</w:t>
      </w:r>
    </w:p>
    <w:bookmarkEnd w:id="77"/>
    <w:bookmarkStart w:id="78" w:name="datos-concretos-detrás-del-valor-5"/>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22"/>
        </w:numPr>
      </w:pPr>
      <w:r>
        <w:t xml:space="preserve">El informe publica el valor (37,9 %) pero no los números que lo componen: la fuente entrega la serie ya calculada. Para auditar el dato hay que ir a la operación estadística citada más arriba.</w:t>
      </w:r>
    </w:p>
    <w:bookmarkEnd w:id="78"/>
    <w:bookmarkStart w:id="79" w:name="color-vigente-y-por-qué-5"/>
    <w:p>
      <w:pPr>
        <w:pStyle w:val="Heading2"/>
      </w:pPr>
      <w:r>
        <w:t xml:space="preserve">Color vigente y por qué</w:t>
      </w:r>
    </w:p>
    <w:p>
      <w:pPr>
        <w:pStyle w:val="FirstParagraph"/>
      </w:pPr>
      <w:r>
        <w:t xml:space="preserve">Dato vigente: 37,9 % (2026-01).</w:t>
      </w:r>
    </w:p>
    <w:p>
      <w:pPr>
        <w:pStyle w:val="BodyText"/>
      </w:pPr>
      <w:r>
        <w:t xml:space="preserve">El componente está en 94,2 sobre la base 100 del 4º trimestre de 2023 — de 85 a 95 —, que es el tramo NARANJA.</w:t>
      </w:r>
    </w:p>
    <w:p>
      <w:pPr>
        <w:pStyle w:val="BodyText"/>
      </w:pPr>
      <w:r>
        <w:rPr>
          <w:b/>
          <w:bCs/>
        </w:rPr>
        <w:t xml:space="preserve">Color vigente: NARANJA</w:t>
      </w:r>
    </w:p>
    <w:p>
      <w:pPr>
        <w:pStyle w:val="BodyText"/>
      </w:pPr>
      <w:r>
        <w:t xml:space="preserve">Ponderación vigente en el ITCIS: 8,3 % efectivo. El color es una lectura adicional — no reemplaza ni cambia esta ponderación.</w:t>
      </w:r>
    </w:p>
    <w:bookmarkEnd w:id="79"/>
    <w:bookmarkStart w:id="80" w:name="transparencia-limitaciones-declaradas-5"/>
    <w:p>
      <w:pPr>
        <w:pStyle w:val="Heading2"/>
      </w:pPr>
      <w:r>
        <w:t xml:space="preserve">Transparencia — limitaciones declaradas</w:t>
      </w:r>
    </w:p>
    <w:p>
      <w:pPr>
        <w:pStyle w:val="Compact"/>
        <w:numPr>
          <w:ilvl w:val="0"/>
          <w:numId w:val="1023"/>
        </w:numPr>
      </w:pPr>
      <w:r>
        <w:t xml:space="preserve">Solo asalariados: no captura la informalidad cuentapropista.</w:t>
      </w:r>
    </w:p>
    <w:p>
      <w:pPr>
        <w:pStyle w:val="Compact"/>
        <w:numPr>
          <w:ilvl w:val="0"/>
          <w:numId w:val="1023"/>
        </w:numPr>
      </w:pPr>
      <w:r>
        <w:t xml:space="preserve">Serie trimestral contra una base de un solo trimestre: sesgo estacional chico, aceptado y declarado.</w:t>
      </w:r>
    </w:p>
    <w:p>
      <w:pPr>
        <w:pStyle w:val="Compact"/>
        <w:numPr>
          <w:ilvl w:val="0"/>
          <w:numId w:val="1023"/>
        </w:numPr>
      </w:pPr>
      <w:r>
        <w:t xml:space="preserve">La serie trimestral pública original se discontinuó en 2020; la vigente la reemplaza desde el rediseño del componente.</w:t>
      </w:r>
    </w:p>
    <w:bookmarkEnd w:id="80"/>
    <w:bookmarkStart w:id="81" w:name="Xc57e4cc3a18d396728e74304c5ee81f44a4293b"/>
    <w:p>
      <w:pPr>
        <w:pStyle w:val="Heading2"/>
      </w:pPr>
      <w:r>
        <w:t xml:space="preserve">Si falta el dato / Política de revisiones</w:t>
      </w:r>
    </w:p>
    <w:p>
      <w:pPr>
        <w:numPr>
          <w:ilvl w:val="0"/>
          <w:numId w:val="1024"/>
        </w:numPr>
      </w:pPr>
      <w:r>
        <w:rPr>
          <w:b/>
          <w:bCs/>
        </w:rPr>
        <w:t xml:space="preserve">Si falta el dato:</w:t>
      </w:r>
      <w:r>
        <w:t xml:space="preserve"> </w:t>
      </w:r>
      <w:r>
        <w:t xml:space="preserve">Se mantiene el último valor publicado como desactualizado; sin componente, la brecha salarial absorbe el peso de la dimensión.</w:t>
      </w:r>
    </w:p>
    <w:p>
      <w:pPr>
        <w:numPr>
          <w:ilvl w:val="0"/>
          <w:numId w:val="1024"/>
        </w:numPr>
      </w:pPr>
      <w:r>
        <w:rPr>
          <w:b/>
          <w:bCs/>
        </w:rPr>
        <w:t xml:space="preserve">Política de revisiones:</w:t>
      </w:r>
      <w:r>
        <w:t xml:space="preserve"> </w:t>
      </w:r>
      <w:r>
        <w:t xml:space="preserve">La encuesta se revisa; la re-descarga completa por actualización adopta las revisiones.</w:t>
      </w:r>
    </w:p>
    <w:bookmarkEnd w:id="81"/>
    <w:bookmarkStart w:id="82" w:name="X01eece54c25544211d0d4e1d54c663892ca44aa"/>
    <w:p>
      <w:pPr>
        <w:pStyle w:val="Heading2"/>
      </w:pPr>
      <w:r>
        <w:t xml:space="preserve">Historial — cambios metodológicos documentados</w:t>
      </w:r>
    </w:p>
    <w:p>
      <w:pPr>
        <w:pStyle w:val="FirstParagraph"/>
      </w:pPr>
      <w:r>
        <w:rPr>
          <w:b/>
          <w:bCs/>
        </w:rPr>
        <w:t xml:space="preserve">2026-07-03</w:t>
      </w:r>
      <w:r>
        <w:t xml:space="preserve"> </w:t>
      </w:r>
      <w:r>
        <w:t xml:space="preserve">— Entra al ITCIS vía la serie anual disponible, invertida, con base en el año 2023.</w:t>
      </w:r>
    </w:p>
    <w:p>
      <w:pPr>
        <w:pStyle w:val="BodyText"/>
      </w:pPr>
      <w:r>
        <w:rPr>
          <w:b/>
          <w:bCs/>
        </w:rPr>
        <w:t xml:space="preserve">2026-07-04</w:t>
      </w:r>
      <w:r>
        <w:t xml:space="preserve"> </w:t>
      </w:r>
      <w:r>
        <w:t xml:space="preserve">— Pasa a la serie trimestral con base exacta en el 4º trimestre de 2023 (la anual solo se actualizaba una vez al año y planchaba el componente).</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82"/>
    <w:bookmarkEnd w:id="83"/>
    <w:bookmarkStart w:id="93" w:name="peso-del-trabajo-independiente"/>
    <w:p>
      <w:pPr>
        <w:pStyle w:val="Heading1"/>
      </w:pPr>
      <w:r>
        <w:t xml:space="preserve">Peso del trabajo independiente</w:t>
      </w:r>
    </w:p>
    <w:p>
      <w:pPr>
        <w:pStyle w:val="FirstParagraph"/>
      </w:pPr>
      <w:r>
        <w:t xml:space="preserve">Qué proporción del empleo registrado son trabajadores independientes —autónomos y monotributistas— frente a los asalariados. En el ITCIS puntúa INVERTIDA: más peso independiente es peor.</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20,6 % del empleo registrado</w:t>
            </w:r>
            <w:r>
              <w:t xml:space="preserve"> </w:t>
            </w:r>
            <w:r>
              <w:t xml:space="preserve">(2026-05)</w:t>
            </w:r>
          </w:p>
        </w:tc>
        <w:tc>
          <w:tcPr/>
          <w:p>
            <w:pPr>
              <w:pStyle w:val="Compact"/>
            </w:pPr>
            <w:r>
              <w:rPr>
                <w:b/>
                <w:bCs/>
              </w:rPr>
              <w:t xml:space="preserve">NARANJA</w:t>
            </w:r>
          </w:p>
        </w:tc>
        <w:tc>
          <w:tcPr/>
          <w:p>
            <w:pPr>
              <w:pStyle w:val="Compact"/>
            </w:pPr>
            <w:r>
              <w:t xml:space="preserve">Peso efectivo 2,4 % del ITCIS</w:t>
            </w:r>
          </w:p>
        </w:tc>
        <w:tc>
          <w:tcPr/>
          <w:p>
            <w:pPr>
              <w:pStyle w:val="Compact"/>
            </w:pPr>
            <w:r>
              <w:t xml:space="preserve">Cinturón Impacto social</w:t>
            </w:r>
          </w:p>
        </w:tc>
      </w:tr>
    </w:tbl>
    <w:bookmarkStart w:id="84" w:name="identificación-6"/>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trabajo_independiente</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Prospectivas de empleo</w:t>
            </w:r>
          </w:p>
        </w:tc>
        <w:tc>
          <w:tcPr/>
          <w:p>
            <w:pPr>
              <w:pStyle w:val="Compact"/>
            </w:pPr>
            <w:r>
              <w:rPr>
                <w:b/>
                <w:bCs/>
              </w:rPr>
              <w:t xml:space="preserve">UNIDAD DE MEDIDA</w:t>
            </w:r>
          </w:p>
        </w:tc>
        <w:tc>
          <w:tcPr/>
          <w:p>
            <w:pPr>
              <w:pStyle w:val="Compact"/>
            </w:pPr>
            <w:r>
              <w:t xml:space="preserve">% del empleo registrado</w:t>
            </w:r>
          </w:p>
        </w:tc>
      </w:tr>
      <w:tr>
        <w:tc>
          <w:tcPr/>
          <w:p>
            <w:pPr>
              <w:pStyle w:val="Compact"/>
            </w:pPr>
            <w:r>
              <w:rPr>
                <w:b/>
                <w:bCs/>
              </w:rPr>
              <w:t xml:space="preserve">SERIE DISPONIBLE</w:t>
            </w:r>
          </w:p>
        </w:tc>
        <w:tc>
          <w:tcPr/>
          <w:p>
            <w:pPr>
              <w:pStyle w:val="Compact"/>
            </w:pPr>
            <w:r>
              <w:t xml:space="preserve">2019-01 → 2026-05 (89 puntos)</w:t>
            </w:r>
          </w:p>
        </w:tc>
        <w:tc>
          <w:tcPr/>
          <w:p>
            <w:pPr>
              <w:pStyle w:val="Compact"/>
            </w:pPr>
            <w:r>
              <w:rPr>
                <w:b/>
                <w:bCs/>
              </w:rPr>
              <w:t xml:space="preserve">REZAGO DE PUBLICACIÓN</w:t>
            </w:r>
          </w:p>
        </w:tc>
        <w:tc>
          <w:tcPr/>
          <w:p>
            <w:pPr>
              <w:pStyle w:val="Compact"/>
            </w:pPr>
            <w:r>
              <w:t xml:space="preserve">~3 meses, el mismo del cierre administrativo con que el SIPA publica sus series de trabajo registrado.</w:t>
            </w:r>
          </w:p>
        </w:tc>
      </w:tr>
      <w:tr>
        <w:tc>
          <w:tcPr/>
          <w:p>
            <w:pPr>
              <w:pStyle w:val="Compact"/>
            </w:pPr>
            <w:r>
              <w:rPr>
                <w:b/>
                <w:bCs/>
              </w:rPr>
              <w:t xml:space="preserve">PRODUCTOR DEL DATO</w:t>
            </w:r>
          </w:p>
        </w:tc>
        <w:tc>
          <w:tcPr/>
          <w:p>
            <w:pPr>
              <w:pStyle w:val="Compact"/>
            </w:pPr>
            <w:r>
              <w:t xml:space="preserve">SIPA — Sistema Integrado Previsional Argentino (Secretaría de Trabajo)</w:t>
            </w:r>
          </w:p>
        </w:tc>
        <w:tc>
          <w:tcPr/>
          <w:p>
            <w:pPr>
              <w:pStyle w:val="Compact"/>
            </w:pPr>
            <w:r>
              <w:rPr>
                <w:b/>
                <w:bCs/>
              </w:rPr>
              <w:t xml:space="preserve">OPERACIÓN ESTADÍSTICA</w:t>
            </w:r>
          </w:p>
        </w:tc>
        <w:tc>
          <w:tcPr/>
          <w:p>
            <w:pPr>
              <w:pStyle w:val="Compact"/>
            </w:pPr>
            <w:r>
              <w:t xml:space="preserve">Series mensuales sin estacionalidad de trabajadores registrados: autónomos y monotributistas por un lado; asalariados del sector privado, del sector público y de casas particulares por el otro.</w:t>
            </w:r>
          </w:p>
        </w:tc>
      </w:tr>
      <w:tr>
        <w:tc>
          <w:tcPr/>
          <w:p>
            <w:pPr>
              <w:pStyle w:val="Compact"/>
            </w:pPr>
            <w:r>
              <w:rPr>
                <w:b/>
                <w:bCs/>
              </w:rPr>
              <w:t xml:space="preserve">MODO DE ACCESO</w:t>
            </w:r>
          </w:p>
        </w:tc>
        <w:tc>
          <w:tcPr/>
          <w:p>
            <w:pPr>
              <w:pStyle w:val="Compact"/>
            </w:pPr>
            <w:r>
              <w:t xml:space="preserve">Automático: API pública de series de tiempo.</w:t>
            </w:r>
          </w:p>
        </w:tc>
        <w:tc>
          <w:tcPr/>
          <w:p>
            <w:pPr>
              <w:pStyle w:val="Compact"/>
            </w:pPr>
            <w:r>
              <w:rPr>
                <w:b/>
                <w:bCs/>
              </w:rPr>
              <w:t xml:space="preserve">ÚLTIMA ACTUALIZACIÓN</w:t>
            </w:r>
          </w:p>
        </w:tc>
        <w:tc>
          <w:tcPr/>
          <w:p>
            <w:pPr>
              <w:pStyle w:val="Compact"/>
            </w:pPr>
            <w:r>
              <w:t xml:space="preserve">Dato a 2026-05 · informe generado el 2026-08-21</w:t>
            </w:r>
          </w:p>
        </w:tc>
      </w:tr>
    </w:tbl>
    <w:bookmarkEnd w:id="84"/>
    <w:bookmarkStart w:id="85" w:name="definición-qué-mide-y-por-qué-importa-6"/>
    <w:p>
      <w:pPr>
        <w:pStyle w:val="Heading2"/>
      </w:pPr>
      <w:r>
        <w:t xml:space="preserve">Definición — qué mide y por qué importa</w:t>
      </w:r>
    </w:p>
    <w:p>
      <w:pPr>
        <w:pStyle w:val="FirstParagraph"/>
      </w:pPr>
      <w:r>
        <w:t xml:space="preserve">Qué proporción del empleo registrado son trabajadores independientes —autónomos y monotributistas— frente a los asalariados. En el ITCIS puntúa INVERTIDA: más peso independiente es peor.</w:t>
      </w:r>
    </w:p>
    <w:p>
      <w:pPr>
        <w:pStyle w:val="BodyText"/>
      </w:pPr>
      <w:r>
        <w:t xml:space="preserve">Es la contracara del cierre de empresas. Cuando caen los empleadores, dice si esas unidades productivas desaparecieron o se reconfiguraron en gente que factura por su cuenta. Un empleo que se corre del salario al trabajo independiente pierde aportes patronales, indemnización y estabilidad, aunque siga siendo registrado.</w:t>
      </w:r>
    </w:p>
    <w:p>
      <w:pPr>
        <w:pStyle w:val="BodyText"/>
      </w:pPr>
      <w:r>
        <w:rPr>
          <w:b/>
          <w:bCs/>
        </w:rPr>
        <w:t xml:space="preserve">Dimensión que integra — Prospectivas de empleo.</w:t>
      </w:r>
      <w:r>
        <w:t xml:space="preserve"> </w:t>
      </w:r>
      <w:r>
        <w:t xml:space="preserve">El trabajo por sus dos caras: cuánto hay y de qué calidad es. La informalidad y el empleo registrado del sector privado miden lo segundo y lo primero; las completan cuatro señales del entorno que demanda ese empleo: el cierre neto de empleadores PyME, la construcción (cemento, el sector más intensivo en mano de obra), el pluriempleo y el peso del trabajo independiente sobre el empleo registrado.</w:t>
      </w:r>
    </w:p>
    <w:bookmarkEnd w:id="85"/>
    <w:bookmarkStart w:id="86" w:name="método-de-cómputo-6"/>
    <w:p>
      <w:pPr>
        <w:pStyle w:val="Heading2"/>
      </w:pPr>
      <w:r>
        <w:t xml:space="preserve">Método de cómputo</w:t>
      </w:r>
    </w:p>
    <w:p>
      <w:pPr>
        <w:pStyle w:val="Compact"/>
        <w:numPr>
          <w:ilvl w:val="0"/>
          <w:numId w:val="1025"/>
        </w:numPr>
      </w:pPr>
      <w:r>
        <w:t xml:space="preserve">Participación: autónomos más monotributistas sobre el TOTAL del empleo registrado, no sólo sobre el privado — un asalariado que pasa a monotributo puede venir de cualquiera de los tres sectores.</w:t>
      </w:r>
    </w:p>
    <w:p>
      <w:pPr>
        <w:pStyle w:val="Compact"/>
        <w:numPr>
          <w:ilvl w:val="0"/>
          <w:numId w:val="1025"/>
        </w:numPr>
      </w:pPr>
      <w:r>
        <w:t xml:space="preserve">El monotributo social queda EXCLUIDO, y es la decisión que más pesa acá: su serie cae 394 mil personas en un solo mes, diciembre de 2024. Eso no es mercado de trabajo, es una decisión regulatoria sobre el propio régimen.</w:t>
      </w:r>
    </w:p>
    <w:p>
      <w:pPr>
        <w:pStyle w:val="Compact"/>
        <w:numPr>
          <w:ilvl w:val="0"/>
          <w:numId w:val="1025"/>
        </w:numPr>
      </w:pPr>
      <w:r>
        <w:t xml:space="preserve">Componente del índice: la participación rebaseada de forma INVERTIDA contra el promedio del 4º trimestre de 2023 (más peso independiente = deterioro).</w:t>
      </w:r>
    </w:p>
    <w:bookmarkEnd w:id="86"/>
    <w:bookmarkStart w:id="87" w:name="X6f1889a6c9c1eaefb3e4c5719eab82ff8c71647"/>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92,8</w:t>
      </w:r>
      <w:r>
        <w:t xml:space="preserve">.</w:t>
      </w:r>
    </w:p>
    <w:bookmarkEnd w:id="87"/>
    <w:bookmarkStart w:id="88" w:name="datos-concretos-detrás-del-valor-6"/>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26"/>
        </w:numPr>
      </w:pPr>
      <w:r>
        <w:t xml:space="preserve">El informe publica el valor (20,6 % del empleo registrado) pero no los números que lo componen: la fuente entrega la serie ya calculada. Para auditar el dato hay que ir a la operación estadística citada más arriba.</w:t>
      </w:r>
    </w:p>
    <w:bookmarkEnd w:id="88"/>
    <w:bookmarkStart w:id="89" w:name="color-vigente-y-por-qué-6"/>
    <w:p>
      <w:pPr>
        <w:pStyle w:val="Heading2"/>
      </w:pPr>
      <w:r>
        <w:t xml:space="preserve">Color vigente y por qué</w:t>
      </w:r>
    </w:p>
    <w:p>
      <w:pPr>
        <w:pStyle w:val="FirstParagraph"/>
      </w:pPr>
      <w:r>
        <w:t xml:space="preserve">Dato vigente: 20,6 % del empleo registrado (2026-05).</w:t>
      </w:r>
    </w:p>
    <w:p>
      <w:pPr>
        <w:pStyle w:val="BodyText"/>
      </w:pPr>
      <w:r>
        <w:t xml:space="preserve">El componente está en 92,8 sobre la base 100 del 4º trimestre de 2023 — de 85 a 95 —, que es el tramo NARANJA.</w:t>
      </w:r>
    </w:p>
    <w:p>
      <w:pPr>
        <w:pStyle w:val="BodyText"/>
      </w:pPr>
      <w:r>
        <w:rPr>
          <w:b/>
          <w:bCs/>
        </w:rPr>
        <w:t xml:space="preserve">Color vigente: NARANJA</w:t>
      </w:r>
    </w:p>
    <w:p>
      <w:pPr>
        <w:pStyle w:val="BodyText"/>
      </w:pPr>
      <w:r>
        <w:t xml:space="preserve">Ponderación vigente en el ITCIS: 2,4 % efectivo. El color es una lectura adicional — no reemplaza ni cambia esta ponderación.</w:t>
      </w:r>
    </w:p>
    <w:bookmarkEnd w:id="89"/>
    <w:bookmarkStart w:id="90" w:name="transparencia-limitaciones-declaradas-6"/>
    <w:p>
      <w:pPr>
        <w:pStyle w:val="Heading2"/>
      </w:pPr>
      <w:r>
        <w:t xml:space="preserve">Transparencia — limitaciones declaradas</w:t>
      </w:r>
    </w:p>
    <w:p>
      <w:pPr>
        <w:pStyle w:val="Compact"/>
        <w:numPr>
          <w:ilvl w:val="0"/>
          <w:numId w:val="1027"/>
        </w:numPr>
      </w:pPr>
      <w:r>
        <w:t xml:space="preserve">El signo es una decisión de criterio, no un hecho de la fuente. Se puntúa invertido porque un empleo que se corre del salario al trabajo por cuenta propia pierde aportes patronales, indemnización y estabilidad, aunque siga siendo registrado. La lectura contraria —emprendedorismo registrado como mejora— existe y está declarada; cambiarla es cambiar un signo y recalcular.</w:t>
      </w:r>
    </w:p>
    <w:p>
      <w:pPr>
        <w:pStyle w:val="Compact"/>
        <w:numPr>
          <w:ilvl w:val="0"/>
          <w:numId w:val="1027"/>
        </w:numPr>
      </w:pPr>
      <w:r>
        <w:t xml:space="preserve">La participación puede subir porque caen los asalariados y no porque crezcan los independientes. Por eso el informe publica las dos variaciones por separado y no sólo el cociente.</w:t>
      </w:r>
    </w:p>
    <w:p>
      <w:pPr>
        <w:pStyle w:val="Compact"/>
        <w:numPr>
          <w:ilvl w:val="0"/>
          <w:numId w:val="1027"/>
        </w:numPr>
      </w:pPr>
      <w:r>
        <w:t xml:space="preserve">Sólo ve trabajo REGISTRADO: la informalidad, que es el otro modo de salir de la relación salarial, la mide su propio componente.</w:t>
      </w:r>
    </w:p>
    <w:p>
      <w:pPr>
        <w:pStyle w:val="Compact"/>
        <w:numPr>
          <w:ilvl w:val="0"/>
          <w:numId w:val="1027"/>
        </w:numPr>
      </w:pPr>
      <w:r>
        <w:t xml:space="preserve">La exclusión del monotributo social deja fuera un régimen que sí es empleo para quien lo tiene; lo que queda afuera es su serie, por el quiebre regulatorio, no la existencia del fenómeno.</w:t>
      </w:r>
    </w:p>
    <w:bookmarkEnd w:id="90"/>
    <w:bookmarkStart w:id="91" w:name="Xda21666f7a2dd83c88faf8de956a46075edab32"/>
    <w:p>
      <w:pPr>
        <w:pStyle w:val="Heading2"/>
      </w:pPr>
      <w:r>
        <w:t xml:space="preserve">Si falta el dato / Política de revisiones</w:t>
      </w:r>
    </w:p>
    <w:p>
      <w:pPr>
        <w:numPr>
          <w:ilvl w:val="0"/>
          <w:numId w:val="1028"/>
        </w:numPr>
      </w:pPr>
      <w:r>
        <w:rPr>
          <w:b/>
          <w:bCs/>
        </w:rPr>
        <w:t xml:space="preserve">Si falta el dato:</w:t>
      </w:r>
      <w:r>
        <w:t xml:space="preserve"> </w:t>
      </w:r>
      <w:r>
        <w:t xml:space="preserve">Se mantiene el último valor publicado como desactualizado; sin componente, renormalización dentro de la dimensión. Si alguna de las cinco series de SIPA no responde, el colector falla en voz alta: una participación calculada sobre un denominador incompleto sería un número plausible y equivocado.</w:t>
      </w:r>
    </w:p>
    <w:p>
      <w:pPr>
        <w:numPr>
          <w:ilvl w:val="0"/>
          <w:numId w:val="1028"/>
        </w:numPr>
      </w:pPr>
      <w:r>
        <w:rPr>
          <w:b/>
          <w:bCs/>
        </w:rPr>
        <w:t xml:space="preserve">Política de revisiones:</w:t>
      </w:r>
      <w:r>
        <w:t xml:space="preserve"> </w:t>
      </w:r>
      <w:r>
        <w:t xml:space="preserve">El SIPA revisa hacia atrás con cada edición y las cinco series se releen completas en cada corrida, así que las revisiones entran solas.</w:t>
      </w:r>
    </w:p>
    <w:bookmarkEnd w:id="91"/>
    <w:bookmarkStart w:id="92" w:name="X78b6541d61e709752066d9872c28a219573eb10"/>
    <w:p>
      <w:pPr>
        <w:pStyle w:val="Heading2"/>
      </w:pPr>
      <w:r>
        <w:t xml:space="preserve">Historial — cambios metodológicos documentados</w:t>
      </w:r>
    </w:p>
    <w:p>
      <w:pPr>
        <w:pStyle w:val="FirstParagraph"/>
      </w:pPr>
      <w:r>
        <w:rPr>
          <w:b/>
          <w:bCs/>
        </w:rPr>
        <w:t xml:space="preserve">2026-08-21</w:t>
      </w:r>
      <w:r>
        <w:t xml:space="preserve"> </w:t>
      </w:r>
      <w:r>
        <w:t xml:space="preserve">— Entra al ITCIS (ADR-0219) como la contracara del cierre de PyMEs, con 10% de la dimensión; los cinco componentes previos ceden proporcionalmente y conservan su orden relativo. El componente entra en 92,8 y el peso nominal de la dimensión no se toca.</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92"/>
    <w:bookmarkEnd w:id="93"/>
    <w:bookmarkStart w:id="103" w:name="empleadores-pyme-activos"/>
    <w:p>
      <w:pPr>
        <w:pStyle w:val="Heading1"/>
      </w:pPr>
      <w:r>
        <w:t xml:space="preserve">Empleadores PyME activos</w:t>
      </w:r>
    </w:p>
    <w:p>
      <w:pPr>
        <w:pStyle w:val="FirstParagraph"/>
      </w:pPr>
      <w:r>
        <w:t xml:space="preserve">Cuántas empresas de hasta 50 trabajadores siguen teniendo al menos una persona declarada con cobertura de ART. Cuando una PyME cierra, quiebra o despide a toda su nómina, el contrato con la aseguradora se rescinde casi en el acto, así que la baja aparece en el mes. En el ITCIS puntúa por el NIVEL rebaseado a 100 = 4T-2023: menos empleadores es peor.</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460.777 empleadores</w:t>
            </w:r>
            <w:r>
              <w:t xml:space="preserve"> </w:t>
            </w:r>
            <w:r>
              <w:t xml:space="preserve">(2026-05)</w:t>
            </w:r>
          </w:p>
        </w:tc>
        <w:tc>
          <w:tcPr/>
          <w:p>
            <w:pPr>
              <w:pStyle w:val="Compact"/>
            </w:pPr>
            <w:r>
              <w:rPr>
                <w:b/>
                <w:bCs/>
              </w:rPr>
              <w:t xml:space="preserve">NARANJA</w:t>
            </w:r>
          </w:p>
        </w:tc>
        <w:tc>
          <w:tcPr/>
          <w:p>
            <w:pPr>
              <w:pStyle w:val="Compact"/>
            </w:pPr>
            <w:r>
              <w:t xml:space="preserve">Peso efectivo 3,6 % del ITCIS</w:t>
            </w:r>
          </w:p>
        </w:tc>
        <w:tc>
          <w:tcPr/>
          <w:p>
            <w:pPr>
              <w:pStyle w:val="Compact"/>
            </w:pPr>
            <w:r>
              <w:t xml:space="preserve">Cinturón Impacto social</w:t>
            </w:r>
          </w:p>
        </w:tc>
      </w:tr>
    </w:tbl>
    <w:bookmarkStart w:id="94" w:name="identificación-7"/>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mortalidad_pymes</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Prospectivas de empleo</w:t>
            </w:r>
          </w:p>
        </w:tc>
        <w:tc>
          <w:tcPr/>
          <w:p>
            <w:pPr>
              <w:pStyle w:val="Compact"/>
            </w:pPr>
            <w:r>
              <w:rPr>
                <w:b/>
                <w:bCs/>
              </w:rPr>
              <w:t xml:space="preserve">UNIDAD DE MEDIDA</w:t>
            </w:r>
          </w:p>
        </w:tc>
        <w:tc>
          <w:tcPr/>
          <w:p>
            <w:pPr>
              <w:pStyle w:val="Compact"/>
            </w:pPr>
            <w:r>
              <w:t xml:space="preserve">empleadores</w:t>
            </w:r>
          </w:p>
        </w:tc>
      </w:tr>
      <w:tr>
        <w:tc>
          <w:tcPr/>
          <w:p>
            <w:pPr>
              <w:pStyle w:val="Compact"/>
            </w:pPr>
            <w:r>
              <w:rPr>
                <w:b/>
                <w:bCs/>
              </w:rPr>
              <w:t xml:space="preserve">SERIE DISPONIBLE</w:t>
            </w:r>
          </w:p>
        </w:tc>
        <w:tc>
          <w:tcPr/>
          <w:p>
            <w:pPr>
              <w:pStyle w:val="Compact"/>
            </w:pPr>
            <w:r>
              <w:t xml:space="preserve">2019-01 → 2026-05 (89 puntos)</w:t>
            </w:r>
          </w:p>
        </w:tc>
        <w:tc>
          <w:tcPr/>
          <w:p>
            <w:pPr>
              <w:pStyle w:val="Compact"/>
            </w:pPr>
            <w:r>
              <w:rPr>
                <w:b/>
                <w:bCs/>
              </w:rPr>
              <w:t xml:space="preserve">REZAGO DE PUBLICACIÓN</w:t>
            </w:r>
          </w:p>
        </w:tc>
        <w:tc>
          <w:tcPr/>
          <w:p>
            <w:pPr>
              <w:pStyle w:val="Compact"/>
            </w:pPr>
            <w:r>
              <w:t xml:space="preserve">~3 meses. La SRT publica su serie histórica todos los meses, con el rezago del cierre administrativo de las declaraciones.</w:t>
            </w:r>
          </w:p>
        </w:tc>
      </w:tr>
      <w:tr>
        <w:tc>
          <w:tcPr/>
          <w:p>
            <w:pPr>
              <w:pStyle w:val="Compact"/>
            </w:pPr>
            <w:r>
              <w:rPr>
                <w:b/>
                <w:bCs/>
              </w:rPr>
              <w:t xml:space="preserve">PRODUCTOR DEL DATO</w:t>
            </w:r>
          </w:p>
        </w:tc>
        <w:tc>
          <w:tcPr/>
          <w:p>
            <w:pPr>
              <w:pStyle w:val="Compact"/>
            </w:pPr>
            <w:r>
              <w:t xml:space="preserve">SRT — Superintendencia de Riesgos del Trabajo</w:t>
            </w:r>
          </w:p>
        </w:tc>
        <w:tc>
          <w:tcPr/>
          <w:p>
            <w:pPr>
              <w:pStyle w:val="Compact"/>
            </w:pPr>
            <w:r>
              <w:rPr>
                <w:b/>
                <w:bCs/>
              </w:rPr>
              <w:t xml:space="preserve">OPERACIÓN ESTADÍSTICA</w:t>
            </w:r>
          </w:p>
        </w:tc>
        <w:tc>
          <w:tcPr/>
          <w:p>
            <w:pPr>
              <w:pStyle w:val="Compact"/>
            </w:pPr>
            <w:r>
              <w:t xml:space="preserve">Serie histórica de partes empleadoras según tamaño de la nómina, cuadro 4.2: cantidad de empleadores con al menos una persona declarada con cobertura de ART, abierta por tramo de nómina, desde julio de 1996.</w:t>
            </w:r>
          </w:p>
        </w:tc>
      </w:tr>
      <w:tr>
        <w:tc>
          <w:tcPr/>
          <w:p>
            <w:pPr>
              <w:pStyle w:val="Compact"/>
            </w:pPr>
            <w:r>
              <w:rPr>
                <w:b/>
                <w:bCs/>
              </w:rPr>
              <w:t xml:space="preserve">MODO DE ACCESO</w:t>
            </w:r>
          </w:p>
        </w:tc>
        <w:tc>
          <w:tcPr/>
          <w:p>
            <w:pPr>
              <w:pStyle w:val="Compact"/>
            </w:pPr>
            <w:r>
              <w:t xml:space="preserve">Automático: lectura mensual del XLSX publicado por la SRT.</w:t>
            </w:r>
          </w:p>
        </w:tc>
        <w:tc>
          <w:tcPr/>
          <w:p>
            <w:pPr>
              <w:pStyle w:val="Compact"/>
            </w:pPr>
            <w:r>
              <w:rPr>
                <w:b/>
                <w:bCs/>
              </w:rPr>
              <w:t xml:space="preserve">ÚLTIMA ACTUALIZACIÓN</w:t>
            </w:r>
          </w:p>
        </w:tc>
        <w:tc>
          <w:tcPr/>
          <w:p>
            <w:pPr>
              <w:pStyle w:val="Compact"/>
            </w:pPr>
            <w:r>
              <w:t xml:space="preserve">Dato a 2026-05 · informe generado el 2026-08-21</w:t>
            </w:r>
          </w:p>
        </w:tc>
      </w:tr>
    </w:tbl>
    <w:bookmarkEnd w:id="94"/>
    <w:bookmarkStart w:id="95" w:name="definición-qué-mide-y-por-qué-importa-7"/>
    <w:p>
      <w:pPr>
        <w:pStyle w:val="Heading2"/>
      </w:pPr>
      <w:r>
        <w:t xml:space="preserve">Definición — qué mide y por qué importa</w:t>
      </w:r>
    </w:p>
    <w:p>
      <w:pPr>
        <w:pStyle w:val="FirstParagraph"/>
      </w:pPr>
      <w:r>
        <w:t xml:space="preserve">Cuántas empresas de hasta 50 trabajadores siguen teniendo al menos una persona declarada con cobertura de ART. Cuando una PyME cierra, quiebra o despide a toda su nómina, el contrato con la aseguradora se rescinde casi en el acto, así que la baja aparece en el mes. En el ITCIS puntúa por el NIVEL rebaseado a 100 = 4T-2023: menos empleadores es peor.</w:t>
      </w:r>
    </w:p>
    <w:p>
      <w:pPr>
        <w:pStyle w:val="BodyText"/>
      </w:pPr>
      <w:r>
        <w:t xml:space="preserve">Es el cierre neto de empresas medido de forma directa, no aproximado por la producción industrial: el saldo entre las que abren y las que cierran, que es el dato que dice si el entramado PyME se está achicando.</w:t>
      </w:r>
    </w:p>
    <w:p>
      <w:pPr>
        <w:pStyle w:val="BodyText"/>
      </w:pPr>
      <w:r>
        <w:rPr>
          <w:b/>
          <w:bCs/>
        </w:rPr>
        <w:t xml:space="preserve">Dimensión que integra — Prospectivas de empleo.</w:t>
      </w:r>
      <w:r>
        <w:t xml:space="preserve"> </w:t>
      </w:r>
      <w:r>
        <w:t xml:space="preserve">El trabajo por sus dos caras: cuánto hay y de qué calidad es. La informalidad y el empleo registrado del sector privado miden lo segundo y lo primero; las completan cuatro señales del entorno que demanda ese empleo: el cierre neto de empleadores PyME, la construcción (cemento, el sector más intensivo en mano de obra), el pluriempleo y el peso del trabajo independiente sobre el empleo registrado.</w:t>
      </w:r>
    </w:p>
    <w:bookmarkEnd w:id="95"/>
    <w:bookmarkStart w:id="96" w:name="método-de-cómputo-7"/>
    <w:p>
      <w:pPr>
        <w:pStyle w:val="Heading2"/>
      </w:pPr>
      <w:r>
        <w:t xml:space="preserve">Método de cómputo</w:t>
      </w:r>
    </w:p>
    <w:p>
      <w:pPr>
        <w:pStyle w:val="Compact"/>
        <w:numPr>
          <w:ilvl w:val="0"/>
          <w:numId w:val="1029"/>
        </w:numPr>
      </w:pPr>
      <w:r>
        <w:t xml:space="preserve">Recorte PyME: se SUMAN los tramos de 1 · 2 · 3 a 5 · 6 a 10 · 11 a 25 · 26 a 40 · 41 a 50 trabajadores. No se toma el total del sistema aunque el tramo PyME sea la enorme mayoría de los empleadores: el total incluye a las grandes, y el indicador dejaría de decir PyME apenas cambie esa proporción.</w:t>
      </w:r>
    </w:p>
    <w:p>
      <w:pPr>
        <w:pStyle w:val="Compact"/>
        <w:numPr>
          <w:ilvl w:val="0"/>
          <w:numId w:val="1029"/>
        </w:numPr>
      </w:pPr>
      <w:r>
        <w:t xml:space="preserve">Componente del índice: el NIVEL de empleadores activos rebaseado a 100 = promedio del 4º trimestre de 2023. No la variación neta del mes: el nivel acumulado dice cuántas empresas quedan respecto del arranque, que es la pregunta del informe, y no depende de la estacionalidad de un mes suelto.</w:t>
      </w:r>
    </w:p>
    <w:p>
      <w:pPr>
        <w:pStyle w:val="Compact"/>
        <w:numPr>
          <w:ilvl w:val="0"/>
          <w:numId w:val="1029"/>
        </w:numPr>
      </w:pPr>
      <w:r>
        <w:t xml:space="preserve">Una sola serie, en unidades, para el titular y para el índice — el rebase lo hace el motor. Antes se publicaban dos series distintas para el mismo indicador y nunca podían reconciliarse.</w:t>
      </w:r>
    </w:p>
    <w:bookmarkEnd w:id="96"/>
    <w:bookmarkStart w:id="97" w:name="X580c6ce917b2a709ea8e3c85d9f137a942d26a4"/>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93,8</w:t>
      </w:r>
      <w:r>
        <w:t xml:space="preserve">.</w:t>
      </w:r>
    </w:p>
    <w:bookmarkEnd w:id="97"/>
    <w:bookmarkStart w:id="98" w:name="datos-concretos-detrás-del-valor-7"/>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0"/>
        </w:numPr>
      </w:pPr>
      <w:r>
        <w:t xml:space="preserve">El informe publica el valor (460.777 empleadores) pero no los números que lo componen: la fuente entrega la serie ya calculada. Para auditar el dato hay que ir a la operación estadística citada más arriba.</w:t>
      </w:r>
    </w:p>
    <w:bookmarkEnd w:id="98"/>
    <w:bookmarkStart w:id="99" w:name="color-vigente-y-por-qué-7"/>
    <w:p>
      <w:pPr>
        <w:pStyle w:val="Heading2"/>
      </w:pPr>
      <w:r>
        <w:t xml:space="preserve">Color vigente y por qué</w:t>
      </w:r>
    </w:p>
    <w:p>
      <w:pPr>
        <w:pStyle w:val="FirstParagraph"/>
      </w:pPr>
      <w:r>
        <w:t xml:space="preserve">Dato vigente: 460.777 empleadores (2026-05).</w:t>
      </w:r>
    </w:p>
    <w:p>
      <w:pPr>
        <w:pStyle w:val="BodyText"/>
      </w:pPr>
      <w:r>
        <w:t xml:space="preserve">El componente está en 93,8 sobre la base 100 del 4º trimestre de 2023 — de 85 a 95 —, que es el tramo NARANJA.</w:t>
      </w:r>
    </w:p>
    <w:p>
      <w:pPr>
        <w:pStyle w:val="BodyText"/>
      </w:pPr>
      <w:r>
        <w:rPr>
          <w:b/>
          <w:bCs/>
        </w:rPr>
        <w:t xml:space="preserve">Color vigente: NARANJA</w:t>
      </w:r>
    </w:p>
    <w:p>
      <w:pPr>
        <w:pStyle w:val="BodyText"/>
      </w:pPr>
      <w:r>
        <w:t xml:space="preserve">Ponderación vigente en el ITCIS: 3,6 % efectivo. El color es una lectura adicional — no reemplaza ni cambia esta ponderación.</w:t>
      </w:r>
    </w:p>
    <w:bookmarkEnd w:id="99"/>
    <w:bookmarkStart w:id="100" w:name="transparencia-limitaciones-declaradas-7"/>
    <w:p>
      <w:pPr>
        <w:pStyle w:val="Heading2"/>
      </w:pPr>
      <w:r>
        <w:t xml:space="preserve">Transparencia — limitaciones declaradas</w:t>
      </w:r>
    </w:p>
    <w:p>
      <w:pPr>
        <w:pStyle w:val="Compact"/>
        <w:numPr>
          <w:ilvl w:val="0"/>
          <w:numId w:val="1031"/>
        </w:numPr>
      </w:pPr>
      <w:r>
        <w:t xml:space="preserve">Sólo ve empleadores con al menos una persona declarada: una empresa que despide a toda su nómina y sigue existiendo cuenta como baja, y una que nunca tuvo empleados no cuenta nunca.</w:t>
      </w:r>
    </w:p>
    <w:p>
      <w:pPr>
        <w:pStyle w:val="Compact"/>
        <w:numPr>
          <w:ilvl w:val="0"/>
          <w:numId w:val="1031"/>
        </w:numPr>
      </w:pPr>
      <w:r>
        <w:t xml:space="preserve">Es cobertura de riesgos del trabajo, no padrón tributario: el universo es el de las relaciones laborales registradas con ART.</w:t>
      </w:r>
    </w:p>
    <w:p>
      <w:pPr>
        <w:pStyle w:val="Compact"/>
        <w:numPr>
          <w:ilvl w:val="0"/>
          <w:numId w:val="1031"/>
        </w:numPr>
      </w:pPr>
      <w:r>
        <w:t xml:space="preserve">Mide el saldo neto, no las altas y bajas por separado: un mes con mucha rotación y saldo cero se lee igual que un mes quieto.</w:t>
      </w:r>
    </w:p>
    <w:p>
      <w:pPr>
        <w:pStyle w:val="Compact"/>
        <w:numPr>
          <w:ilvl w:val="0"/>
          <w:numId w:val="1031"/>
        </w:numPr>
      </w:pPr>
      <w:r>
        <w:t xml:space="preserve">El equivalente por el lado de AFIP —la base de empleadores de OEDE— dejaría ver el universo tributario completo, pero está congelada en octubre de 2023, justo antes del período que el informe evalúa.</w:t>
      </w:r>
    </w:p>
    <w:bookmarkEnd w:id="100"/>
    <w:bookmarkStart w:id="101" w:name="X5157a7f3dd1b7c5618784c262e1db635d54cbee"/>
    <w:p>
      <w:pPr>
        <w:pStyle w:val="Heading2"/>
      </w:pPr>
      <w:r>
        <w:t xml:space="preserve">Si falta el dato / Política de revisiones</w:t>
      </w:r>
    </w:p>
    <w:p>
      <w:pPr>
        <w:numPr>
          <w:ilvl w:val="0"/>
          <w:numId w:val="1032"/>
        </w:numPr>
      </w:pPr>
      <w:r>
        <w:rPr>
          <w:b/>
          <w:bCs/>
        </w:rPr>
        <w:t xml:space="preserve">Si falta el dato:</w:t>
      </w:r>
      <w:r>
        <w:t xml:space="preserve"> </w:t>
      </w:r>
      <w:r>
        <w:t xml:space="preserve">Se mantiene el último valor publicado como desactualizado; sin componente, renormalización dentro de la dimensión. Si el cuadro 4.2 deja de traer alguno de los siete tramos, el colector falla en voz alta en vez de publicar una suma incompleta.</w:t>
      </w:r>
    </w:p>
    <w:p>
      <w:pPr>
        <w:numPr>
          <w:ilvl w:val="0"/>
          <w:numId w:val="1032"/>
        </w:numPr>
      </w:pPr>
      <w:r>
        <w:rPr>
          <w:b/>
          <w:bCs/>
        </w:rPr>
        <w:t xml:space="preserve">Política de revisiones:</w:t>
      </w:r>
      <w:r>
        <w:t xml:space="preserve"> </w:t>
      </w:r>
      <w:r>
        <w:t xml:space="preserve">La SRT reemite el archivo entero cada mes y la serie se relee completa en cada corrida, así que las revisiones hacia atrás entran solas.</w:t>
      </w:r>
    </w:p>
    <w:bookmarkEnd w:id="101"/>
    <w:bookmarkStart w:id="102" w:name="X132198e4afb37dac2ae05929110b05dce5f3da0"/>
    <w:p>
      <w:pPr>
        <w:pStyle w:val="Heading2"/>
      </w:pPr>
      <w:r>
        <w:t xml:space="preserve">Historial — cambios metodológicos documentados</w:t>
      </w:r>
    </w:p>
    <w:p>
      <w:pPr>
        <w:pStyle w:val="FirstParagraph"/>
      </w:pPr>
      <w:r>
        <w:rPr>
          <w:b/>
          <w:bCs/>
        </w:rPr>
        <w:t xml:space="preserve">2026-07-03</w:t>
      </w:r>
      <w:r>
        <w:t xml:space="preserve"> </w:t>
      </w:r>
      <w:r>
        <w:t xml:space="preserve">— Entra al ITCIS como nivel desestacionalizado base-100 (antes puntuaba por variación mensual de la serie original, dominada por estacionalidad).</w:t>
      </w:r>
    </w:p>
    <w:p>
      <w:pPr>
        <w:pStyle w:val="BodyText"/>
      </w:pPr>
      <w:r>
        <w:rPr>
          <w:b/>
          <w:bCs/>
        </w:rPr>
        <w:t xml:space="preserve">2026-08-21</w:t>
      </w:r>
      <w:r>
        <w:t xml:space="preserve"> </w:t>
      </w:r>
      <w:r>
        <w:t xml:space="preserve">— Pasa a medir lo que su nombre promete (ADR-0218): empleadores PyME activos de la SRT, en lugar del IPI manufacturero del INDEC, que era una aproximación declarada por producción industrial. El componente pasa de 97,4 a 93,8 — la producción había recuperado más que el número de empresas. El rótulo público pasa de «Actividad industrial (IPI)» a «Empleadores PyME activos» y el tope de frescura sube de 140 a 165 días.</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02"/>
    <w:bookmarkEnd w:id="103"/>
    <w:bookmarkStart w:id="113" w:name="construcción-isac"/>
    <w:p>
      <w:pPr>
        <w:pStyle w:val="Heading1"/>
      </w:pPr>
      <w:r>
        <w:t xml:space="preserve">Construcción (ISAC)</w:t>
      </w:r>
    </w:p>
    <w:p>
      <w:pPr>
        <w:pStyle w:val="FirstParagraph"/>
      </w:pPr>
      <w:r>
        <w:t xml:space="preserve">El nivel de actividad de la construcción, gran motor de empleo de baja calificación.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148,1 índice ISAC</w:t>
            </w:r>
            <w:r>
              <w:t xml:space="preserve"> </w:t>
            </w:r>
            <w:r>
              <w:t xml:space="preserve">(2026-06)</w:t>
            </w:r>
          </w:p>
        </w:tc>
        <w:tc>
          <w:tcPr/>
          <w:p>
            <w:pPr>
              <w:pStyle w:val="Compact"/>
            </w:pPr>
            <w:r>
              <w:rPr>
                <w:b/>
                <w:bCs/>
              </w:rPr>
              <w:t xml:space="preserve">ROJO</w:t>
            </w:r>
          </w:p>
        </w:tc>
        <w:tc>
          <w:tcPr/>
          <w:p>
            <w:pPr>
              <w:pStyle w:val="Compact"/>
            </w:pPr>
            <w:r>
              <w:t xml:space="preserve">Peso efectivo 3,3 % del ITCIS</w:t>
            </w:r>
          </w:p>
        </w:tc>
        <w:tc>
          <w:tcPr/>
          <w:p>
            <w:pPr>
              <w:pStyle w:val="Compact"/>
            </w:pPr>
            <w:r>
              <w:t xml:space="preserve">Cinturón Impacto social</w:t>
            </w:r>
          </w:p>
        </w:tc>
      </w:tr>
    </w:tbl>
    <w:bookmarkStart w:id="104" w:name="identificación-8"/>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despacho_cemento</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Prospectivas de empleo</w:t>
            </w:r>
          </w:p>
        </w:tc>
        <w:tc>
          <w:tcPr/>
          <w:p>
            <w:pPr>
              <w:pStyle w:val="Compact"/>
            </w:pPr>
            <w:r>
              <w:rPr>
                <w:b/>
                <w:bCs/>
              </w:rPr>
              <w:t xml:space="preserve">UNIDAD DE MEDIDA</w:t>
            </w:r>
          </w:p>
        </w:tc>
        <w:tc>
          <w:tcPr/>
          <w:p>
            <w:pPr>
              <w:pStyle w:val="Compact"/>
            </w:pPr>
            <w:r>
              <w:t xml:space="preserve">índice ISAC</w:t>
            </w:r>
          </w:p>
        </w:tc>
      </w:tr>
      <w:tr>
        <w:tc>
          <w:tcPr/>
          <w:p>
            <w:pPr>
              <w:pStyle w:val="Compact"/>
            </w:pPr>
            <w:r>
              <w:rPr>
                <w:b/>
                <w:bCs/>
              </w:rPr>
              <w:t xml:space="preserve">SERIE DISPONIBLE</w:t>
            </w:r>
          </w:p>
        </w:tc>
        <w:tc>
          <w:tcPr/>
          <w:p>
            <w:pPr>
              <w:pStyle w:val="Compact"/>
            </w:pPr>
            <w:r>
              <w:t xml:space="preserve">2021-07 → 2026-06 (60 puntos)</w:t>
            </w:r>
          </w:p>
        </w:tc>
        <w:tc>
          <w:tcPr/>
          <w:p>
            <w:pPr>
              <w:pStyle w:val="Compact"/>
            </w:pPr>
            <w:r>
              <w:rPr>
                <w:b/>
                <w:bCs/>
              </w:rPr>
              <w:t xml:space="preserve">REZAGO DE PUBLICACIÓN</w:t>
            </w:r>
          </w:p>
        </w:tc>
        <w:tc>
          <w:tcPr/>
          <w:p>
            <w:pPr>
              <w:pStyle w:val="Compact"/>
            </w:pPr>
            <w:r>
              <w:t xml:space="preserve">~2 meses (calendario de difusión de la construcción del INDEC).</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ISAC — Indicador Sintético de la Actividad de la Construcción, serie desestacionalizada (el nombre histórico del indicador quedó; la métrica real es el ISAC)</w:t>
            </w:r>
          </w:p>
        </w:tc>
      </w:tr>
      <w:tr>
        <w:tc>
          <w:tcPr/>
          <w:p>
            <w:pPr>
              <w:pStyle w:val="Compact"/>
            </w:pPr>
            <w:r>
              <w:rPr>
                <w:b/>
                <w:bCs/>
              </w:rPr>
              <w:t xml:space="preserve">MODO DE ACCESO</w:t>
            </w:r>
          </w:p>
        </w:tc>
        <w:tc>
          <w:tcPr/>
          <w:p>
            <w:pPr>
              <w:pStyle w:val="Compact"/>
            </w:pPr>
            <w:r>
              <w:t xml:space="preserve">Automático: API pública de series de tiempo.</w:t>
            </w:r>
          </w:p>
        </w:tc>
        <w:tc>
          <w:tcPr/>
          <w:p>
            <w:pPr>
              <w:pStyle w:val="Compact"/>
            </w:pPr>
            <w:r>
              <w:rPr>
                <w:b/>
                <w:bCs/>
              </w:rPr>
              <w:t xml:space="preserve">ÚLTIMA ACTUALIZACIÓN</w:t>
            </w:r>
          </w:p>
        </w:tc>
        <w:tc>
          <w:tcPr/>
          <w:p>
            <w:pPr>
              <w:pStyle w:val="Compact"/>
            </w:pPr>
            <w:r>
              <w:t xml:space="preserve">Dato a 2026-06 · informe generado el 2026-08-21</w:t>
            </w:r>
          </w:p>
        </w:tc>
      </w:tr>
    </w:tbl>
    <w:bookmarkEnd w:id="104"/>
    <w:bookmarkStart w:id="105" w:name="definición-qué-mide-y-por-qué-importa-8"/>
    <w:p>
      <w:pPr>
        <w:pStyle w:val="Heading2"/>
      </w:pPr>
      <w:r>
        <w:t xml:space="preserve">Definición — qué mide y por qué importa</w:t>
      </w:r>
    </w:p>
    <w:p>
      <w:pPr>
        <w:pStyle w:val="FirstParagraph"/>
      </w:pPr>
      <w:r>
        <w:t xml:space="preserve">El nivel de actividad de la construcción, gran motor de empleo de baja calificación.</w:t>
      </w:r>
    </w:p>
    <w:p>
      <w:pPr>
        <w:pStyle w:val="BodyText"/>
      </w:pPr>
      <w:r>
        <w:t xml:space="preserve">Termómetro de la obra pública y privada, sensible al ciclo económico.</w:t>
      </w:r>
    </w:p>
    <w:p>
      <w:pPr>
        <w:pStyle w:val="BodyText"/>
      </w:pPr>
      <w:r>
        <w:rPr>
          <w:b/>
          <w:bCs/>
        </w:rPr>
        <w:t xml:space="preserve">Dimensión que integra — Prospectivas de empleo.</w:t>
      </w:r>
      <w:r>
        <w:t xml:space="preserve"> </w:t>
      </w:r>
      <w:r>
        <w:t xml:space="preserve">El trabajo por sus dos caras: cuánto hay y de qué calidad es. La informalidad y el empleo registrado del sector privado miden lo segundo y lo primero; las completan cuatro señales del entorno que demanda ese empleo: el cierre neto de empleadores PyME, la construcción (cemento, el sector más intensivo en mano de obra), el pluriempleo y el peso del trabajo independiente sobre el empleo registrado.</w:t>
      </w:r>
    </w:p>
    <w:bookmarkEnd w:id="105"/>
    <w:bookmarkStart w:id="106" w:name="método-de-cómputo-8"/>
    <w:p>
      <w:pPr>
        <w:pStyle w:val="Heading2"/>
      </w:pPr>
      <w:r>
        <w:t xml:space="preserve">Método de cómputo</w:t>
      </w:r>
    </w:p>
    <w:p>
      <w:pPr>
        <w:pStyle w:val="Compact"/>
        <w:numPr>
          <w:ilvl w:val="0"/>
          <w:numId w:val="1033"/>
        </w:numPr>
      </w:pPr>
      <w:r>
        <w:t xml:space="preserve">Componente del índice: el nivel desestacionalizado rebaseado a 100 = promedio del 4º trimestre de 2023.</w:t>
      </w:r>
    </w:p>
    <w:p>
      <w:pPr>
        <w:pStyle w:val="Compact"/>
        <w:numPr>
          <w:ilvl w:val="0"/>
          <w:numId w:val="1033"/>
        </w:numPr>
      </w:pPr>
      <w:r>
        <w:t xml:space="preserve">La serie original tiene un desplome estacional en diciembre que contaminaría la base: por eso la desestacionalizada.</w:t>
      </w:r>
    </w:p>
    <w:bookmarkEnd w:id="106"/>
    <w:bookmarkStart w:id="107" w:name="X87b3987c06539a9299ed64e1a1888a4d5564dfd"/>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82,2</w:t>
      </w:r>
      <w:r>
        <w:t xml:space="preserve">.</w:t>
      </w:r>
    </w:p>
    <w:bookmarkEnd w:id="107"/>
    <w:bookmarkStart w:id="108" w:name="datos-concretos-detrás-del-valor-8"/>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4"/>
        </w:numPr>
      </w:pPr>
      <w:r>
        <w:t xml:space="preserve">El informe publica el valor (148,1 índice ISAC) pero no los números que lo componen: la fuente entrega la serie ya calculada. Para auditar el dato hay que ir a la operación estadística citada más arriba.</w:t>
      </w:r>
    </w:p>
    <w:bookmarkEnd w:id="108"/>
    <w:bookmarkStart w:id="109" w:name="color-vigente-y-por-qué-8"/>
    <w:p>
      <w:pPr>
        <w:pStyle w:val="Heading2"/>
      </w:pPr>
      <w:r>
        <w:t xml:space="preserve">Color vigente y por qué</w:t>
      </w:r>
    </w:p>
    <w:p>
      <w:pPr>
        <w:pStyle w:val="FirstParagraph"/>
      </w:pPr>
      <w:r>
        <w:t xml:space="preserve">Dato vigente: 148,1 índice ISAC (2026-06).</w:t>
      </w:r>
    </w:p>
    <w:p>
      <w:pPr>
        <w:pStyle w:val="BodyText"/>
      </w:pPr>
      <w:r>
        <w:t xml:space="preserve">El componente está en 82,2 sobre la base 100 del 4º trimestre de 2023 — menos de 85 —, que es el tramo ROJO.</w:t>
      </w:r>
    </w:p>
    <w:p>
      <w:pPr>
        <w:pStyle w:val="BodyText"/>
      </w:pPr>
      <w:r>
        <w:rPr>
          <w:b/>
          <w:bCs/>
        </w:rPr>
        <w:t xml:space="preserve">Color vigente: ROJO</w:t>
      </w:r>
    </w:p>
    <w:p>
      <w:pPr>
        <w:pStyle w:val="BodyText"/>
      </w:pPr>
      <w:r>
        <w:t xml:space="preserve">Ponderación vigente en el ITCIS: 3,3 % efectivo. El color es una lectura adicional — no reemplaza ni cambia esta ponderación.</w:t>
      </w:r>
    </w:p>
    <w:bookmarkEnd w:id="109"/>
    <w:bookmarkStart w:id="110" w:name="transparencia-limitaciones-declaradas-8"/>
    <w:p>
      <w:pPr>
        <w:pStyle w:val="Heading2"/>
      </w:pPr>
      <w:r>
        <w:t xml:space="preserve">Transparencia — limitaciones declaradas</w:t>
      </w:r>
    </w:p>
    <w:p>
      <w:pPr>
        <w:pStyle w:val="Compact"/>
        <w:numPr>
          <w:ilvl w:val="0"/>
          <w:numId w:val="1035"/>
        </w:numPr>
      </w:pPr>
      <w:r>
        <w:t xml:space="preserve">Aproximación al empleo vía actividad de la construcción, no despachos de cemento reales (la serie de insumos existe aparte, como contraste).</w:t>
      </w:r>
    </w:p>
    <w:bookmarkEnd w:id="110"/>
    <w:bookmarkStart w:id="111" w:name="Xa8ce648c431bea43f551f3baf6efe2b68743848"/>
    <w:p>
      <w:pPr>
        <w:pStyle w:val="Heading2"/>
      </w:pPr>
      <w:r>
        <w:t xml:space="preserve">Si falta el dato / Política de revisiones</w:t>
      </w:r>
    </w:p>
    <w:p>
      <w:pPr>
        <w:numPr>
          <w:ilvl w:val="0"/>
          <w:numId w:val="1036"/>
        </w:numPr>
      </w:pPr>
      <w:r>
        <w:rPr>
          <w:b/>
          <w:bCs/>
        </w:rPr>
        <w:t xml:space="preserve">Si falta el dato:</w:t>
      </w:r>
      <w:r>
        <w:t xml:space="preserve"> </w:t>
      </w:r>
      <w:r>
        <w:t xml:space="preserve">Se mantiene el último valor publicado como desactualizado; sin componente, renormalización dentro de la dimensión.</w:t>
      </w:r>
    </w:p>
    <w:p>
      <w:pPr>
        <w:numPr>
          <w:ilvl w:val="0"/>
          <w:numId w:val="1036"/>
        </w:numPr>
      </w:pPr>
      <w:r>
        <w:rPr>
          <w:b/>
          <w:bCs/>
        </w:rPr>
        <w:t xml:space="preserve">Política de revisiones:</w:t>
      </w:r>
      <w:r>
        <w:t xml:space="preserve"> </w:t>
      </w:r>
      <w:r>
        <w:t xml:space="preserve">Serie desestacionalizada revisable por la fuente; re-descarga completa por actualización.</w:t>
      </w:r>
    </w:p>
    <w:bookmarkEnd w:id="111"/>
    <w:bookmarkStart w:id="112" w:name="X7377c6d2efe561e453f620dd5fcb89b652fe35d"/>
    <w:p>
      <w:pPr>
        <w:pStyle w:val="Heading2"/>
      </w:pPr>
      <w:r>
        <w:t xml:space="preserve">Historial — cambios metodológicos documentados</w:t>
      </w:r>
    </w:p>
    <w:p>
      <w:pPr>
        <w:pStyle w:val="FirstParagraph"/>
      </w:pPr>
      <w:r>
        <w:rPr>
          <w:b/>
          <w:bCs/>
        </w:rPr>
        <w:t xml:space="preserve">2026-07-03</w:t>
      </w:r>
      <w:r>
        <w:t xml:space="preserve"> </w:t>
      </w:r>
      <w:r>
        <w:t xml:space="preserve">— Entra al ITCIS como nivel desestacionalizado base-100; el mismo día el gráfico pasó a la misma métrica del titular (antes mostraba otra serie de insumos por un alias).</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12"/>
    <w:bookmarkEnd w:id="113"/>
    <w:bookmarkStart w:id="123" w:name="subocupación-demandante"/>
    <w:p>
      <w:pPr>
        <w:pStyle w:val="Heading1"/>
      </w:pPr>
      <w:r>
        <w:t xml:space="preserve">Subocupación demandante</w:t>
      </w:r>
    </w:p>
    <w:p>
      <w:pPr>
        <w:pStyle w:val="FirstParagraph"/>
      </w:pPr>
      <w:r>
        <w:t xml:space="preserve">Qué porcentaje de los ocupados busca trabajar más horas porque su empleo no le alcanza.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7,5 %</w:t>
            </w:r>
            <w:r>
              <w:t xml:space="preserve"> </w:t>
            </w:r>
            <w:r>
              <w:t xml:space="preserve">(2026-01)</w:t>
            </w:r>
          </w:p>
        </w:tc>
        <w:tc>
          <w:tcPr/>
          <w:p>
            <w:pPr>
              <w:pStyle w:val="Compact"/>
            </w:pPr>
            <w:r>
              <w:rPr>
                <w:b/>
                <w:bCs/>
              </w:rPr>
              <w:t xml:space="preserve">NARANJA</w:t>
            </w:r>
          </w:p>
        </w:tc>
        <w:tc>
          <w:tcPr/>
          <w:p>
            <w:pPr>
              <w:pStyle w:val="Compact"/>
            </w:pPr>
            <w:r>
              <w:t xml:space="preserve">Peso efectivo 1,2 % del ITCIS</w:t>
            </w:r>
          </w:p>
        </w:tc>
        <w:tc>
          <w:tcPr/>
          <w:p>
            <w:pPr>
              <w:pStyle w:val="Compact"/>
            </w:pPr>
            <w:r>
              <w:t xml:space="preserve">Cinturón Impacto social</w:t>
            </w:r>
          </w:p>
        </w:tc>
      </w:tr>
    </w:tbl>
    <w:bookmarkStart w:id="114" w:name="identificación-9"/>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pluriempleo</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Prospectivas de empleo</w:t>
            </w:r>
          </w:p>
        </w:tc>
        <w:tc>
          <w:tcPr/>
          <w:p>
            <w:pPr>
              <w:pStyle w:val="Compact"/>
            </w:pPr>
            <w:r>
              <w:rPr>
                <w:b/>
                <w:bCs/>
              </w:rPr>
              <w:t xml:space="preserve">UNIDAD DE MEDIDA</w:t>
            </w:r>
          </w:p>
        </w:tc>
        <w:tc>
          <w:tcPr/>
          <w:p>
            <w:pPr>
              <w:pStyle w:val="Compact"/>
            </w:pPr>
            <w:r>
              <w:t xml:space="preserve">%</w:t>
            </w:r>
          </w:p>
        </w:tc>
      </w:tr>
      <w:tr>
        <w:tc>
          <w:tcPr/>
          <w:p>
            <w:pPr>
              <w:pStyle w:val="Compact"/>
            </w:pPr>
            <w:r>
              <w:rPr>
                <w:b/>
                <w:bCs/>
              </w:rPr>
              <w:t xml:space="preserve">SERIE DISPONIBLE</w:t>
            </w:r>
          </w:p>
        </w:tc>
        <w:tc>
          <w:tcPr/>
          <w:p>
            <w:pPr>
              <w:pStyle w:val="Compact"/>
            </w:pPr>
            <w:r>
              <w:t xml:space="preserve">2016-04 → 2026-01 (40 puntos)</w:t>
            </w:r>
          </w:p>
        </w:tc>
        <w:tc>
          <w:tcPr/>
          <w:p>
            <w:pPr>
              <w:pStyle w:val="Compact"/>
            </w:pPr>
            <w:r>
              <w:rPr>
                <w:b/>
                <w:bCs/>
              </w:rPr>
              <w:t xml:space="preserve">REZAGO DE PUBLICACIÓN</w:t>
            </w:r>
          </w:p>
        </w:tc>
        <w:tc>
          <w:tcPr/>
          <w:p>
            <w:pPr>
              <w:pStyle w:val="Compact"/>
            </w:pPr>
            <w:r>
              <w:t xml:space="preserve">Encuesta trimestral publicada con uno a dos trimestres de rezago.</w:t>
            </w:r>
          </w:p>
        </w:tc>
      </w:tr>
      <w:tr>
        <w:tc>
          <w:tcPr/>
          <w:p>
            <w:pPr>
              <w:pStyle w:val="Compact"/>
            </w:pPr>
            <w:r>
              <w:rPr>
                <w:b/>
                <w:bCs/>
              </w:rPr>
              <w:t xml:space="preserve">PRODUCTOR DEL DATO</w:t>
            </w:r>
          </w:p>
        </w:tc>
        <w:tc>
          <w:tcPr/>
          <w:p>
            <w:pPr>
              <w:pStyle w:val="Compact"/>
            </w:pPr>
            <w:r>
              <w:t xml:space="preserve">INDEC (EPH)</w:t>
            </w:r>
          </w:p>
        </w:tc>
        <w:tc>
          <w:tcPr/>
          <w:p>
            <w:pPr>
              <w:pStyle w:val="Compact"/>
            </w:pPr>
            <w:r>
              <w:rPr>
                <w:b/>
                <w:bCs/>
              </w:rPr>
              <w:t xml:space="preserve">OPERACIÓN ESTADÍSTICA</w:t>
            </w:r>
          </w:p>
        </w:tc>
        <w:tc>
          <w:tcPr/>
          <w:p>
            <w:pPr>
              <w:pStyle w:val="Compact"/>
            </w:pPr>
            <w:r>
              <w:t xml:space="preserve">EPH — tasa de subocupación demandante (aproximación declarada del pluriempleo)</w:t>
            </w:r>
          </w:p>
        </w:tc>
      </w:tr>
      <w:tr>
        <w:tc>
          <w:tcPr/>
          <w:p>
            <w:pPr>
              <w:pStyle w:val="Compact"/>
            </w:pPr>
            <w:r>
              <w:rPr>
                <w:b/>
                <w:bCs/>
              </w:rPr>
              <w:t xml:space="preserve">MODO DE ACCESO</w:t>
            </w:r>
          </w:p>
        </w:tc>
        <w:tc>
          <w:tcPr/>
          <w:p>
            <w:pPr>
              <w:pStyle w:val="Compact"/>
            </w:pPr>
            <w:r>
              <w:t xml:space="preserve">Automático: API pública de series de tiempo.</w:t>
            </w:r>
          </w:p>
        </w:tc>
        <w:tc>
          <w:tcPr/>
          <w:p>
            <w:pPr>
              <w:pStyle w:val="Compact"/>
            </w:pPr>
            <w:r>
              <w:rPr>
                <w:b/>
                <w:bCs/>
              </w:rPr>
              <w:t xml:space="preserve">ÚLTIMA ACTUALIZACIÓN</w:t>
            </w:r>
          </w:p>
        </w:tc>
        <w:tc>
          <w:tcPr/>
          <w:p>
            <w:pPr>
              <w:pStyle w:val="Compact"/>
            </w:pPr>
            <w:r>
              <w:t xml:space="preserve">Dato a 2026-01 · informe generado el 2026-08-21</w:t>
            </w:r>
          </w:p>
        </w:tc>
      </w:tr>
    </w:tbl>
    <w:bookmarkEnd w:id="114"/>
    <w:bookmarkStart w:id="115" w:name="definición-qué-mide-y-por-qué-importa-9"/>
    <w:p>
      <w:pPr>
        <w:pStyle w:val="Heading2"/>
      </w:pPr>
      <w:r>
        <w:t xml:space="preserve">Definición — qué mide y por qué importa</w:t>
      </w:r>
    </w:p>
    <w:p>
      <w:pPr>
        <w:pStyle w:val="FirstParagraph"/>
      </w:pPr>
      <w:r>
        <w:t xml:space="preserve">Qué porcentaje de los ocupados busca trabajar más horas porque su empleo no le alcanza.</w:t>
      </w:r>
    </w:p>
    <w:p>
      <w:pPr>
        <w:pStyle w:val="BodyText"/>
      </w:pPr>
      <w:r>
        <w:t xml:space="preserve">Señala empleo insuficiente: gente ocupada a la que no le alcanza.</w:t>
      </w:r>
    </w:p>
    <w:p>
      <w:pPr>
        <w:pStyle w:val="BodyText"/>
      </w:pPr>
      <w:r>
        <w:rPr>
          <w:b/>
          <w:bCs/>
        </w:rPr>
        <w:t xml:space="preserve">Dimensión que integra — Prospectivas de empleo.</w:t>
      </w:r>
      <w:r>
        <w:t xml:space="preserve"> </w:t>
      </w:r>
      <w:r>
        <w:t xml:space="preserve">El trabajo por sus dos caras: cuánto hay y de qué calidad es. La informalidad y el empleo registrado del sector privado miden lo segundo y lo primero; las completan cuatro señales del entorno que demanda ese empleo: el cierre neto de empleadores PyME, la construcción (cemento, el sector más intensivo en mano de obra), el pluriempleo y el peso del trabajo independiente sobre el empleo registrado.</w:t>
      </w:r>
    </w:p>
    <w:bookmarkEnd w:id="115"/>
    <w:bookmarkStart w:id="116" w:name="método-de-cómputo-9"/>
    <w:p>
      <w:pPr>
        <w:pStyle w:val="Heading2"/>
      </w:pPr>
      <w:r>
        <w:t xml:space="preserve">Método de cómputo</w:t>
      </w:r>
    </w:p>
    <w:p>
      <w:pPr>
        <w:pStyle w:val="Compact"/>
        <w:numPr>
          <w:ilvl w:val="0"/>
          <w:numId w:val="1037"/>
        </w:numPr>
      </w:pPr>
      <w:r>
        <w:t xml:space="preserve">Componente del índice: la tasa rebaseada de forma invertida (menos subocupación demandante = mejora) contra el 4º trimestre de 2023.</w:t>
      </w:r>
    </w:p>
    <w:bookmarkEnd w:id="116"/>
    <w:bookmarkStart w:id="117" w:name="X7cebc61645757546f8524c030baae18d065141e"/>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90,7</w:t>
      </w:r>
      <w:r>
        <w:t xml:space="preserve">.</w:t>
      </w:r>
    </w:p>
    <w:bookmarkEnd w:id="117"/>
    <w:bookmarkStart w:id="118" w:name="datos-concretos-detrás-del-valor-9"/>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8"/>
        </w:numPr>
      </w:pPr>
      <w:r>
        <w:t xml:space="preserve">El informe publica el valor (7,5 %) pero no los números que lo componen: la fuente entrega la serie ya calculada. Para auditar el dato hay que ir a la operación estadística citada más arriba.</w:t>
      </w:r>
    </w:p>
    <w:bookmarkEnd w:id="118"/>
    <w:bookmarkStart w:id="119" w:name="color-vigente-y-por-qué-9"/>
    <w:p>
      <w:pPr>
        <w:pStyle w:val="Heading2"/>
      </w:pPr>
      <w:r>
        <w:t xml:space="preserve">Color vigente y por qué</w:t>
      </w:r>
    </w:p>
    <w:p>
      <w:pPr>
        <w:pStyle w:val="FirstParagraph"/>
      </w:pPr>
      <w:r>
        <w:t xml:space="preserve">Dato vigente: 7,5 % (2026-01).</w:t>
      </w:r>
    </w:p>
    <w:p>
      <w:pPr>
        <w:pStyle w:val="BodyText"/>
      </w:pPr>
      <w:r>
        <w:t xml:space="preserve">El componente está en 90,7 sobre la base 100 del 4º trimestre de 2023 — de 85 a 95 —, que es el tramo NARANJA.</w:t>
      </w:r>
    </w:p>
    <w:p>
      <w:pPr>
        <w:pStyle w:val="BodyText"/>
      </w:pPr>
      <w:r>
        <w:rPr>
          <w:b/>
          <w:bCs/>
        </w:rPr>
        <w:t xml:space="preserve">Color vigente: NARANJA</w:t>
      </w:r>
    </w:p>
    <w:p>
      <w:pPr>
        <w:pStyle w:val="BodyText"/>
      </w:pPr>
      <w:r>
        <w:t xml:space="preserve">Ponderación vigente en el ITCIS: 1,2 % efectivo. El color es una lectura adicional — no reemplaza ni cambia esta ponderación.</w:t>
      </w:r>
    </w:p>
    <w:bookmarkEnd w:id="119"/>
    <w:bookmarkStart w:id="120" w:name="transparencia-limitaciones-declaradas-9"/>
    <w:p>
      <w:pPr>
        <w:pStyle w:val="Heading2"/>
      </w:pPr>
      <w:r>
        <w:t xml:space="preserve">Transparencia — limitaciones declaradas</w:t>
      </w:r>
    </w:p>
    <w:p>
      <w:pPr>
        <w:pStyle w:val="Compact"/>
        <w:numPr>
          <w:ilvl w:val="0"/>
          <w:numId w:val="1039"/>
        </w:numPr>
      </w:pPr>
      <w:r>
        <w:t xml:space="preserve">Aproximación declarada: mide gente que trabaja poco y busca más, no la tenencia de múltiples empleos.</w:t>
      </w:r>
    </w:p>
    <w:p>
      <w:pPr>
        <w:pStyle w:val="Compact"/>
        <w:numPr>
          <w:ilvl w:val="0"/>
          <w:numId w:val="1039"/>
        </w:numPr>
      </w:pPr>
      <w:r>
        <w:t xml:space="preserve">Trimestral contra base de un trimestre: sesgo estacional chico aceptado.</w:t>
      </w:r>
    </w:p>
    <w:bookmarkEnd w:id="120"/>
    <w:bookmarkStart w:id="121" w:name="X0ca14a0d10aa77334bfd7717b8d9d79e39debb4"/>
    <w:p>
      <w:pPr>
        <w:pStyle w:val="Heading2"/>
      </w:pPr>
      <w:r>
        <w:t xml:space="preserve">Si falta el dato / Política de revisiones</w:t>
      </w:r>
    </w:p>
    <w:p>
      <w:pPr>
        <w:numPr>
          <w:ilvl w:val="0"/>
          <w:numId w:val="1040"/>
        </w:numPr>
      </w:pPr>
      <w:r>
        <w:rPr>
          <w:b/>
          <w:bCs/>
        </w:rPr>
        <w:t xml:space="preserve">Si falta el dato:</w:t>
      </w:r>
      <w:r>
        <w:t xml:space="preserve"> </w:t>
      </w:r>
      <w:r>
        <w:t xml:space="preserve">Se mantiene el último valor publicado como desactualizado; sin componente, renormalización dentro de la dimensión.</w:t>
      </w:r>
    </w:p>
    <w:p>
      <w:pPr>
        <w:numPr>
          <w:ilvl w:val="0"/>
          <w:numId w:val="1040"/>
        </w:numPr>
      </w:pPr>
      <w:r>
        <w:rPr>
          <w:b/>
          <w:bCs/>
        </w:rPr>
        <w:t xml:space="preserve">Política de revisiones:</w:t>
      </w:r>
      <w:r>
        <w:t xml:space="preserve"> </w:t>
      </w:r>
      <w:r>
        <w:t xml:space="preserve">La encuesta se revisa; re-descarga completa por actualización.</w:t>
      </w:r>
    </w:p>
    <w:bookmarkEnd w:id="121"/>
    <w:bookmarkStart w:id="122" w:name="Xc4c5e47252ec9282a3f09a2ac20eb324c30e392"/>
    <w:p>
      <w:pPr>
        <w:pStyle w:val="Heading2"/>
      </w:pPr>
      <w:r>
        <w:t xml:space="preserve">Historial — cambios metodológicos documentados</w:t>
      </w:r>
    </w:p>
    <w:p>
      <w:pPr>
        <w:pStyle w:val="FirstParagraph"/>
      </w:pPr>
      <w:r>
        <w:rPr>
          <w:b/>
          <w:bCs/>
        </w:rPr>
        <w:t xml:space="preserve">2026-07-03</w:t>
      </w:r>
      <w:r>
        <w:t xml:space="preserve"> </w:t>
      </w:r>
      <w:r>
        <w:t xml:space="preserve">— Entra al ITCIS con rebase invertido base-100.</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22"/>
    <w:bookmarkEnd w:id="123"/>
    <w:bookmarkStart w:id="133" w:name="empleo-registrado-privado"/>
    <w:p>
      <w:pPr>
        <w:pStyle w:val="Heading1"/>
      </w:pPr>
      <w:r>
        <w:t xml:space="preserve">Empleo registrado privado</w:t>
      </w:r>
    </w:p>
    <w:p>
      <w:pPr>
        <w:pStyle w:val="FirstParagraph"/>
      </w:pPr>
      <w:r>
        <w:t xml:space="preserve">Cuántos asalariados del sector privado están registrados ante la seguridad social. Es el dato que las empresas declaran mes a mes, no una estimación de encuesta.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6.106,53 miles de puestos</w:t>
            </w:r>
            <w:r>
              <w:t xml:space="preserve"> </w:t>
            </w:r>
            <w:r>
              <w:t xml:space="preserve">(2026-05)</w:t>
            </w:r>
          </w:p>
        </w:tc>
        <w:tc>
          <w:tcPr/>
          <w:p>
            <w:pPr>
              <w:pStyle w:val="Compact"/>
            </w:pPr>
            <w:r>
              <w:rPr>
                <w:b/>
                <w:bCs/>
              </w:rPr>
              <w:t xml:space="preserve">AMARILLO</w:t>
            </w:r>
          </w:p>
        </w:tc>
        <w:tc>
          <w:tcPr/>
          <w:p>
            <w:pPr>
              <w:pStyle w:val="Compact"/>
            </w:pPr>
            <w:r>
              <w:t xml:space="preserve">Peso efectivo 5,4 % del ITCIS</w:t>
            </w:r>
          </w:p>
        </w:tc>
        <w:tc>
          <w:tcPr/>
          <w:p>
            <w:pPr>
              <w:pStyle w:val="Compact"/>
            </w:pPr>
            <w:r>
              <w:t xml:space="preserve">Cinturón Impacto social</w:t>
            </w:r>
          </w:p>
        </w:tc>
      </w:tr>
    </w:tbl>
    <w:bookmarkStart w:id="124" w:name="identificación-10"/>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empleo_registrado</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Prospectivas de empleo</w:t>
            </w:r>
          </w:p>
        </w:tc>
        <w:tc>
          <w:tcPr/>
          <w:p>
            <w:pPr>
              <w:pStyle w:val="Compact"/>
            </w:pPr>
            <w:r>
              <w:rPr>
                <w:b/>
                <w:bCs/>
              </w:rPr>
              <w:t xml:space="preserve">UNIDAD DE MEDIDA</w:t>
            </w:r>
          </w:p>
        </w:tc>
        <w:tc>
          <w:tcPr/>
          <w:p>
            <w:pPr>
              <w:pStyle w:val="Compact"/>
            </w:pPr>
            <w:r>
              <w:t xml:space="preserve">miles de puestos</w:t>
            </w:r>
          </w:p>
        </w:tc>
      </w:tr>
      <w:tr>
        <w:tc>
          <w:tcPr/>
          <w:p>
            <w:pPr>
              <w:pStyle w:val="Compact"/>
            </w:pPr>
            <w:r>
              <w:rPr>
                <w:b/>
                <w:bCs/>
              </w:rPr>
              <w:t xml:space="preserve">SERIE DISPONIBLE</w:t>
            </w:r>
          </w:p>
        </w:tc>
        <w:tc>
          <w:tcPr/>
          <w:p>
            <w:pPr>
              <w:pStyle w:val="Compact"/>
            </w:pPr>
            <w:r>
              <w:t xml:space="preserve">2023-10 → 2026-05 (32 puntos)</w:t>
            </w:r>
          </w:p>
        </w:tc>
        <w:tc>
          <w:tcPr/>
          <w:p>
            <w:pPr>
              <w:pStyle w:val="Compact"/>
            </w:pPr>
            <w:r>
              <w:rPr>
                <w:b/>
                <w:bCs/>
              </w:rPr>
              <w:t xml:space="preserve">REZAGO DE PUBLICACIÓN</w:t>
            </w:r>
          </w:p>
        </w:tc>
        <w:tc>
          <w:tcPr/>
          <w:p>
            <w:pPr>
              <w:pStyle w:val="Compact"/>
            </w:pPr>
            <w:r>
              <w:t xml:space="preserve">Los datos del Sistema Integrado Previsional se publican con alrededor de tres meses de rezago: son declaraciones de las empresas que se consolidan y se revisan.</w:t>
            </w:r>
          </w:p>
        </w:tc>
      </w:tr>
      <w:tr>
        <w:tc>
          <w:tcPr/>
          <w:p>
            <w:pPr>
              <w:pStyle w:val="Compact"/>
            </w:pPr>
            <w:r>
              <w:rPr>
                <w:b/>
                <w:bCs/>
              </w:rPr>
              <w:t xml:space="preserve">PRODUCTOR DEL DATO</w:t>
            </w:r>
          </w:p>
        </w:tc>
        <w:tc>
          <w:tcPr/>
          <w:p>
            <w:pPr>
              <w:pStyle w:val="Compact"/>
            </w:pPr>
            <w:r>
              <w:t xml:space="preserve">Ministerio de Capital Humano — Sistema Integrado Previsional Argentino (SIPA)</w:t>
            </w:r>
          </w:p>
        </w:tc>
        <w:tc>
          <w:tcPr/>
          <w:p>
            <w:pPr>
              <w:pStyle w:val="Compact"/>
            </w:pPr>
            <w:r>
              <w:rPr>
                <w:b/>
                <w:bCs/>
              </w:rPr>
              <w:t xml:space="preserve">OPERACIÓN ESTADÍSTICA</w:t>
            </w:r>
          </w:p>
        </w:tc>
        <w:tc>
          <w:tcPr/>
          <w:p>
            <w:pPr>
              <w:pStyle w:val="Compact"/>
            </w:pPr>
            <w:r>
              <w:t xml:space="preserve">Trabajadores registrados según modalidad ocupacional principal — asalariados del sector privado, en miles de personas</w:t>
            </w:r>
          </w:p>
        </w:tc>
      </w:tr>
      <w:tr>
        <w:tc>
          <w:tcPr/>
          <w:p>
            <w:pPr>
              <w:pStyle w:val="Compact"/>
            </w:pPr>
            <w:r>
              <w:rPr>
                <w:b/>
                <w:bCs/>
              </w:rPr>
              <w:t xml:space="preserve">MODO DE ACCESO</w:t>
            </w:r>
          </w:p>
        </w:tc>
        <w:tc>
          <w:tcPr/>
          <w:p>
            <w:pPr>
              <w:pStyle w:val="Compact"/>
            </w:pPr>
            <w:r>
              <w:t xml:space="preserve">Automático: API pública de series de tiempo.</w:t>
            </w:r>
          </w:p>
        </w:tc>
        <w:tc>
          <w:tcPr/>
          <w:p>
            <w:pPr>
              <w:pStyle w:val="Compact"/>
            </w:pPr>
            <w:r>
              <w:rPr>
                <w:b/>
                <w:bCs/>
              </w:rPr>
              <w:t xml:space="preserve">ÚLTIMA ACTUALIZACIÓN</w:t>
            </w:r>
          </w:p>
        </w:tc>
        <w:tc>
          <w:tcPr/>
          <w:p>
            <w:pPr>
              <w:pStyle w:val="Compact"/>
            </w:pPr>
            <w:r>
              <w:t xml:space="preserve">Dato a 2026-05 · informe generado el 2026-08-21</w:t>
            </w:r>
          </w:p>
        </w:tc>
      </w:tr>
    </w:tbl>
    <w:bookmarkEnd w:id="124"/>
    <w:bookmarkStart w:id="125" w:name="definición-qué-mide-y-por-qué-importa-10"/>
    <w:p>
      <w:pPr>
        <w:pStyle w:val="Heading2"/>
      </w:pPr>
      <w:r>
        <w:t xml:space="preserve">Definición — qué mide y por qué importa</w:t>
      </w:r>
    </w:p>
    <w:p>
      <w:pPr>
        <w:pStyle w:val="FirstParagraph"/>
      </w:pPr>
      <w:r>
        <w:t xml:space="preserve">Cuántos asalariados del sector privado están registrados ante la seguridad social. Es el dato que las empresas declaran mes a mes, no una estimación de encuesta.</w:t>
      </w:r>
    </w:p>
    <w:p>
      <w:pPr>
        <w:pStyle w:val="BodyText"/>
      </w:pPr>
      <w:r>
        <w:t xml:space="preserve">Es la única medida directa de empleo del cinturón. Los otros componentes de la dimensión describen actividad —producción industrial, construcción— o anticipan giros, pero ninguno cuenta puestos de trabajo. Desde diciembre de 2023 el sector privado registrado perdió alrededor de doscientos cincuenta mil puestos, y la caída interanual no se interrumpió en ningún mes desde agosto de 2025.</w:t>
      </w:r>
    </w:p>
    <w:p>
      <w:pPr>
        <w:pStyle w:val="BodyText"/>
      </w:pPr>
      <w:r>
        <w:rPr>
          <w:b/>
          <w:bCs/>
        </w:rPr>
        <w:t xml:space="preserve">Dimensión que integra — Prospectivas de empleo.</w:t>
      </w:r>
      <w:r>
        <w:t xml:space="preserve"> </w:t>
      </w:r>
      <w:r>
        <w:t xml:space="preserve">El trabajo por sus dos caras: cuánto hay y de qué calidad es. La informalidad y el empleo registrado del sector privado miden lo segundo y lo primero; las completan cuatro señales del entorno que demanda ese empleo: el cierre neto de empleadores PyME, la construcción (cemento, el sector más intensivo en mano de obra), el pluriempleo y el peso del trabajo independiente sobre el empleo registrado.</w:t>
      </w:r>
    </w:p>
    <w:bookmarkEnd w:id="125"/>
    <w:bookmarkStart w:id="126" w:name="método-de-cómputo-10"/>
    <w:p>
      <w:pPr>
        <w:pStyle w:val="Heading2"/>
      </w:pPr>
      <w:r>
        <w:t xml:space="preserve">Método de cómputo</w:t>
      </w:r>
    </w:p>
    <w:p>
      <w:pPr>
        <w:pStyle w:val="Compact"/>
        <w:numPr>
          <w:ilvl w:val="0"/>
          <w:numId w:val="1041"/>
        </w:numPr>
      </w:pPr>
      <w:r>
        <w:t xml:space="preserve">La card publica el nivel en miles de puestos; el índice del cinturón lo expresa en base 100 contra el promedio del último trimestre de 2023, la misma línea de base que el resto de los componentes.</w:t>
      </w:r>
    </w:p>
    <w:p>
      <w:pPr>
        <w:pStyle w:val="Compact"/>
        <w:numPr>
          <w:ilvl w:val="0"/>
          <w:numId w:val="1041"/>
        </w:numPr>
      </w:pPr>
      <w:r>
        <w:t xml:space="preserve">Se usa la serie con estacionalidad, no la desestacionalizada, porque la comparación es contra una base fija de tres meses y no contra el mes anterior: la estacionalidad de la base y la del mes corriente se compensan.</w:t>
      </w:r>
    </w:p>
    <w:p>
      <w:pPr>
        <w:pStyle w:val="Compact"/>
        <w:numPr>
          <w:ilvl w:val="0"/>
          <w:numId w:val="1041"/>
        </w:numPr>
      </w:pPr>
      <w:r>
        <w:t xml:space="preserve">No se invierte: más empleo registrado es mejor, de modo que el índice sube cuando la situación mejora.</w:t>
      </w:r>
    </w:p>
    <w:bookmarkEnd w:id="126"/>
    <w:bookmarkStart w:id="127" w:name="Xfb29aba7f4cabebf712c4a7a435b3b78f3aa559"/>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95,7</w:t>
      </w:r>
      <w:r>
        <w:t xml:space="preserve">.</w:t>
      </w:r>
    </w:p>
    <w:bookmarkEnd w:id="127"/>
    <w:bookmarkStart w:id="128" w:name="datos-concretos-detrás-del-valor-10"/>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42"/>
        </w:numPr>
      </w:pPr>
      <w:r>
        <w:t xml:space="preserve">El informe publica el valor (6.106,53 miles de puestos) pero no los números que lo componen: la fuente entrega la serie ya calculada. Para auditar el dato hay que ir a la operación estadística citada más arriba.</w:t>
      </w:r>
    </w:p>
    <w:bookmarkEnd w:id="128"/>
    <w:bookmarkStart w:id="129" w:name="color-vigente-y-por-qué-10"/>
    <w:p>
      <w:pPr>
        <w:pStyle w:val="Heading2"/>
      </w:pPr>
      <w:r>
        <w:t xml:space="preserve">Color vigente y por qué</w:t>
      </w:r>
    </w:p>
    <w:p>
      <w:pPr>
        <w:pStyle w:val="FirstParagraph"/>
      </w:pPr>
      <w:r>
        <w:t xml:space="preserve">Dato vigente: 6.106,53 miles de puestos (2026-05).</w:t>
      </w:r>
    </w:p>
    <w:p>
      <w:pPr>
        <w:pStyle w:val="BodyText"/>
      </w:pPr>
      <w:r>
        <w:t xml:space="preserve">El componente está en 95,7 sobre la base 100 del 4º trimestre de 2023 — de 95 a 105 —, que es el tramo AMARILLO.</w:t>
      </w:r>
    </w:p>
    <w:p>
      <w:pPr>
        <w:pStyle w:val="BodyText"/>
      </w:pPr>
      <w:r>
        <w:rPr>
          <w:b/>
          <w:bCs/>
        </w:rPr>
        <w:t xml:space="preserve">Color vigente: AMARILLO</w:t>
      </w:r>
    </w:p>
    <w:p>
      <w:pPr>
        <w:pStyle w:val="BodyText"/>
      </w:pPr>
      <w:r>
        <w:t xml:space="preserve">Ponderación vigente en el ITCIS: 5,4 % efectivo. El color es una lectura adicional — no reemplaza ni cambia esta ponderación.</w:t>
      </w:r>
    </w:p>
    <w:bookmarkEnd w:id="129"/>
    <w:bookmarkStart w:id="130" w:name="transparencia-limitaciones-declaradas-10"/>
    <w:p>
      <w:pPr>
        <w:pStyle w:val="Heading2"/>
      </w:pPr>
      <w:r>
        <w:t xml:space="preserve">Transparencia — limitaciones declaradas</w:t>
      </w:r>
    </w:p>
    <w:p>
      <w:pPr>
        <w:pStyle w:val="Compact"/>
        <w:numPr>
          <w:ilvl w:val="0"/>
          <w:numId w:val="1043"/>
        </w:numPr>
      </w:pPr>
      <w:r>
        <w:t xml:space="preserve">Cuenta puestos registrados, no personas ocupadas. Un trabajador con dos empleos registrados cuenta dos veces, y todo el empleo no registrado —alrededor de un tercio del total en la Argentina— queda afuera por definición.</w:t>
      </w:r>
    </w:p>
    <w:p>
      <w:pPr>
        <w:pStyle w:val="Compact"/>
        <w:numPr>
          <w:ilvl w:val="0"/>
          <w:numId w:val="1043"/>
        </w:numPr>
      </w:pPr>
      <w:r>
        <w:t xml:space="preserve">Sólo mira al sector privado. El empleo público se publica por separado y no entra: la dimensión describe las condiciones del mercado de trabajo que enfrenta un hogar, y el tamaño del Estado ya se mide en el cinturón de gestión. Sumarlo acá haría que una reducción de la planta estatal empeorara este cinturón al mismo tiempo que mejora el otro, con el mismo dato.</w:t>
      </w:r>
    </w:p>
    <w:p>
      <w:pPr>
        <w:pStyle w:val="Compact"/>
        <w:numPr>
          <w:ilvl w:val="0"/>
          <w:numId w:val="1043"/>
        </w:numPr>
      </w:pPr>
      <w:r>
        <w:t xml:space="preserve">Las declaraciones se revisan hacia atrás durante varios meses, de modo que los últimos puntos de la serie pueden moverse.</w:t>
      </w:r>
    </w:p>
    <w:p>
      <w:pPr>
        <w:pStyle w:val="Compact"/>
        <w:numPr>
          <w:ilvl w:val="0"/>
          <w:numId w:val="1043"/>
        </w:numPr>
      </w:pPr>
      <w:r>
        <w:t xml:space="preserve">Un puesto registrado no dice nada sobre el salario que paga: el indicador no captura si el empleo que queda está mejor o peor remunerado que el que se perdió.</w:t>
      </w:r>
    </w:p>
    <w:bookmarkEnd w:id="130"/>
    <w:bookmarkStart w:id="131" w:name="Xf65b40f3e12a517bfafe6b61886253a31c0106d"/>
    <w:p>
      <w:pPr>
        <w:pStyle w:val="Heading2"/>
      </w:pPr>
      <w:r>
        <w:t xml:space="preserve">Si falta el dato / Política de revisiones</w:t>
      </w:r>
    </w:p>
    <w:p>
      <w:pPr>
        <w:numPr>
          <w:ilvl w:val="0"/>
          <w:numId w:val="1044"/>
        </w:numPr>
      </w:pPr>
      <w:r>
        <w:rPr>
          <w:b/>
          <w:bCs/>
        </w:rPr>
        <w:t xml:space="preserve">Si falta el dato:</w:t>
      </w:r>
      <w:r>
        <w:t xml:space="preserve"> </w:t>
      </w:r>
      <w:r>
        <w:t xml:space="preserve">Si falta el dato, se mantiene el último valor disponible, señalado como desactualizado; sin ningún valor previo, el peso se redistribuye entre los otros tres componentes de la dimensión.</w:t>
      </w:r>
    </w:p>
    <w:p>
      <w:pPr>
        <w:numPr>
          <w:ilvl w:val="0"/>
          <w:numId w:val="1044"/>
        </w:numPr>
      </w:pPr>
      <w:r>
        <w:rPr>
          <w:b/>
          <w:bCs/>
        </w:rPr>
        <w:t xml:space="preserve">Política de revisiones:</w:t>
      </w:r>
      <w:r>
        <w:t xml:space="preserve"> </w:t>
      </w:r>
      <w:r>
        <w:t xml:space="preserve">La fuente revisa sus series al consolidar declaraciones; el informe regenera la serie completa en cada actualización.</w:t>
      </w:r>
    </w:p>
    <w:bookmarkEnd w:id="131"/>
    <w:bookmarkStart w:id="132" w:name="Xc507494f83e44c325b7cca217ae571956777eab"/>
    <w:p>
      <w:pPr>
        <w:pStyle w:val="Heading2"/>
      </w:pPr>
      <w:r>
        <w:t xml:space="preserve">Historial — cambios metodológicos documentados</w:t>
      </w:r>
    </w:p>
    <w:p>
      <w:pPr>
        <w:pStyle w:val="FirstParagraph"/>
      </w:pPr>
      <w:r>
        <w:rPr>
          <w:b/>
          <w:bCs/>
        </w:rPr>
        <w:t xml:space="preserve">2026-07-25</w:t>
      </w:r>
      <w:r>
        <w:t xml:space="preserve"> </w:t>
      </w:r>
      <w:r>
        <w:t xml:space="preserve">— Entra al índice como componente principal de la dimensión de empleo, con el treinta y cinco por ciento. Hasta entonces la dimensión se llamaba así pero ninguno de sus cuatro componentes medía empleo: eran indicadores de producción, de construcción, de pluriempleo y un índice líder.</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32"/>
    <w:bookmarkEnd w:id="133"/>
    <w:bookmarkStart w:id="143" w:name="victimización-ivi"/>
    <w:p>
      <w:pPr>
        <w:pStyle w:val="Heading1"/>
      </w:pPr>
      <w:r>
        <w:t xml:space="preserve">Victimización (IVI)</w:t>
      </w:r>
    </w:p>
    <w:p>
      <w:pPr>
        <w:pStyle w:val="FirstParagraph"/>
      </w:pPr>
      <w:r>
        <w:t xml:space="preserve">Qué porcentaje de los hogares sufrió al menos un delito en los últimos 12 meses, según la encuesta mensual de victimización del LICIP (Universidad Di Tella) en 40 centros urbanos.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28 % de hogares víctimas (últimos 12 meses)</w:t>
            </w:r>
            <w:r>
              <w:t xml:space="preserve"> </w:t>
            </w:r>
            <w:r>
              <w:t xml:space="preserve">(2026-04)</w:t>
            </w:r>
          </w:p>
        </w:tc>
        <w:tc>
          <w:tcPr/>
          <w:p>
            <w:pPr>
              <w:pStyle w:val="Compact"/>
            </w:pPr>
            <w:r>
              <w:rPr>
                <w:b/>
                <w:bCs/>
              </w:rPr>
              <w:t xml:space="preserve">AMARILLO</w:t>
            </w:r>
          </w:p>
        </w:tc>
        <w:tc>
          <w:tcPr/>
          <w:p>
            <w:pPr>
              <w:pStyle w:val="Compact"/>
            </w:pPr>
            <w:r>
              <w:t xml:space="preserve">Peso efectivo 4,5 % del ITCIS</w:t>
            </w:r>
          </w:p>
        </w:tc>
        <w:tc>
          <w:tcPr/>
          <w:p>
            <w:pPr>
              <w:pStyle w:val="Compact"/>
            </w:pPr>
            <w:r>
              <w:t xml:space="preserve">Cinturón Impacto social</w:t>
            </w:r>
          </w:p>
        </w:tc>
      </w:tr>
    </w:tbl>
    <w:bookmarkStart w:id="134" w:name="identificación-11"/>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inseguridad</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Seguridad</w:t>
            </w:r>
          </w:p>
        </w:tc>
        <w:tc>
          <w:tcPr/>
          <w:p>
            <w:pPr>
              <w:pStyle w:val="Compact"/>
            </w:pPr>
            <w:r>
              <w:rPr>
                <w:b/>
                <w:bCs/>
              </w:rPr>
              <w:t xml:space="preserve">UNIDAD DE MEDIDA</w:t>
            </w:r>
          </w:p>
        </w:tc>
        <w:tc>
          <w:tcPr/>
          <w:p>
            <w:pPr>
              <w:pStyle w:val="Compact"/>
            </w:pPr>
            <w:r>
              <w:t xml:space="preserve">% de hogares víctimas (últimos 12 meses)</w:t>
            </w:r>
          </w:p>
        </w:tc>
      </w:tr>
      <w:tr>
        <w:tc>
          <w:tcPr/>
          <w:p>
            <w:pPr>
              <w:pStyle w:val="Compact"/>
            </w:pPr>
            <w:r>
              <w:rPr>
                <w:b/>
                <w:bCs/>
              </w:rPr>
              <w:t xml:space="preserve">SERIE DISPONIBLE</w:t>
            </w:r>
          </w:p>
        </w:tc>
        <w:tc>
          <w:tcPr/>
          <w:p>
            <w:pPr>
              <w:pStyle w:val="Compact"/>
            </w:pPr>
            <w:r>
              <w:t xml:space="preserve">2020-01 → 2026-04 (31 puntos)</w:t>
            </w:r>
          </w:p>
        </w:tc>
        <w:tc>
          <w:tcPr/>
          <w:p>
            <w:pPr>
              <w:pStyle w:val="Compact"/>
            </w:pPr>
            <w:r>
              <w:rPr>
                <w:b/>
                <w:bCs/>
              </w:rPr>
              <w:t xml:space="preserve">REZAGO DE PUBLICACIÓN</w:t>
            </w:r>
          </w:p>
        </w:tc>
        <w:tc>
          <w:tcPr/>
          <w:p>
            <w:pPr>
              <w:pStyle w:val="Compact"/>
            </w:pPr>
            <w:r>
              <w:t xml:space="preserve">La encuesta de victimización se publica con uno a dos meses de rezago.</w:t>
            </w:r>
          </w:p>
        </w:tc>
      </w:tr>
      <w:tr>
        <w:tc>
          <w:tcPr/>
          <w:p>
            <w:pPr>
              <w:pStyle w:val="Compact"/>
            </w:pPr>
            <w:r>
              <w:rPr>
                <w:b/>
                <w:bCs/>
              </w:rPr>
              <w:t xml:space="preserve">PRODUCTOR DEL DATO</w:t>
            </w:r>
          </w:p>
        </w:tc>
        <w:tc>
          <w:tcPr/>
          <w:p>
            <w:pPr>
              <w:pStyle w:val="Compact"/>
            </w:pPr>
            <w:r>
              <w:t xml:space="preserve">Universidad Torcuato Di Tella — LICIP (métrica) + Ministerio de Seguridad — SNIC (contraste)</w:t>
            </w:r>
          </w:p>
        </w:tc>
        <w:tc>
          <w:tcPr/>
          <w:p>
            <w:pPr>
              <w:pStyle w:val="Compact"/>
            </w:pPr>
            <w:r>
              <w:rPr>
                <w:b/>
                <w:bCs/>
              </w:rPr>
              <w:t xml:space="preserve">OPERACIÓN ESTADÍSTICA</w:t>
            </w:r>
          </w:p>
        </w:tc>
        <w:tc>
          <w:tcPr/>
          <w:p>
            <w:pPr>
              <w:pStyle w:val="Compact"/>
            </w:pPr>
            <w:r>
              <w:t xml:space="preserve">IVI — Índice de Victimización: porcentaje de hogares de 40 centros urbanos que sufrieron al menos un delito en los últimos 12 meses, denunciado o no</w:t>
            </w:r>
          </w:p>
        </w:tc>
      </w:tr>
      <w:tr>
        <w:tc>
          <w:tcPr/>
          <w:p>
            <w:pPr>
              <w:pStyle w:val="Compact"/>
            </w:pPr>
            <w:r>
              <w:rPr>
                <w:b/>
                <w:bCs/>
              </w:rPr>
              <w:t xml:space="preserve">MODO DE ACCESO</w:t>
            </w:r>
          </w:p>
        </w:tc>
        <w:tc>
          <w:tcPr/>
          <w:p>
            <w:pPr>
              <w:pStyle w:val="Compact"/>
            </w:pPr>
            <w:r>
              <w:t xml:space="preserve">Automático: los informes mensuales se descubren desde el listado de la universidad y cada uno se procesa una sola vez; el registro oficial de delitos (SNIC) se publica como serie de contraste.</w:t>
            </w:r>
          </w:p>
        </w:tc>
        <w:tc>
          <w:tcPr/>
          <w:p>
            <w:pPr>
              <w:pStyle w:val="Compact"/>
            </w:pPr>
            <w:r>
              <w:rPr>
                <w:b/>
                <w:bCs/>
              </w:rPr>
              <w:t xml:space="preserve">ÚLTIMA ACTUALIZACIÓN</w:t>
            </w:r>
          </w:p>
        </w:tc>
        <w:tc>
          <w:tcPr/>
          <w:p>
            <w:pPr>
              <w:pStyle w:val="Compact"/>
            </w:pPr>
            <w:r>
              <w:t xml:space="preserve">Dato a 2026-04 · informe generado el 2026-08-21</w:t>
            </w:r>
          </w:p>
        </w:tc>
      </w:tr>
    </w:tbl>
    <w:bookmarkEnd w:id="134"/>
    <w:bookmarkStart w:id="135" w:name="definición-qué-mide-y-por-qué-importa-11"/>
    <w:p>
      <w:pPr>
        <w:pStyle w:val="Heading2"/>
      </w:pPr>
      <w:r>
        <w:t xml:space="preserve">Definición — qué mide y por qué importa</w:t>
      </w:r>
    </w:p>
    <w:p>
      <w:pPr>
        <w:pStyle w:val="FirstParagraph"/>
      </w:pPr>
      <w:r>
        <w:t xml:space="preserve">Qué porcentaje de los hogares sufrió al menos un delito en los últimos 12 meses, según la encuesta mensual de victimización del LICIP (Universidad Di Tella) en 40 centros urbanos.</w:t>
      </w:r>
    </w:p>
    <w:p>
      <w:pPr>
        <w:pStyle w:val="BodyText"/>
      </w:pPr>
      <w:r>
        <w:t xml:space="preserve">Mide una de las principales preocupaciones cotidianas midiendo lo que la gente efectivamente sufre — incluidos los delitos que nunca se denuncian. Las denuncias registradas (SNIC, anual) quedan como contraste en el detalle: cuando ambas fuentes divergen, la divergencia es información.</w:t>
      </w:r>
    </w:p>
    <w:p>
      <w:pPr>
        <w:pStyle w:val="BodyText"/>
      </w:pPr>
      <w:r>
        <w:rPr>
          <w:b/>
          <w:bCs/>
        </w:rPr>
        <w:t xml:space="preserve">Dimensión que integra — Seguridad.</w:t>
      </w:r>
      <w:r>
        <w:t xml:space="preserve"> </w:t>
      </w:r>
      <w:r>
        <w:t xml:space="preserve">Qué proporción de los hogares fue víctima de un delito. No es percepción ni sensación: es el hecho, relevado por encuesta.</w:t>
      </w:r>
    </w:p>
    <w:bookmarkEnd w:id="135"/>
    <w:bookmarkStart w:id="136" w:name="método-de-cómputo-11"/>
    <w:p>
      <w:pPr>
        <w:pStyle w:val="Heading2"/>
      </w:pPr>
      <w:r>
        <w:t xml:space="preserve">Método de cómputo</w:t>
      </w:r>
    </w:p>
    <w:p>
      <w:pPr>
        <w:pStyle w:val="Compact"/>
        <w:numPr>
          <w:ilvl w:val="0"/>
          <w:numId w:val="1045"/>
        </w:numPr>
      </w:pPr>
      <w:r>
        <w:t xml:space="preserve">Componente del índice: el porcentaje de hogares víctimas, rebaseado de forma invertida (menos victimización = mejora) con base declarada en enero de 2024 — no existe medición del 4º trimestre de 2023.</w:t>
      </w:r>
    </w:p>
    <w:p>
      <w:pPr>
        <w:pStyle w:val="Compact"/>
        <w:numPr>
          <w:ilvl w:val="0"/>
          <w:numId w:val="1045"/>
        </w:numPr>
      </w:pPr>
      <w:r>
        <w:t xml:space="preserve">La ventana de 12 meses de la pregunta desestacionaliza por construcción.</w:t>
      </w:r>
    </w:p>
    <w:bookmarkEnd w:id="136"/>
    <w:bookmarkStart w:id="137" w:name="X4b7f9d42ad5d49ec575647c9c43b05a66f437ec"/>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102,1</w:t>
      </w:r>
      <w:r>
        <w:t xml:space="preserve">.</w:t>
      </w:r>
    </w:p>
    <w:bookmarkEnd w:id="137"/>
    <w:bookmarkStart w:id="138" w:name="datos-concretos-detrás-del-valor-11"/>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46"/>
        </w:numPr>
      </w:pPr>
      <w:r>
        <w:t xml:space="preserve">Encuesta mensual de victimización en 40 centros urbanos: incluye los delitos NO denunciados (la cifra negra) — contraste SNIC (denuncias registradas, año 2025): 2.418.600 hechos</w:t>
      </w:r>
    </w:p>
    <w:bookmarkEnd w:id="138"/>
    <w:bookmarkStart w:id="139" w:name="color-vigente-y-por-qué-11"/>
    <w:p>
      <w:pPr>
        <w:pStyle w:val="Heading2"/>
      </w:pPr>
      <w:r>
        <w:t xml:space="preserve">Color vigente y por qué</w:t>
      </w:r>
    </w:p>
    <w:p>
      <w:pPr>
        <w:pStyle w:val="FirstParagraph"/>
      </w:pPr>
      <w:r>
        <w:t xml:space="preserve">Dato vigente: 28 % de hogares víctimas (últimos 12 meses) (2026-04).</w:t>
      </w:r>
    </w:p>
    <w:p>
      <w:pPr>
        <w:pStyle w:val="BodyText"/>
      </w:pPr>
      <w:r>
        <w:t xml:space="preserve">El componente está en 102,1 sobre la base 100 del 4º trimestre de 2023 — de 95 a 105 —, que es el tramo AMARILLO.</w:t>
      </w:r>
    </w:p>
    <w:p>
      <w:pPr>
        <w:pStyle w:val="BodyText"/>
      </w:pPr>
      <w:r>
        <w:rPr>
          <w:b/>
          <w:bCs/>
        </w:rPr>
        <w:t xml:space="preserve">Color vigente: AMARILLO</w:t>
      </w:r>
    </w:p>
    <w:p>
      <w:pPr>
        <w:pStyle w:val="BodyText"/>
      </w:pPr>
      <w:r>
        <w:t xml:space="preserve">Ponderación vigente en el ITCIS: 4,5 % efectivo. El color es una lectura adicional — no reemplaza ni cambia esta ponderación.</w:t>
      </w:r>
    </w:p>
    <w:bookmarkEnd w:id="139"/>
    <w:bookmarkStart w:id="140" w:name="transparencia-limitaciones-declaradas-11"/>
    <w:p>
      <w:pPr>
        <w:pStyle w:val="Heading2"/>
      </w:pPr>
      <w:r>
        <w:t xml:space="preserve">Transparencia — limitaciones declaradas</w:t>
      </w:r>
    </w:p>
    <w:p>
      <w:pPr>
        <w:pStyle w:val="Compact"/>
        <w:numPr>
          <w:ilvl w:val="0"/>
          <w:numId w:val="1047"/>
        </w:numPr>
      </w:pPr>
      <w:r>
        <w:t xml:space="preserve">La encuesta estuvo suspendida entre 2020 y 2023: la base de enero de 2024 es una aproximación declarada del arranque (su ventana de 12 meses cubre mayormente el año previo).</w:t>
      </w:r>
    </w:p>
    <w:p>
      <w:pPr>
        <w:pStyle w:val="Compact"/>
        <w:numPr>
          <w:ilvl w:val="0"/>
          <w:numId w:val="1047"/>
        </w:numPr>
      </w:pPr>
      <w:r>
        <w:t xml:space="preserve">Error muestral de ±3 puntos por mes (~1.000 hogares) y cobertura solo urbana.</w:t>
      </w:r>
    </w:p>
    <w:p>
      <w:pPr>
        <w:pStyle w:val="Compact"/>
        <w:numPr>
          <w:ilvl w:val="0"/>
          <w:numId w:val="1047"/>
        </w:numPr>
      </w:pPr>
      <w:r>
        <w:t xml:space="preserve">La divergencia con el registro de denuncias se publica como información: denuncias bajando con victimización subiendo indica que crece el delito no denunciado.</w:t>
      </w:r>
    </w:p>
    <w:bookmarkEnd w:id="140"/>
    <w:bookmarkStart w:id="141" w:name="X4ff462a9d09394c6f7304e0055101f0f4b71003"/>
    <w:p>
      <w:pPr>
        <w:pStyle w:val="Heading2"/>
      </w:pPr>
      <w:r>
        <w:t xml:space="preserve">Si falta el dato / Política de revisiones</w:t>
      </w:r>
    </w:p>
    <w:p>
      <w:pPr>
        <w:numPr>
          <w:ilvl w:val="0"/>
          <w:numId w:val="1048"/>
        </w:numPr>
      </w:pPr>
      <w:r>
        <w:rPr>
          <w:b/>
          <w:bCs/>
        </w:rPr>
        <w:t xml:space="preserve">Si falta el dato:</w:t>
      </w:r>
      <w:r>
        <w:t xml:space="preserve"> </w:t>
      </w:r>
      <w:r>
        <w:t xml:space="preserve">Se mantiene el último valor publicado como desactualizado; sin componente, renormalización dentro de la dimensión.</w:t>
      </w:r>
    </w:p>
    <w:p>
      <w:pPr>
        <w:numPr>
          <w:ilvl w:val="0"/>
          <w:numId w:val="1048"/>
        </w:numPr>
      </w:pPr>
      <w:r>
        <w:rPr>
          <w:b/>
          <w:bCs/>
        </w:rPr>
        <w:t xml:space="preserve">Política de revisiones:</w:t>
      </w:r>
      <w:r>
        <w:t xml:space="preserve"> </w:t>
      </w:r>
      <w:r>
        <w:t xml:space="preserve">Los informes procesados no se releen; el registro oficial de contraste se revisa hacia atrás y su serie se refresca completa.</w:t>
      </w:r>
    </w:p>
    <w:bookmarkEnd w:id="141"/>
    <w:bookmarkStart w:id="142" w:name="X32af8005611dd896c50146a828f6519660aac81"/>
    <w:p>
      <w:pPr>
        <w:pStyle w:val="Heading2"/>
      </w:pPr>
      <w:r>
        <w:t xml:space="preserve">Historial — cambios metodológicos documentados</w:t>
      </w:r>
    </w:p>
    <w:p>
      <w:pPr>
        <w:pStyle w:val="FirstParagraph"/>
      </w:pPr>
      <w:r>
        <w:rPr>
          <w:b/>
          <w:bCs/>
        </w:rPr>
        <w:t xml:space="preserve">2026-07-03</w:t>
      </w:r>
      <w:r>
        <w:t xml:space="preserve"> </w:t>
      </w:r>
      <w:r>
        <w:t xml:space="preserve">— Entra al ITCIS vía el registro anual de delitos, invertido, con base 2023.</w:t>
      </w:r>
    </w:p>
    <w:p>
      <w:pPr>
        <w:pStyle w:val="BodyText"/>
      </w:pPr>
      <w:r>
        <w:rPr>
          <w:b/>
          <w:bCs/>
        </w:rPr>
        <w:t xml:space="preserve">2026-07-04</w:t>
      </w:r>
      <w:r>
        <w:t xml:space="preserve"> </w:t>
      </w:r>
      <w:r>
        <w:t xml:space="preserve">— La métrica pasa a la encuesta mensual de victimización (con la base declarada en enero de 2024); el registro de denuncias queda como serie de contraste.</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42"/>
    <w:bookmarkEnd w:id="143"/>
    <w:bookmarkStart w:id="153" w:name="confianza-del-consumidor-icc"/>
    <w:p>
      <w:pPr>
        <w:pStyle w:val="Heading1"/>
      </w:pPr>
      <w:r>
        <w:t xml:space="preserve">Confianza del consumidor (ICC)</w:t>
      </w:r>
    </w:p>
    <w:p>
      <w:pPr>
        <w:pStyle w:val="FirstParagraph"/>
      </w:pPr>
      <w:r>
        <w:t xml:space="preserve">El optimismo de la gente sobre la economía y sus finanzas personales (Índice de Confianza del Consumidor).</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39,9 índice</w:t>
            </w:r>
            <w:r>
              <w:t xml:space="preserve"> </w:t>
            </w:r>
            <w:r>
              <w:t xml:space="preserve">(2026-08)</w:t>
            </w:r>
          </w:p>
        </w:tc>
        <w:tc>
          <w:tcPr/>
          <w:p>
            <w:pPr>
              <w:pStyle w:val="Compact"/>
            </w:pPr>
            <w:r>
              <w:rPr>
                <w:b/>
                <w:bCs/>
              </w:rPr>
              <w:t xml:space="preserve">NARANJA</w:t>
            </w:r>
          </w:p>
        </w:tc>
        <w:tc>
          <w:tcPr/>
          <w:p>
            <w:pPr>
              <w:pStyle w:val="Compact"/>
            </w:pPr>
            <w:r>
              <w:t xml:space="preserve">Peso efectivo 6,8 % del ITCIS</w:t>
            </w:r>
          </w:p>
        </w:tc>
        <w:tc>
          <w:tcPr/>
          <w:p>
            <w:pPr>
              <w:pStyle w:val="Compact"/>
            </w:pPr>
            <w:r>
              <w:t xml:space="preserve">Cinturón Impacto social</w:t>
            </w:r>
          </w:p>
        </w:tc>
      </w:tr>
    </w:tbl>
    <w:bookmarkStart w:id="144" w:name="identificación-12"/>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icc_utdt</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Confianza y percepción</w:t>
            </w:r>
          </w:p>
        </w:tc>
        <w:tc>
          <w:tcPr/>
          <w:p>
            <w:pPr>
              <w:pStyle w:val="Compact"/>
            </w:pPr>
            <w:r>
              <w:rPr>
                <w:b/>
                <w:bCs/>
              </w:rPr>
              <w:t xml:space="preserve">UNIDAD DE MEDIDA</w:t>
            </w:r>
          </w:p>
        </w:tc>
        <w:tc>
          <w:tcPr/>
          <w:p>
            <w:pPr>
              <w:pStyle w:val="Compact"/>
            </w:pPr>
            <w:r>
              <w:t xml:space="preserve">índice</w:t>
            </w:r>
          </w:p>
        </w:tc>
      </w:tr>
      <w:tr>
        <w:tc>
          <w:tcPr/>
          <w:p>
            <w:pPr>
              <w:pStyle w:val="Compact"/>
            </w:pPr>
            <w:r>
              <w:rPr>
                <w:b/>
                <w:bCs/>
              </w:rPr>
              <w:t xml:space="preserve">SERIE DISPONIBLE</w:t>
            </w:r>
          </w:p>
        </w:tc>
        <w:tc>
          <w:tcPr/>
          <w:p>
            <w:pPr>
              <w:pStyle w:val="Compact"/>
            </w:pPr>
            <w:r>
              <w:t xml:space="preserve">2021-07 → 2026-08 (60 puntos)</w:t>
            </w:r>
          </w:p>
        </w:tc>
        <w:tc>
          <w:tcPr/>
          <w:p>
            <w:pPr>
              <w:pStyle w:val="Compact"/>
            </w:pPr>
            <w:r>
              <w:rPr>
                <w:b/>
                <w:bCs/>
              </w:rPr>
              <w:t xml:space="preserve">REZAGO DE PUBLICACIÓN</w:t>
            </w:r>
          </w:p>
        </w:tc>
        <w:tc>
          <w:tcPr/>
          <w:p>
            <w:pPr>
              <w:pStyle w:val="Compact"/>
            </w:pPr>
            <w:r>
              <w:t xml:space="preserve">Semanas: la universidad publica el índice del mes durante el mes siguiente.</w:t>
            </w:r>
          </w:p>
        </w:tc>
      </w:tr>
      <w:tr>
        <w:tc>
          <w:tcPr/>
          <w:p>
            <w:pPr>
              <w:pStyle w:val="Compact"/>
            </w:pPr>
            <w:r>
              <w:rPr>
                <w:b/>
                <w:bCs/>
              </w:rPr>
              <w:t xml:space="preserve">PRODUCTOR DEL DATO</w:t>
            </w:r>
          </w:p>
        </w:tc>
        <w:tc>
          <w:tcPr/>
          <w:p>
            <w:pPr>
              <w:pStyle w:val="Compact"/>
            </w:pPr>
            <w:r>
              <w:t xml:space="preserve">Universidad Torcuato Di Tella — Centro de Investigación en Finanzas</w:t>
            </w:r>
          </w:p>
        </w:tc>
        <w:tc>
          <w:tcPr/>
          <w:p>
            <w:pPr>
              <w:pStyle w:val="Compact"/>
            </w:pPr>
            <w:r>
              <w:rPr>
                <w:b/>
                <w:bCs/>
              </w:rPr>
              <w:t xml:space="preserve">OPERACIÓN ESTADÍSTICA</w:t>
            </w:r>
          </w:p>
        </w:tc>
        <w:tc>
          <w:tcPr/>
          <w:p>
            <w:pPr>
              <w:pStyle w:val="Compact"/>
            </w:pPr>
            <w:r>
              <w:t xml:space="preserve">ICC — Índice de Confianza del Consumidor, serie histórica nacional</w:t>
            </w:r>
          </w:p>
        </w:tc>
      </w:tr>
      <w:tr>
        <w:tc>
          <w:tcPr/>
          <w:p>
            <w:pPr>
              <w:pStyle w:val="Compact"/>
            </w:pPr>
            <w:r>
              <w:rPr>
                <w:b/>
                <w:bCs/>
              </w:rPr>
              <w:t xml:space="preserve">MODO DE ACCESO</w:t>
            </w:r>
          </w:p>
        </w:tc>
        <w:tc>
          <w:tcPr/>
          <w:p>
            <w:pPr>
              <w:pStyle w:val="Compact"/>
            </w:pPr>
            <w:r>
              <w:t xml:space="preserve">Automático: se descubre la planilla más reciente desde el listado de la universidad y se lee la serie completa.</w:t>
            </w:r>
          </w:p>
        </w:tc>
        <w:tc>
          <w:tcPr/>
          <w:p>
            <w:pPr>
              <w:pStyle w:val="Compact"/>
            </w:pPr>
            <w:r>
              <w:rPr>
                <w:b/>
                <w:bCs/>
              </w:rPr>
              <w:t xml:space="preserve">ÚLTIMA ACTUALIZACIÓN</w:t>
            </w:r>
          </w:p>
        </w:tc>
        <w:tc>
          <w:tcPr/>
          <w:p>
            <w:pPr>
              <w:pStyle w:val="Compact"/>
            </w:pPr>
            <w:r>
              <w:t xml:space="preserve">Dato a 2026-08 · informe generado el 2026-08-21</w:t>
            </w:r>
          </w:p>
        </w:tc>
      </w:tr>
    </w:tbl>
    <w:bookmarkEnd w:id="144"/>
    <w:bookmarkStart w:id="145" w:name="definición-qué-mide-y-por-qué-importa-12"/>
    <w:p>
      <w:pPr>
        <w:pStyle w:val="Heading2"/>
      </w:pPr>
      <w:r>
        <w:t xml:space="preserve">Definición — qué mide y por qué importa</w:t>
      </w:r>
    </w:p>
    <w:p>
      <w:pPr>
        <w:pStyle w:val="FirstParagraph"/>
      </w:pPr>
      <w:r>
        <w:t xml:space="preserve">El optimismo de la gente sobre la economía y sus finanzas personales (Índice de Confianza del Consumidor).</w:t>
      </w:r>
    </w:p>
    <w:p>
      <w:pPr>
        <w:pStyle w:val="BodyText"/>
      </w:pPr>
      <w:r>
        <w:t xml:space="preserve">Captura el humor económico de la gente, que anticipa consumo y voto.</w:t>
      </w:r>
    </w:p>
    <w:p>
      <w:pPr>
        <w:pStyle w:val="BodyText"/>
      </w:pPr>
      <w:r>
        <w:rPr>
          <w:b/>
          <w:bCs/>
        </w:rPr>
        <w:t xml:space="preserve">Dimensión que integra — Confianza y percepción.</w:t>
      </w:r>
      <w:r>
        <w:t xml:space="preserve"> </w:t>
      </w:r>
      <w:r>
        <w:t xml:space="preserve">El ánimo con que se vive el momento, medido de dos maneras: preguntando (el Índice de Confianza del Consumidor de la UTDT) y observando qué busca la gente en internet.</w:t>
      </w:r>
    </w:p>
    <w:bookmarkEnd w:id="145"/>
    <w:bookmarkStart w:id="146" w:name="método-de-cómputo-12"/>
    <w:p>
      <w:pPr>
        <w:pStyle w:val="Heading2"/>
      </w:pPr>
      <w:r>
        <w:t xml:space="preserve">Método de cómputo</w:t>
      </w:r>
    </w:p>
    <w:p>
      <w:pPr>
        <w:pStyle w:val="Compact"/>
        <w:numPr>
          <w:ilvl w:val="0"/>
          <w:numId w:val="1049"/>
        </w:numPr>
      </w:pPr>
      <w:r>
        <w:t xml:space="preserve">Componente del índice: el ICC rebaseado a 100 = promedio del 4º trimestre de 2023 (más confianza = mejora).</w:t>
      </w:r>
    </w:p>
    <w:bookmarkEnd w:id="146"/>
    <w:bookmarkStart w:id="147" w:name="Xc4b49c3d9969b89bf56c0c7c0dc3d292940a05d"/>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91,2</w:t>
      </w:r>
      <w:r>
        <w:t xml:space="preserve">.</w:t>
      </w:r>
    </w:p>
    <w:bookmarkEnd w:id="147"/>
    <w:bookmarkStart w:id="148" w:name="datos-concretos-detrás-del-valor-12"/>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0"/>
        </w:numPr>
      </w:pPr>
      <w:r>
        <w:t xml:space="preserve">El informe publica el valor (39,9 índice) pero no los números que lo componen: la fuente entrega la serie ya calculada. Para auditar el dato hay que ir a la operación estadística citada más arriba.</w:t>
      </w:r>
    </w:p>
    <w:bookmarkEnd w:id="148"/>
    <w:bookmarkStart w:id="149" w:name="color-vigente-y-por-qué-12"/>
    <w:p>
      <w:pPr>
        <w:pStyle w:val="Heading2"/>
      </w:pPr>
      <w:r>
        <w:t xml:space="preserve">Color vigente y por qué</w:t>
      </w:r>
    </w:p>
    <w:p>
      <w:pPr>
        <w:pStyle w:val="FirstParagraph"/>
      </w:pPr>
      <w:r>
        <w:t xml:space="preserve">Dato vigente: 39,9 índice (2026-08).</w:t>
      </w:r>
    </w:p>
    <w:p>
      <w:pPr>
        <w:pStyle w:val="BodyText"/>
      </w:pPr>
      <w:r>
        <w:t xml:space="preserve">El componente está en 91,2 sobre la base 100 del 4º trimestre de 2023 — de 85 a 95 —, que es el tramo NARANJA.</w:t>
      </w:r>
    </w:p>
    <w:p>
      <w:pPr>
        <w:pStyle w:val="BodyText"/>
      </w:pPr>
      <w:r>
        <w:rPr>
          <w:b/>
          <w:bCs/>
        </w:rPr>
        <w:t xml:space="preserve">Color vigente: NARANJA</w:t>
      </w:r>
    </w:p>
    <w:p>
      <w:pPr>
        <w:pStyle w:val="BodyText"/>
      </w:pPr>
      <w:r>
        <w:t xml:space="preserve">Ponderación vigente en el ITCIS: 6,8 % efectivo. El color es una lectura adicional — no reemplaza ni cambia esta ponderación.</w:t>
      </w:r>
    </w:p>
    <w:p>
      <w:pPr>
        <w:pStyle w:val="Compact"/>
        <w:numPr>
          <w:ilvl w:val="0"/>
          <w:numId w:val="1051"/>
        </w:numPr>
      </w:pPr>
      <w:r>
        <w:rPr>
          <w:b/>
          <w:bCs/>
        </w:rPr>
        <w:t xml:space="preserve">Participación en otros indicadores.</w:t>
      </w:r>
      <w:r>
        <w:t xml:space="preserve"> </w:t>
      </w:r>
      <w:r>
        <w:t xml:space="preserve">Doble función declarada: (1) componente del ITCIS; (2) ancla de la validación externa del ITCIS — para no ser circular, en ese estudio el índice se recalcula sin este componente. Hasta julio de 2026 puntuó además en el cinturón espíritu de época, que desde entonces quedó acotado a la intención migratoria; esa lectura se sigue registrando como seguimiento interno.</w:t>
      </w:r>
    </w:p>
    <w:bookmarkEnd w:id="149"/>
    <w:bookmarkStart w:id="150" w:name="transparencia-limitaciones-declaradas-12"/>
    <w:p>
      <w:pPr>
        <w:pStyle w:val="Heading2"/>
      </w:pPr>
      <w:r>
        <w:t xml:space="preserve">Transparencia — limitaciones declaradas</w:t>
      </w:r>
    </w:p>
    <w:p>
      <w:pPr>
        <w:pStyle w:val="Compact"/>
        <w:numPr>
          <w:ilvl w:val="0"/>
          <w:numId w:val="1052"/>
        </w:numPr>
      </w:pPr>
      <w:r>
        <w:t xml:space="preserve">Mide percepción y ánimo, no condiciones materiales: por diseño convive con medidas de conducta (consumo, patentamientos) en la misma dimensión.</w:t>
      </w:r>
    </w:p>
    <w:p>
      <w:pPr>
        <w:pStyle w:val="Compact"/>
        <w:numPr>
          <w:ilvl w:val="0"/>
          <w:numId w:val="1052"/>
        </w:numPr>
      </w:pPr>
      <w:r>
        <w:t xml:space="preserve">Depende del formato de publicación de la universidad: un cambio en el listado o la planilla interrumpe la lectura hasta adaptarla.</w:t>
      </w:r>
    </w:p>
    <w:bookmarkEnd w:id="150"/>
    <w:bookmarkStart w:id="151" w:name="Xef80c7ba60ac922c16c234403633099d6fa1a96"/>
    <w:p>
      <w:pPr>
        <w:pStyle w:val="Heading2"/>
      </w:pPr>
      <w:r>
        <w:t xml:space="preserve">Si falta el dato / Política de revisiones</w:t>
      </w:r>
    </w:p>
    <w:p>
      <w:pPr>
        <w:numPr>
          <w:ilvl w:val="0"/>
          <w:numId w:val="1053"/>
        </w:numPr>
      </w:pPr>
      <w:r>
        <w:rPr>
          <w:b/>
          <w:bCs/>
        </w:rPr>
        <w:t xml:space="preserve">Si falta el dato:</w:t>
      </w:r>
      <w:r>
        <w:t xml:space="preserve"> </w:t>
      </w:r>
      <w:r>
        <w:t xml:space="preserve">Se mantiene el último valor publicado como desactualizado; sin componente, renormalización dentro de la dimensión.</w:t>
      </w:r>
    </w:p>
    <w:p>
      <w:pPr>
        <w:numPr>
          <w:ilvl w:val="0"/>
          <w:numId w:val="1053"/>
        </w:numPr>
      </w:pPr>
      <w:r>
        <w:rPr>
          <w:b/>
          <w:bCs/>
        </w:rPr>
        <w:t xml:space="preserve">Política de revisiones:</w:t>
      </w:r>
      <w:r>
        <w:t xml:space="preserve"> </w:t>
      </w:r>
      <w:r>
        <w:t xml:space="preserve">La planilla oficial trae la serie completa en cada descarga y adopta las revisiones de la fuente.</w:t>
      </w:r>
    </w:p>
    <w:bookmarkEnd w:id="151"/>
    <w:bookmarkStart w:id="152" w:name="X95a58e26bcd11004daa5592872527917495b2ed"/>
    <w:p>
      <w:pPr>
        <w:pStyle w:val="Heading2"/>
      </w:pPr>
      <w:r>
        <w:t xml:space="preserve">Historial — cambios metodológicos documentados</w:t>
      </w:r>
    </w:p>
    <w:p>
      <w:pPr>
        <w:pStyle w:val="FirstParagraph"/>
      </w:pPr>
      <w:r>
        <w:rPr>
          <w:b/>
          <w:bCs/>
        </w:rPr>
        <w:t xml:space="preserve">2026-07-03</w:t>
      </w:r>
      <w:r>
        <w:t xml:space="preserve"> </w:t>
      </w:r>
      <w:r>
        <w:t xml:space="preserve">— Entra al ITCIS base-100 con 50% interno de su dimensión.</w:t>
      </w:r>
    </w:p>
    <w:p>
      <w:pPr>
        <w:pStyle w:val="BodyText"/>
      </w:pPr>
      <w:r>
        <w:rPr>
          <w:b/>
          <w:bCs/>
        </w:rPr>
        <w:t xml:space="preserve">2026-07-04</w:t>
      </w:r>
      <w:r>
        <w:t xml:space="preserve"> </w:t>
      </w:r>
      <w:r>
        <w:t xml:space="preserve">— Cede cinco puntos de peso interno al sentimiento digital, que mide lo mismo por conducta de búsqueda.</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52"/>
    <w:bookmarkEnd w:id="153"/>
    <w:bookmarkStart w:id="163" w:name="pobreza-estimación-mensual"/>
    <w:p>
      <w:pPr>
        <w:pStyle w:val="Heading1"/>
      </w:pPr>
      <w:r>
        <w:t xml:space="preserve">Pobreza (estimación mensual)</w:t>
      </w:r>
    </w:p>
    <w:p>
      <w:pPr>
        <w:pStyle w:val="FirstParagraph"/>
      </w:pPr>
      <w:r>
        <w:t xml:space="preserve">El porcentaje de personas que viven en hogares urbanos pobres, estimado para el semestre móvil que termina en el mes del dato. No es la cifra oficial del INDEC, que se publica dos veces al año: es una proyección que se actualiza todos los meses.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31,6 % de personas</w:t>
            </w:r>
            <w:r>
              <w:t xml:space="preserve"> </w:t>
            </w:r>
            <w:r>
              <w:t xml:space="preserve">(2026-06)</w:t>
            </w:r>
          </w:p>
        </w:tc>
        <w:tc>
          <w:tcPr/>
          <w:p>
            <w:pPr>
              <w:pStyle w:val="Compact"/>
            </w:pPr>
            <w:r>
              <w:rPr>
                <w:b/>
                <w:bCs/>
              </w:rPr>
              <w:t xml:space="preserve">VERDE</w:t>
            </w:r>
          </w:p>
        </w:tc>
        <w:tc>
          <w:tcPr/>
          <w:p>
            <w:pPr>
              <w:pStyle w:val="Compact"/>
            </w:pPr>
            <w:r>
              <w:t xml:space="preserve">Peso efectivo 7,3 % del ITCIS</w:t>
            </w:r>
          </w:p>
        </w:tc>
        <w:tc>
          <w:tcPr/>
          <w:p>
            <w:pPr>
              <w:pStyle w:val="Compact"/>
            </w:pPr>
            <w:r>
              <w:t xml:space="preserve">Cinturón Impacto social</w:t>
            </w:r>
          </w:p>
        </w:tc>
      </w:tr>
    </w:tbl>
    <w:bookmarkStart w:id="154" w:name="identificación-13"/>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pobreza_nowcast</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Ingresos y consumo</w:t>
            </w:r>
          </w:p>
        </w:tc>
        <w:tc>
          <w:tcPr/>
          <w:p>
            <w:pPr>
              <w:pStyle w:val="Compact"/>
            </w:pPr>
            <w:r>
              <w:rPr>
                <w:b/>
                <w:bCs/>
              </w:rPr>
              <w:t xml:space="preserve">UNIDAD DE MEDIDA</w:t>
            </w:r>
          </w:p>
        </w:tc>
        <w:tc>
          <w:tcPr/>
          <w:p>
            <w:pPr>
              <w:pStyle w:val="Compact"/>
            </w:pPr>
            <w:r>
              <w:t xml:space="preserve">% de personas</w:t>
            </w:r>
          </w:p>
        </w:tc>
      </w:tr>
      <w:tr>
        <w:tc>
          <w:tcPr/>
          <w:p>
            <w:pPr>
              <w:pStyle w:val="Compact"/>
            </w:pPr>
            <w:r>
              <w:rPr>
                <w:b/>
                <w:bCs/>
              </w:rPr>
              <w:t xml:space="preserve">SERIE DISPONIBLE</w:t>
            </w:r>
          </w:p>
        </w:tc>
        <w:tc>
          <w:tcPr/>
          <w:p>
            <w:pPr>
              <w:pStyle w:val="Compact"/>
            </w:pPr>
            <w:r>
              <w:t xml:space="preserve">2025-01 → 2026-06 (18 puntos)</w:t>
            </w:r>
          </w:p>
        </w:tc>
        <w:tc>
          <w:tcPr/>
          <w:p>
            <w:pPr>
              <w:pStyle w:val="Compact"/>
            </w:pPr>
            <w:r>
              <w:rPr>
                <w:b/>
                <w:bCs/>
              </w:rPr>
              <w:t xml:space="preserve">REZAGO DE PUBLICACIÓN</w:t>
            </w:r>
          </w:p>
        </w:tc>
        <w:tc>
          <w:tcPr/>
          <w:p>
            <w:pPr>
              <w:pStyle w:val="Compact"/>
            </w:pPr>
            <w:r>
              <w:t xml:space="preserve">El informe mensual sale a mediados del mes siguiente al que describe. La referencia oficial del INDEC llega dos veces al año y con más demora.</w:t>
            </w:r>
          </w:p>
        </w:tc>
      </w:tr>
      <w:tr>
        <w:tc>
          <w:tcPr/>
          <w:p>
            <w:pPr>
              <w:pStyle w:val="Compact"/>
            </w:pPr>
            <w:r>
              <w:rPr>
                <w:b/>
                <w:bCs/>
              </w:rPr>
              <w:t xml:space="preserve">PRODUCTOR DEL DATO</w:t>
            </w:r>
          </w:p>
        </w:tc>
        <w:tc>
          <w:tcPr/>
          <w:p>
            <w:pPr>
              <w:pStyle w:val="Compact"/>
            </w:pPr>
            <w:r>
              <w:t xml:space="preserve">Universidad Torcuato Di Tella (estimación mensual) e INDEC (base y referencia oficial)</w:t>
            </w:r>
          </w:p>
        </w:tc>
        <w:tc>
          <w:tcPr/>
          <w:p>
            <w:pPr>
              <w:pStyle w:val="Compact"/>
            </w:pPr>
            <w:r>
              <w:rPr>
                <w:b/>
                <w:bCs/>
              </w:rPr>
              <w:t xml:space="preserve">OPERACIÓN ESTADÍSTICA</w:t>
            </w:r>
          </w:p>
        </w:tc>
        <w:tc>
          <w:tcPr/>
          <w:p>
            <w:pPr>
              <w:pStyle w:val="Compact"/>
            </w:pPr>
            <w:r>
              <w:t xml:space="preserve">Nowcast de pobreza: porcentaje de personas en hogares con ingresos por debajo de la línea, estimado mes a mes; y Encuesta Permanente de Hogares del INDEC para la base y el contraste</w:t>
            </w:r>
          </w:p>
        </w:tc>
      </w:tr>
      <w:tr>
        <w:tc>
          <w:tcPr/>
          <w:p>
            <w:pPr>
              <w:pStyle w:val="Compact"/>
            </w:pPr>
            <w:r>
              <w:rPr>
                <w:b/>
                <w:bCs/>
              </w:rPr>
              <w:t xml:space="preserve">MODO DE ACCESO</w:t>
            </w:r>
          </w:p>
        </w:tc>
        <w:tc>
          <w:tcPr/>
          <w:p>
            <w:pPr>
              <w:pStyle w:val="Compact"/>
            </w:pPr>
            <w:r>
              <w:t xml:space="preserve">Automático: los informes mensuales se descubren desde el listado de la universidad y cada uno se procesa una sola vez; la serie oficial sale de la interfaz pública de series de tiempo.</w:t>
            </w:r>
          </w:p>
        </w:tc>
        <w:tc>
          <w:tcPr/>
          <w:p>
            <w:pPr>
              <w:pStyle w:val="Compact"/>
            </w:pPr>
            <w:r>
              <w:rPr>
                <w:b/>
                <w:bCs/>
              </w:rPr>
              <w:t xml:space="preserve">ÚLTIMA ACTUALIZACIÓN</w:t>
            </w:r>
          </w:p>
        </w:tc>
        <w:tc>
          <w:tcPr/>
          <w:p>
            <w:pPr>
              <w:pStyle w:val="Compact"/>
            </w:pPr>
            <w:r>
              <w:t xml:space="preserve">Dato a 2026-06 · informe generado el 2026-08-21</w:t>
            </w:r>
          </w:p>
        </w:tc>
      </w:tr>
    </w:tbl>
    <w:bookmarkEnd w:id="154"/>
    <w:bookmarkStart w:id="155" w:name="definición-qué-mide-y-por-qué-importa-13"/>
    <w:p>
      <w:pPr>
        <w:pStyle w:val="Heading2"/>
      </w:pPr>
      <w:r>
        <w:t xml:space="preserve">Definición — qué mide y por qué importa</w:t>
      </w:r>
    </w:p>
    <w:p>
      <w:pPr>
        <w:pStyle w:val="FirstParagraph"/>
      </w:pPr>
      <w:r>
        <w:t xml:space="preserve">El porcentaje de personas que viven en hogares urbanos pobres, estimado para el semestre móvil que termina en el mes del dato. No es la cifra oficial del INDEC, que se publica dos veces al año: es una proyección que se actualiza todos los meses.</w:t>
      </w:r>
    </w:p>
    <w:p>
      <w:pPr>
        <w:pStyle w:val="BodyText"/>
      </w:pPr>
      <w:r>
        <w:t xml:space="preserve">Es la única medición de pobreza con frecuencia mensual que existe en el país, y la variable de mayor carga simbólica del cinturón. Integra el ITCIS con el 25% de la dimensión de ingresos y consumo (9,31% del índice), invertida: más pobreza, peor puntaje.</w:t>
      </w:r>
    </w:p>
    <w:p>
      <w:pPr>
        <w:pStyle w:val="BodyText"/>
      </w:pPr>
      <w:r>
        <w:rPr>
          <w:b/>
          <w:bCs/>
        </w:rPr>
        <w:t xml:space="preserve">Dimensión que integra — Ingresos y consumo.</w:t>
      </w:r>
      <w:r>
        <w:t xml:space="preserve"> </w:t>
      </w:r>
      <w:r>
        <w:t xml:space="preserve">Si el sueldo alcanza y qué compra: la brecha entre el salario y la canasta de pobreza, la pobreza estimada mes a mes, y tres termómetros de bolsillo —las ventas de supermercados a precios constantes, el consumo de carne y la motorización total, que suma autos y motos 0 km por habitante— que se mueven con el poder de compra.</w:t>
      </w:r>
    </w:p>
    <w:bookmarkEnd w:id="155"/>
    <w:bookmarkStart w:id="156" w:name="método-de-cómputo-13"/>
    <w:p>
      <w:pPr>
        <w:pStyle w:val="Heading2"/>
      </w:pPr>
      <w:r>
        <w:t xml:space="preserve">Método de cómputo</w:t>
      </w:r>
    </w:p>
    <w:p>
      <w:pPr>
        <w:pStyle w:val="Compact"/>
        <w:numPr>
          <w:ilvl w:val="0"/>
          <w:numId w:val="1054"/>
        </w:numPr>
      </w:pPr>
      <w:r>
        <w:t xml:space="preserve">Se rebasea a 100 = la pobreza del segundo semestre de 2023, que es el semestre que contiene al cuarto trimestre, igual que el resto de los componentes del cinturón.</w:t>
      </w:r>
    </w:p>
    <w:p>
      <w:pPr>
        <w:pStyle w:val="Compact"/>
        <w:numPr>
          <w:ilvl w:val="0"/>
          <w:numId w:val="1054"/>
        </w:numPr>
      </w:pPr>
      <w:r>
        <w:t xml:space="preserve">Se invierte, como los otros componentes que se leen al revés: más pobreza es peor, así que la base va arriba en el cociente y por encima de 100 significa MENOS pobreza que en la transición.</w:t>
      </w:r>
    </w:p>
    <w:bookmarkEnd w:id="156"/>
    <w:bookmarkStart w:id="157" w:name="Xaab4efafd10175937bfe344609501e53d799b16"/>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126,9</w:t>
      </w:r>
      <w:r>
        <w:t xml:space="preserve">.</w:t>
      </w:r>
    </w:p>
    <w:bookmarkEnd w:id="157"/>
    <w:bookmarkStart w:id="158" w:name="datos-concretos-detrás-del-valor-13"/>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5"/>
        </w:numPr>
      </w:pPr>
      <w:r>
        <w:t xml:space="preserve">El informe publica el valor (31,6 % de personas) pero no los números que lo componen: la fuente entrega la serie ya calculada. Para auditar el dato hay que ir a la operación estadística citada más arriba.</w:t>
      </w:r>
    </w:p>
    <w:bookmarkEnd w:id="158"/>
    <w:bookmarkStart w:id="159" w:name="color-vigente-y-por-qué-13"/>
    <w:p>
      <w:pPr>
        <w:pStyle w:val="Heading2"/>
      </w:pPr>
      <w:r>
        <w:t xml:space="preserve">Color vigente y por qué</w:t>
      </w:r>
    </w:p>
    <w:p>
      <w:pPr>
        <w:pStyle w:val="FirstParagraph"/>
      </w:pPr>
      <w:r>
        <w:t xml:space="preserve">Dato vigente: 31,6 % de personas (2026-06).</w:t>
      </w:r>
    </w:p>
    <w:p>
      <w:pPr>
        <w:pStyle w:val="BodyText"/>
      </w:pPr>
      <w:r>
        <w:t xml:space="preserve">El componente está en 126,9 sobre la base 100 del 4º trimestre de 2023 — 105 o más —, que es el tramo VERDE. Supera el punto donde la tensión toca 0, así que el semáforo ya no distingue mejoras adicionales: seguiría verde igual.</w:t>
      </w:r>
    </w:p>
    <w:p>
      <w:pPr>
        <w:pStyle w:val="BodyText"/>
      </w:pPr>
      <w:r>
        <w:rPr>
          <w:b/>
          <w:bCs/>
        </w:rPr>
        <w:t xml:space="preserve">Color vigente: VERDE</w:t>
      </w:r>
    </w:p>
    <w:p>
      <w:pPr>
        <w:pStyle w:val="BodyText"/>
      </w:pPr>
      <w:r>
        <w:t xml:space="preserve">Ponderación vigente en el ITCIS: 7,3 % efectivo. El color es una lectura adicional — no reemplaza ni cambia esta ponderación.</w:t>
      </w:r>
    </w:p>
    <w:bookmarkEnd w:id="159"/>
    <w:bookmarkStart w:id="160" w:name="transparencia-limitaciones-declaradas-13"/>
    <w:p>
      <w:pPr>
        <w:pStyle w:val="Heading2"/>
      </w:pPr>
      <w:r>
        <w:t xml:space="preserve">Transparencia — limitaciones declaradas</w:t>
      </w:r>
    </w:p>
    <w:p>
      <w:pPr>
        <w:pStyle w:val="Compact"/>
        <w:numPr>
          <w:ilvl w:val="0"/>
          <w:numId w:val="1056"/>
        </w:numPr>
      </w:pPr>
      <w:r>
        <w:t xml:space="preserve">La base y el nivel salen de DOS fuentes distintas, y no coinciden. El nivel es la estimación mensual de la universidad, que empieza en enero de 2025 y por eso no llega al período que sirve de base; la base es la medición oficial. En los tres semestres en que las dos se superponen, la estimación mensual queda 2,3 puntos por debajo de la oficial, luego medio punto por debajo, y después 2 puntos por ENCIMA: no es una diferencia con signo constante que se pueda corregir. Sobre una base de 40,1 puntos eso implica hasta un 5,7% de error, que se traslada a todos los valores del componente. Se acepta porque la alternativa —usar sólo la medición semestral— renuncia al dato mensual.</w:t>
      </w:r>
    </w:p>
    <w:p>
      <w:pPr>
        <w:pStyle w:val="Compact"/>
        <w:numPr>
          <w:ilvl w:val="0"/>
          <w:numId w:val="1056"/>
        </w:numPr>
      </w:pPr>
      <w:r>
        <w:t xml:space="preserve">El indicador se lee contra la transición, no contra un óptimo: la pobreza del segundo semestre de 2023 fue muy alta, así que superar 100 no significa una situación buena sino mejor que ese punto de partida.</w:t>
      </w:r>
    </w:p>
    <w:p>
      <w:pPr>
        <w:pStyle w:val="Compact"/>
        <w:numPr>
          <w:ilvl w:val="0"/>
          <w:numId w:val="1056"/>
        </w:numPr>
      </w:pPr>
      <w:r>
        <w:t xml:space="preserve">Es una estimación, no una medición: proyecta la pobreza a partir de ingresos y precios entre encuesta y encuesta. La referencia autorizada sigue siendo la del INDEC.</w:t>
      </w:r>
    </w:p>
    <w:p>
      <w:pPr>
        <w:pStyle w:val="Compact"/>
        <w:numPr>
          <w:ilvl w:val="0"/>
          <w:numId w:val="1056"/>
        </w:numPr>
      </w:pPr>
      <w:r>
        <w:t xml:space="preserve">No distingue intensidad: dos hogares apenas por debajo de la línea y dos muy por debajo cuentan igual.</w:t>
      </w:r>
    </w:p>
    <w:bookmarkEnd w:id="160"/>
    <w:bookmarkStart w:id="161" w:name="X71e32d4ef8852d7b89f89dfb87e3c31d8c54533"/>
    <w:p>
      <w:pPr>
        <w:pStyle w:val="Heading2"/>
      </w:pPr>
      <w:r>
        <w:t xml:space="preserve">Si falta el dato / Política de revisiones</w:t>
      </w:r>
    </w:p>
    <w:p>
      <w:pPr>
        <w:numPr>
          <w:ilvl w:val="0"/>
          <w:numId w:val="1057"/>
        </w:numPr>
      </w:pPr>
      <w:r>
        <w:rPr>
          <w:b/>
          <w:bCs/>
        </w:rPr>
        <w:t xml:space="preserve">Si falta el dato:</w:t>
      </w:r>
      <w:r>
        <w:t xml:space="preserve"> </w:t>
      </w:r>
      <w:r>
        <w:t xml:space="preserve">Si un mes no publica informe, el componente mantiene el último valor disponible y el cinturón renormaliza los pesos de su dimensión.</w:t>
      </w:r>
    </w:p>
    <w:p>
      <w:pPr>
        <w:numPr>
          <w:ilvl w:val="0"/>
          <w:numId w:val="1057"/>
        </w:numPr>
      </w:pPr>
      <w:r>
        <w:rPr>
          <w:b/>
          <w:bCs/>
        </w:rPr>
        <w:t xml:space="preserve">Política de revisiones:</w:t>
      </w:r>
      <w:r>
        <w:t xml:space="preserve"> </w:t>
      </w:r>
      <w:r>
        <w:t xml:space="preserve">La universidad puede revisar meses previos al recalcular su modelo, y el INDEC actualiza la línea de pobreza; se re-descarga la serie completa en cada corrida. Cada informe declara dos veces a qué semestre corresponde —en el título y en el texto— y las dos leyendas se escriben a mano, así que a veces una de ellas quedó del mes anterior; se toma la más reciente de las dos y se verifica que la serie no quede con meses faltantes, porque la publicación es mensual y un mes ausente indicaría una leyenda mal puesta antes que un informe no publicado.</w:t>
      </w:r>
    </w:p>
    <w:bookmarkEnd w:id="161"/>
    <w:bookmarkStart w:id="162" w:name="Xe97eb45c46db1c6f0b7a9d3dad61e7d604d0a09"/>
    <w:p>
      <w:pPr>
        <w:pStyle w:val="Heading2"/>
      </w:pPr>
      <w:r>
        <w:t xml:space="preserve">Historial — cambios metodológicos documentados</w:t>
      </w:r>
    </w:p>
    <w:p>
      <w:pPr>
        <w:pStyle w:val="FirstParagraph"/>
      </w:pPr>
      <w:r>
        <w:rPr>
          <w:b/>
          <w:bCs/>
        </w:rPr>
        <w:t xml:space="preserve">2026-07-16</w:t>
      </w:r>
      <w:r>
        <w:t xml:space="preserve"> </w:t>
      </w:r>
      <w:r>
        <w:t xml:space="preserve">— Alta como estimación mensual publicada junto a la medición oficial, sin integrar el índice.</w:t>
      </w:r>
    </w:p>
    <w:p>
      <w:pPr>
        <w:pStyle w:val="BodyText"/>
      </w:pPr>
      <w:r>
        <w:rPr>
          <w:b/>
          <w:bCs/>
        </w:rPr>
        <w:t xml:space="preserve">2026-07-30</w:t>
      </w:r>
      <w:r>
        <w:t xml:space="preserve"> </w:t>
      </w:r>
      <w:r>
        <w:t xml:space="preserve">— Entra al índice con 25% de la dimensión de ingresos y consumo. Hasta entonces era una card visible que no puntuaba, una categoría que el equipo dio de baja: un indicador integra las dimensiones de su índice o no se publica. Se decidió que corresponde a este cinturón y no al macroeconómico, porque las dimensiones de aquel son condiciones de la economía y la pobreza es el resultado social que este cinturón ya mide. Los cuatro componentes previos de la dimensión cedieron peso proporcionalmente y conservan su orden relativo.</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62"/>
    <w:bookmarkEnd w:id="163"/>
    <w:bookmarkStart w:id="173" w:name="sentimiento-digital-trends"/>
    <w:p>
      <w:pPr>
        <w:pStyle w:val="Heading1"/>
      </w:pPr>
      <w:r>
        <w:t xml:space="preserve">Sentimiento digital (Trends)</w:t>
      </w:r>
    </w:p>
    <w:p>
      <w:pPr>
        <w:pStyle w:val="FirstParagraph"/>
      </w:pPr>
      <w:r>
        <w:t xml:space="preserve">Cuánta atención pública se llevan seis problemas, medida por lo que se busca en internet: inflación, precios, dólar, empleo, inseguridad y corrupción.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57,6 índice (100 = 4T-2023)</w:t>
            </w:r>
            <w:r>
              <w:t xml:space="preserve"> </w:t>
            </w:r>
            <w:r>
              <w:t xml:space="preserve">(2026-07)</w:t>
            </w:r>
          </w:p>
        </w:tc>
        <w:tc>
          <w:tcPr/>
          <w:p>
            <w:pPr>
              <w:pStyle w:val="Compact"/>
            </w:pPr>
            <w:r>
              <w:rPr>
                <w:b/>
                <w:bCs/>
              </w:rPr>
              <w:t xml:space="preserve">VERDE</w:t>
            </w:r>
          </w:p>
        </w:tc>
        <w:tc>
          <w:tcPr/>
          <w:p>
            <w:pPr>
              <w:pStyle w:val="Compact"/>
            </w:pPr>
            <w:r>
              <w:t xml:space="preserve">Peso efectivo 1,5 % del ITCIS</w:t>
            </w:r>
          </w:p>
        </w:tc>
        <w:tc>
          <w:tcPr/>
          <w:p>
            <w:pPr>
              <w:pStyle w:val="Compact"/>
            </w:pPr>
            <w:r>
              <w:t xml:space="preserve">Cinturón Impacto social</w:t>
            </w:r>
          </w:p>
        </w:tc>
      </w:tr>
    </w:tbl>
    <w:bookmarkStart w:id="164" w:name="identificación-14"/>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sentimiento_digital</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Confianza y percepción</w:t>
            </w:r>
          </w:p>
        </w:tc>
        <w:tc>
          <w:tcPr/>
          <w:p>
            <w:pPr>
              <w:pStyle w:val="Compact"/>
            </w:pPr>
            <w:r>
              <w:rPr>
                <w:b/>
                <w:bCs/>
              </w:rPr>
              <w:t xml:space="preserve">UNIDAD DE MEDIDA</w:t>
            </w:r>
          </w:p>
        </w:tc>
        <w:tc>
          <w:tcPr/>
          <w:p>
            <w:pPr>
              <w:pStyle w:val="Compact"/>
            </w:pPr>
            <w:r>
              <w:t xml:space="preserve">índice (100 = 4T-2023)</w:t>
            </w:r>
          </w:p>
        </w:tc>
      </w:tr>
      <w:tr>
        <w:tc>
          <w:tcPr/>
          <w:p>
            <w:pPr>
              <w:pStyle w:val="Compact"/>
            </w:pPr>
            <w:r>
              <w:rPr>
                <w:b/>
                <w:bCs/>
              </w:rPr>
              <w:t xml:space="preserve">SERIE DISPONIBLE</w:t>
            </w:r>
          </w:p>
        </w:tc>
        <w:tc>
          <w:tcPr/>
          <w:p>
            <w:pPr>
              <w:pStyle w:val="Compact"/>
            </w:pPr>
            <w:r>
              <w:t xml:space="preserve">2021-01 → 2026-07 (67 puntos)</w:t>
            </w:r>
          </w:p>
        </w:tc>
        <w:tc>
          <w:tcPr/>
          <w:p>
            <w:pPr>
              <w:pStyle w:val="Compact"/>
            </w:pPr>
            <w:r>
              <w:rPr>
                <w:b/>
                <w:bCs/>
              </w:rPr>
              <w:t xml:space="preserve">REZAGO DE PUBLICACIÓN</w:t>
            </w:r>
          </w:p>
        </w:tc>
        <w:tc>
          <w:tcPr/>
          <w:p>
            <w:pPr>
              <w:pStyle w:val="Compact"/>
            </w:pPr>
            <w:r>
              <w:t xml:space="preserve">Hasta un mes: el mes en curso se descarta por incompleto y se publica el último mes cerrado.</w:t>
            </w:r>
          </w:p>
        </w:tc>
      </w:tr>
      <w:tr>
        <w:tc>
          <w:tcPr/>
          <w:p>
            <w:pPr>
              <w:pStyle w:val="Compact"/>
            </w:pPr>
            <w:r>
              <w:rPr>
                <w:b/>
                <w:bCs/>
              </w:rPr>
              <w:t xml:space="preserve">PRODUCTOR DEL DATO</w:t>
            </w:r>
          </w:p>
        </w:tc>
        <w:tc>
          <w:tcPr/>
          <w:p>
            <w:pPr>
              <w:pStyle w:val="Compact"/>
            </w:pPr>
            <w:r>
              <w:t xml:space="preserve">Google Trends (fuente no oficial)</w:t>
            </w:r>
          </w:p>
        </w:tc>
        <w:tc>
          <w:tcPr/>
          <w:p>
            <w:pPr>
              <w:pStyle w:val="Compact"/>
            </w:pPr>
            <w:r>
              <w:rPr>
                <w:b/>
                <w:bCs/>
              </w:rPr>
              <w:t xml:space="preserve">OPERACIÓN ESTADÍSTICA</w:t>
            </w:r>
          </w:p>
        </w:tc>
        <w:tc>
          <w:tcPr/>
          <w:p>
            <w:pPr>
              <w:pStyle w:val="Compact"/>
            </w:pPr>
            <w:r>
              <w:t xml:space="preserve">Interés de búsqueda en Argentina de una canasta de seis términos: inflación, precios, dólar, empleo, inseguridad y corrupción</w:t>
            </w:r>
          </w:p>
        </w:tc>
      </w:tr>
      <w:tr>
        <w:tc>
          <w:tcPr/>
          <w:p>
            <w:pPr>
              <w:pStyle w:val="Compact"/>
            </w:pPr>
            <w:r>
              <w:rPr>
                <w:b/>
                <w:bCs/>
              </w:rPr>
              <w:t xml:space="preserve">MODO DE ACCESO</w:t>
            </w:r>
          </w:p>
        </w:tc>
        <w:tc>
          <w:tcPr/>
          <w:p>
            <w:pPr>
              <w:pStyle w:val="Compact"/>
            </w:pPr>
            <w:r>
              <w:t xml:space="preserve">Automático: una consulta por término sobre la misma ventana fija (2021 en adelante). Cada término se reemplaza entero cuando su propia descarga es sana; el que falla conserva su serie anterior.</w:t>
            </w:r>
          </w:p>
        </w:tc>
        <w:tc>
          <w:tcPr/>
          <w:p>
            <w:pPr>
              <w:pStyle w:val="Compact"/>
            </w:pPr>
            <w:r>
              <w:rPr>
                <w:b/>
                <w:bCs/>
              </w:rPr>
              <w:t xml:space="preserve">ÚLTIMA ACTUALIZACIÓN</w:t>
            </w:r>
          </w:p>
        </w:tc>
        <w:tc>
          <w:tcPr/>
          <w:p>
            <w:pPr>
              <w:pStyle w:val="Compact"/>
            </w:pPr>
            <w:r>
              <w:t xml:space="preserve">Dato a 2026-07 · informe generado el 2026-08-21</w:t>
            </w:r>
          </w:p>
        </w:tc>
      </w:tr>
    </w:tbl>
    <w:bookmarkEnd w:id="164"/>
    <w:bookmarkStart w:id="165" w:name="definición-qué-mide-y-por-qué-importa-14"/>
    <w:p>
      <w:pPr>
        <w:pStyle w:val="Heading2"/>
      </w:pPr>
      <w:r>
        <w:t xml:space="preserve">Definición — qué mide y por qué importa</w:t>
      </w:r>
    </w:p>
    <w:p>
      <w:pPr>
        <w:pStyle w:val="FirstParagraph"/>
      </w:pPr>
      <w:r>
        <w:t xml:space="preserve">Cuánta atención pública se llevan seis problemas, medida por lo que se busca en internet: inflación, precios, dólar, empleo, inseguridad y corrupción.</w:t>
      </w:r>
    </w:p>
    <w:p>
      <w:pPr>
        <w:pStyle w:val="BodyText"/>
      </w:pPr>
      <w:r>
        <w:t xml:space="preserve">Mide la preocupación por la conducta (qué busca la gente cuando algo le duele), complementando al ICC que la mide por encuesta. Los seis términos pesan lo mismo y cada uno se compara contra el arranque del mandato. La corrupción es la excepción de lectura: se mueve por escándalos, así que un pico suyo dice que se habla de un caso, no que empeoró el bolsillo.</w:t>
      </w:r>
    </w:p>
    <w:p>
      <w:pPr>
        <w:pStyle w:val="BodyText"/>
      </w:pPr>
      <w:r>
        <w:rPr>
          <w:b/>
          <w:bCs/>
        </w:rPr>
        <w:t xml:space="preserve">Dimensión que integra — Confianza y percepción.</w:t>
      </w:r>
      <w:r>
        <w:t xml:space="preserve"> </w:t>
      </w:r>
      <w:r>
        <w:t xml:space="preserve">El ánimo con que se vive el momento, medido de dos maneras: preguntando (el Índice de Confianza del Consumidor de la UTDT) y observando qué busca la gente en internet.</w:t>
      </w:r>
    </w:p>
    <w:bookmarkEnd w:id="165"/>
    <w:bookmarkStart w:id="166" w:name="método-de-cómputo-14"/>
    <w:p>
      <w:pPr>
        <w:pStyle w:val="Heading2"/>
      </w:pPr>
      <w:r>
        <w:t xml:space="preserve">Método de cómputo</w:t>
      </w:r>
    </w:p>
    <w:p>
      <w:pPr>
        <w:pStyle w:val="Compact"/>
        <w:numPr>
          <w:ilvl w:val="0"/>
          <w:numId w:val="1058"/>
        </w:numPr>
      </w:pPr>
      <w:r>
        <w:t xml:space="preserve">Cada término se compara contra su propio 4º trimestre de 2023 dentro de su propia consulta: la fuente normaliza cada consulta por un factor único, que se cancela en ese cociente. Por eso seis consultas distintas se promedian sin necesidad de un término de anclaje.</w:t>
      </w:r>
    </w:p>
    <w:p>
      <w:pPr>
        <w:pStyle w:val="Compact"/>
        <w:numPr>
          <w:ilvl w:val="0"/>
          <w:numId w:val="1058"/>
        </w:numPr>
      </w:pPr>
      <w:r>
        <w:t xml:space="preserve">La canasta es el promedio simple de los seis: peso igual y declarado. El promedio de los valores crudos que se usaba antes pesaba por volumen de búsqueda, y ese reparto no lo eligió nadie.</w:t>
      </w:r>
    </w:p>
    <w:p>
      <w:pPr>
        <w:pStyle w:val="Compact"/>
        <w:numPr>
          <w:ilvl w:val="0"/>
          <w:numId w:val="1058"/>
        </w:numPr>
      </w:pPr>
      <w:r>
        <w:t xml:space="preserve">Componente del índice: la canasta rebaseada de forma invertida (más búsquedas de urgencia = peor) contra el promedio del 4º trimestre de 2023.</w:t>
      </w:r>
    </w:p>
    <w:p>
      <w:pPr>
        <w:pStyle w:val="Compact"/>
        <w:numPr>
          <w:ilvl w:val="0"/>
          <w:numId w:val="1058"/>
        </w:numPr>
      </w:pPr>
      <w:r>
        <w:t xml:space="preserve">Sólo se publican los meses en los que están los seis términos: una canasta que cambia de composición mes a mes mueve el número por composición y no por búsquedas.</w:t>
      </w:r>
    </w:p>
    <w:bookmarkEnd w:id="166"/>
    <w:bookmarkStart w:id="167" w:name="X7b7170cc03c186200356a5b68fedf47ae23f2d7"/>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140</w:t>
      </w:r>
      <w:r>
        <w:t xml:space="preserve">.</w:t>
      </w:r>
    </w:p>
    <w:bookmarkEnd w:id="167"/>
    <w:bookmarkStart w:id="168" w:name="datos-concretos-detrás-del-valor-14"/>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9"/>
        </w:numPr>
      </w:pPr>
      <w:r>
        <w:t xml:space="preserve">Promedio simple de seis términos de búsqueda —inflación, precios, dólar, empleo, inseguridad y corrupción—, cada uno comparado contra su propio 4º trimestre de 2023 en una ventana fija desde 2021. Mayor = más búsquedas de urgencia. El ITCIS lo puntúa invertido.</w:t>
      </w:r>
    </w:p>
    <w:bookmarkEnd w:id="168"/>
    <w:bookmarkStart w:id="169" w:name="color-vigente-y-por-qué-14"/>
    <w:p>
      <w:pPr>
        <w:pStyle w:val="Heading2"/>
      </w:pPr>
      <w:r>
        <w:t xml:space="preserve">Color vigente y por qué</w:t>
      </w:r>
    </w:p>
    <w:p>
      <w:pPr>
        <w:pStyle w:val="FirstParagraph"/>
      </w:pPr>
      <w:r>
        <w:t xml:space="preserve">Dato vigente: 57,6 índice (100 = 4T-2023) (2026-07).</w:t>
      </w:r>
    </w:p>
    <w:p>
      <w:pPr>
        <w:pStyle w:val="BodyText"/>
      </w:pPr>
      <w:r>
        <w:t xml:space="preserve">El componente está en 140 sobre la base 100 del 4º trimestre de 2023 — 105 o más —, que es el tramo VERDE. Está en el techo de winsorización (140): el índice se recorta ahí, así que el valor real es mejor que el que entra al cálculo y el semáforo ya no distingue mejoras.</w:t>
      </w:r>
    </w:p>
    <w:p>
      <w:pPr>
        <w:pStyle w:val="BodyText"/>
      </w:pPr>
      <w:r>
        <w:rPr>
          <w:b/>
          <w:bCs/>
        </w:rPr>
        <w:t xml:space="preserve">Color vigente: VERDE</w:t>
      </w:r>
    </w:p>
    <w:p>
      <w:pPr>
        <w:pStyle w:val="BodyText"/>
      </w:pPr>
      <w:r>
        <w:t xml:space="preserve">Ponderación vigente en el ITCIS: 1,5 % efectivo. El color es una lectura adicional — no reemplaza ni cambia esta ponderación.</w:t>
      </w:r>
    </w:p>
    <w:p>
      <w:pPr>
        <w:pStyle w:val="Compact"/>
        <w:numPr>
          <w:ilvl w:val="0"/>
          <w:numId w:val="1060"/>
        </w:numPr>
      </w:pPr>
      <w:r>
        <w:rPr>
          <w:b/>
          <w:bCs/>
        </w:rPr>
        <w:t xml:space="preserve">Participación en otros indicadores.</w:t>
      </w:r>
      <w:r>
        <w:t xml:space="preserve"> </w:t>
      </w:r>
      <w:r>
        <w:t xml:space="preserve">Hasta julio de 2026 integró además el cinturón espíritu de época con fórmula de tensión propia; ese cinturón quedó acotado a la intención migratoria y la lectura duplicada se sigue registrando como seguimiento interno, sin publicarse ni puntuar.</w:t>
      </w:r>
    </w:p>
    <w:bookmarkEnd w:id="169"/>
    <w:bookmarkStart w:id="170" w:name="transparencia-limitaciones-declaradas-14"/>
    <w:p>
      <w:pPr>
        <w:pStyle w:val="Heading2"/>
      </w:pPr>
      <w:r>
        <w:t xml:space="preserve">Transparencia — limitaciones declaradas</w:t>
      </w:r>
    </w:p>
    <w:p>
      <w:pPr>
        <w:pStyle w:val="Compact"/>
        <w:numPr>
          <w:ilvl w:val="0"/>
          <w:numId w:val="1061"/>
        </w:numPr>
      </w:pPr>
      <w:r>
        <w:t xml:space="preserve">Mide atención, no sentimiento: una noticia dispara búsquedas sin que cambie el bolsillo.</w:t>
      </w:r>
    </w:p>
    <w:p>
      <w:pPr>
        <w:pStyle w:val="Compact"/>
        <w:numPr>
          <w:ilvl w:val="0"/>
          <w:numId w:val="1061"/>
        </w:numPr>
      </w:pPr>
      <w:r>
        <w:t xml:space="preserve">«Corrupción» es un proxy de saliencia de escándalo, no de urgencia del hogar: un pico suyo se lee como que se habla de un caso, no como que empeoró el bolsillo.</w:t>
      </w:r>
    </w:p>
    <w:p>
      <w:pPr>
        <w:pStyle w:val="Compact"/>
        <w:numPr>
          <w:ilvl w:val="0"/>
          <w:numId w:val="1061"/>
        </w:numPr>
      </w:pPr>
      <w:r>
        <w:t xml:space="preserve">Un término de mucho volumen aplasta a uno de poco cuando comparten consulta —la fuente redondea a entero—, y por eso se consulta uno por vez. Con la canasta de cuatro términos anterior, «inseguridad» quedaba reducida a ceros y unos.</w:t>
      </w:r>
    </w:p>
    <w:p>
      <w:pPr>
        <w:pStyle w:val="Compact"/>
        <w:numPr>
          <w:ilvl w:val="0"/>
          <w:numId w:val="1061"/>
        </w:numPr>
      </w:pPr>
      <w:r>
        <w:t xml:space="preserve">La canasta entera está por debajo de su base: el componente queda recortado en el techo de 140 en buena parte de los meses recientes, así que su movimiento no se refleja completo en el índice.</w:t>
      </w:r>
    </w:p>
    <w:p>
      <w:pPr>
        <w:pStyle w:val="Compact"/>
        <w:numPr>
          <w:ilvl w:val="0"/>
          <w:numId w:val="1061"/>
        </w:numPr>
      </w:pPr>
      <w:r>
        <w:t xml:space="preserve">Fuente no oficial con límites de consulta: si el servicio restringe el acceso, cada término continúa desde el archivo propio.</w:t>
      </w:r>
    </w:p>
    <w:bookmarkEnd w:id="170"/>
    <w:bookmarkStart w:id="171" w:name="X02964bd421b6ce1686f5e02f1f98c7c34b51012"/>
    <w:p>
      <w:pPr>
        <w:pStyle w:val="Heading2"/>
      </w:pPr>
      <w:r>
        <w:t xml:space="preserve">Si falta el dato / Política de revisiones</w:t>
      </w:r>
    </w:p>
    <w:p>
      <w:pPr>
        <w:numPr>
          <w:ilvl w:val="0"/>
          <w:numId w:val="1062"/>
        </w:numPr>
      </w:pPr>
      <w:r>
        <w:rPr>
          <w:b/>
          <w:bCs/>
        </w:rPr>
        <w:t xml:space="preserve">Si falta el dato:</w:t>
      </w:r>
      <w:r>
        <w:t xml:space="preserve"> </w:t>
      </w:r>
      <w:r>
        <w:t xml:space="preserve">Con la fuente caída, cada término conserva su última serie buena y la canasta llega hasta el último mes en que están los seis; la card mantiene el último valor como desactualizado.</w:t>
      </w:r>
    </w:p>
    <w:p>
      <w:pPr>
        <w:numPr>
          <w:ilvl w:val="0"/>
          <w:numId w:val="1062"/>
        </w:numPr>
      </w:pPr>
      <w:r>
        <w:rPr>
          <w:b/>
          <w:bCs/>
        </w:rPr>
        <w:t xml:space="preserve">Política de revisiones:</w:t>
      </w:r>
      <w:r>
        <w:t xml:space="preserve"> </w:t>
      </w:r>
      <w:r>
        <w:t xml:space="preserve">Reemplazo total de la serie de cada término en cada descarga sana; la fuente no revisa datos propiamente.</w:t>
      </w:r>
    </w:p>
    <w:bookmarkEnd w:id="171"/>
    <w:bookmarkStart w:id="172" w:name="Xfec2c1dec879a8614d6605057a6efcb2a0b1de1"/>
    <w:p>
      <w:pPr>
        <w:pStyle w:val="Heading2"/>
      </w:pPr>
      <w:r>
        <w:t xml:space="preserve">Historial — cambios metodológicos documentados</w:t>
      </w:r>
    </w:p>
    <w:p>
      <w:pPr>
        <w:pStyle w:val="FirstParagraph"/>
      </w:pPr>
      <w:r>
        <w:rPr>
          <w:b/>
          <w:bCs/>
        </w:rPr>
        <w:t xml:space="preserve">2026-07-03</w:t>
      </w:r>
      <w:r>
        <w:t xml:space="preserve"> </w:t>
      </w:r>
      <w:r>
        <w:t xml:space="preserve">— Declarado indicador de contexto: la ventana de tres meses no permitía línea de base 2023.</w:t>
      </w:r>
    </w:p>
    <w:p>
      <w:pPr>
        <w:pStyle w:val="BodyText"/>
      </w:pPr>
      <w:r>
        <w:rPr>
          <w:b/>
          <w:bCs/>
        </w:rPr>
        <w:t xml:space="preserve">2026-07-04</w:t>
      </w:r>
      <w:r>
        <w:t xml:space="preserve"> </w:t>
      </w:r>
      <w:r>
        <w:t xml:space="preserve">— Pasa a componente puntuable tras un banco de pruebas empírico: la canasta de ventana fija con cociente interno resultó estable entre actualizaciones y consistente con la inflación.</w:t>
      </w:r>
    </w:p>
    <w:p>
      <w:pPr>
        <w:pStyle w:val="BodyText"/>
      </w:pPr>
      <w:r>
        <w:rPr>
          <w:b/>
          <w:bCs/>
        </w:rPr>
        <w:t xml:space="preserve">2026-08-21</w:t>
      </w:r>
      <w:r>
        <w:t xml:space="preserve"> </w:t>
      </w:r>
      <w:r>
        <w:t xml:space="preserve">— ADR-0222: la canasta pasa a seis términos con peso igual —entran dólar, empleo y corrupción, y sale trabajo, cuyas búsquedas asociadas son derecho laboral, un plan social, el feriado y la tarea escolar—. Cada término se consulta por separado y se compara contra su propia base, lo que reemplaza al promedio crudo, que pesaba por volumen de búsqueda. La card deja de ser un pulso aparte y publica el mismo último mes cerrado que el gráfico.</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72"/>
    <w:bookmarkEnd w:id="173"/>
    <w:bookmarkStart w:id="183" w:name="motorización-total"/>
    <w:p>
      <w:pPr>
        <w:pStyle w:val="Heading1"/>
      </w:pPr>
      <w:r>
        <w:t xml:space="preserve">Motorización total</w:t>
      </w:r>
    </w:p>
    <w:p>
      <w:pPr>
        <w:pStyle w:val="FirstParagraph"/>
      </w:pPr>
      <w:r>
        <w:t xml:space="preserve">Cuántos vehículos 0 kilómetro —autos y motos sumados— se incorporan por cada mil habitantes en una ventana móvil de doce meses. En el ITCIS se compara contra el promedio del 4º trimestre de 2023.</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30,9 vehículos 0km por cada 1.000 habitantes (12 meses)</w:t>
            </w:r>
            <w:r>
              <w:t xml:space="preserve"> </w:t>
            </w:r>
            <w:r>
              <w:t xml:space="preserve">(2026-07)</w:t>
            </w:r>
          </w:p>
        </w:tc>
        <w:tc>
          <w:tcPr/>
          <w:p>
            <w:pPr>
              <w:pStyle w:val="Compact"/>
            </w:pPr>
            <w:r>
              <w:rPr>
                <w:b/>
                <w:bCs/>
              </w:rPr>
              <w:t xml:space="preserve">VERDE</w:t>
            </w:r>
          </w:p>
        </w:tc>
        <w:tc>
          <w:tcPr/>
          <w:p>
            <w:pPr>
              <w:pStyle w:val="Compact"/>
            </w:pPr>
            <w:r>
              <w:t xml:space="preserve">Peso efectivo 0,9 % del ITCIS</w:t>
            </w:r>
          </w:p>
        </w:tc>
        <w:tc>
          <w:tcPr/>
          <w:p>
            <w:pPr>
              <w:pStyle w:val="Compact"/>
            </w:pPr>
            <w:r>
              <w:t xml:space="preserve">Cinturón Impacto social</w:t>
            </w:r>
          </w:p>
        </w:tc>
      </w:tr>
    </w:tbl>
    <w:bookmarkStart w:id="174" w:name="identificación-15"/>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motorizacion_total</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Ingresos y consumo</w:t>
            </w:r>
          </w:p>
        </w:tc>
        <w:tc>
          <w:tcPr/>
          <w:p>
            <w:pPr>
              <w:pStyle w:val="Compact"/>
            </w:pPr>
            <w:r>
              <w:rPr>
                <w:b/>
                <w:bCs/>
              </w:rPr>
              <w:t xml:space="preserve">UNIDAD DE MEDIDA</w:t>
            </w:r>
          </w:p>
        </w:tc>
        <w:tc>
          <w:tcPr/>
          <w:p>
            <w:pPr>
              <w:pStyle w:val="Compact"/>
            </w:pPr>
            <w:r>
              <w:t xml:space="preserve">vehículos 0km por cada 1.000 habitantes (12 meses)</w:t>
            </w:r>
          </w:p>
        </w:tc>
      </w:tr>
      <w:tr>
        <w:tc>
          <w:tcPr/>
          <w:p>
            <w:pPr>
              <w:pStyle w:val="Compact"/>
            </w:pPr>
            <w:r>
              <w:rPr>
                <w:b/>
                <w:bCs/>
              </w:rPr>
              <w:t xml:space="preserve">SERIE DISPONIBLE</w:t>
            </w:r>
          </w:p>
        </w:tc>
        <w:tc>
          <w:tcPr/>
          <w:p>
            <w:pPr>
              <w:pStyle w:val="Compact"/>
            </w:pPr>
            <w:r>
              <w:t xml:space="preserve">2023-01 → 2026-07 (43 puntos)</w:t>
            </w:r>
          </w:p>
        </w:tc>
        <w:tc>
          <w:tcPr/>
          <w:p>
            <w:pPr>
              <w:pStyle w:val="Compact"/>
            </w:pPr>
            <w:r>
              <w:rPr>
                <w:b/>
                <w:bCs/>
              </w:rPr>
              <w:t xml:space="preserve">REZAGO DE PUBLICACIÓN</w:t>
            </w:r>
          </w:p>
        </w:tc>
        <w:tc>
          <w:tcPr/>
          <w:p>
            <w:pPr>
              <w:pStyle w:val="Compact"/>
            </w:pPr>
            <w:r>
              <w:t xml:space="preserve">Menos de un mes: el registro publica cada mes en los primeros días del siguiente. Se toma el último mes calendario completo.</w:t>
            </w:r>
          </w:p>
        </w:tc>
      </w:tr>
      <w:tr>
        <w:tc>
          <w:tcPr/>
          <w:p>
            <w:pPr>
              <w:pStyle w:val="Compact"/>
            </w:pPr>
            <w:r>
              <w:rPr>
                <w:b/>
                <w:bCs/>
              </w:rPr>
              <w:t xml:space="preserve">PRODUCTOR DEL DATO</w:t>
            </w:r>
          </w:p>
        </w:tc>
        <w:tc>
          <w:tcPr/>
          <w:p>
            <w:pPr>
              <w:pStyle w:val="Compact"/>
            </w:pPr>
            <w:r>
              <w:t xml:space="preserve">DNRPA — Dirección Nacional de los Registros Nacionales de la Propiedad del Automotor y de Créditos Prendarios (unidades) e INDEC (población)</w:t>
            </w:r>
          </w:p>
        </w:tc>
        <w:tc>
          <w:tcPr/>
          <w:p>
            <w:pPr>
              <w:pStyle w:val="Compact"/>
            </w:pPr>
            <w:r>
              <w:rPr>
                <w:b/>
                <w:bCs/>
              </w:rPr>
              <w:t xml:space="preserve">OPERACIÓN ESTADÍSTICA</w:t>
            </w:r>
          </w:p>
        </w:tc>
        <w:tc>
          <w:tcPr/>
          <w:p>
            <w:pPr>
              <w:pStyle w:val="Compact"/>
            </w:pPr>
            <w:r>
              <w:t xml:space="preserve">Inscripciones iniciales de automotores y de motovehículos (0 kilómetro), por mes y jurisdicción del registro seccional, sumadas y divididas por la población urbana total proyectada del INDEC.</w:t>
            </w:r>
          </w:p>
        </w:tc>
      </w:tr>
      <w:tr>
        <w:tc>
          <w:tcPr/>
          <w:p>
            <w:pPr>
              <w:pStyle w:val="Compact"/>
            </w:pPr>
            <w:r>
              <w:rPr>
                <w:b/>
                <w:bCs/>
              </w:rPr>
              <w:t xml:space="preserve">MODO DE ACCESO</w:t>
            </w:r>
          </w:p>
        </w:tc>
        <w:tc>
          <w:tcPr/>
          <w:p>
            <w:pPr>
              <w:pStyle w:val="Compact"/>
            </w:pPr>
            <w:r>
              <w:t xml:space="preserve">Automático: CSV abierto sin credenciales. La dirección de descarga lleva el período adentro y cambia todos los meses, así que se descubre por catálogo en cada corrida en lugar de fijarse.</w:t>
            </w:r>
          </w:p>
        </w:tc>
        <w:tc>
          <w:tcPr/>
          <w:p>
            <w:pPr>
              <w:pStyle w:val="Compact"/>
            </w:pPr>
            <w:r>
              <w:rPr>
                <w:b/>
                <w:bCs/>
              </w:rPr>
              <w:t xml:space="preserve">ÚLTIMA ACTUALIZACIÓN</w:t>
            </w:r>
          </w:p>
        </w:tc>
        <w:tc>
          <w:tcPr/>
          <w:p>
            <w:pPr>
              <w:pStyle w:val="Compact"/>
            </w:pPr>
            <w:r>
              <w:t xml:space="preserve">Dato a 2026-07 · informe generado el 2026-08-21</w:t>
            </w:r>
          </w:p>
        </w:tc>
      </w:tr>
    </w:tbl>
    <w:bookmarkEnd w:id="174"/>
    <w:bookmarkStart w:id="175" w:name="definición-qué-mide-y-por-qué-importa-15"/>
    <w:p>
      <w:pPr>
        <w:pStyle w:val="Heading2"/>
      </w:pPr>
      <w:r>
        <w:t xml:space="preserve">Definición — qué mide y por qué importa</w:t>
      </w:r>
    </w:p>
    <w:p>
      <w:pPr>
        <w:pStyle w:val="FirstParagraph"/>
      </w:pPr>
      <w:r>
        <w:t xml:space="preserve">Cuántos vehículos 0 kilómetro —autos y motos sumados— se incorporan por cada mil habitantes en una ventana móvil de doce meses. En el ITCIS se compara contra el promedio del 4º trimestre de 2023.</w:t>
      </w:r>
    </w:p>
    <w:p>
      <w:pPr>
        <w:pStyle w:val="BodyText"/>
      </w:pPr>
      <w:r>
        <w:t xml:space="preserve">Mide acceso total a un vehículo sin confundir una suba de motos con una mejora automática: si los hogares sólo reemplazaran autos por motos, la suma quedaría estable. La ficha muestra ambas patas y el cambio de su composición para distinguir acceso de sustitución descendente.</w:t>
      </w:r>
    </w:p>
    <w:p>
      <w:pPr>
        <w:pStyle w:val="BodyText"/>
      </w:pPr>
      <w:r>
        <w:rPr>
          <w:b/>
          <w:bCs/>
        </w:rPr>
        <w:t xml:space="preserve">Dimensión que integra — Ingresos y consumo.</w:t>
      </w:r>
      <w:r>
        <w:t xml:space="preserve"> </w:t>
      </w:r>
      <w:r>
        <w:t xml:space="preserve">Si el sueldo alcanza y qué compra: la brecha entre el salario y la canasta de pobreza, la pobreza estimada mes a mes, y tres termómetros de bolsillo —las ventas de supermercados a precios constantes, el consumo de carne y la motorización total, que suma autos y motos 0 km por habitante— que se mueven con el poder de compra.</w:t>
      </w:r>
    </w:p>
    <w:bookmarkEnd w:id="175"/>
    <w:bookmarkStart w:id="176" w:name="método-de-cómputo-15"/>
    <w:p>
      <w:pPr>
        <w:pStyle w:val="Heading2"/>
      </w:pPr>
      <w:r>
        <w:t xml:space="preserve">Método de cómputo</w:t>
      </w:r>
    </w:p>
    <w:p>
      <w:pPr>
        <w:pStyle w:val="Compact"/>
        <w:numPr>
          <w:ilvl w:val="0"/>
          <w:numId w:val="1063"/>
        </w:numPr>
      </w:pPr>
      <w:r>
        <w:t xml:space="preserve">Se suman las unidades de los dos registros —autos y motos— y se toma el acumulado móvil de 12 meses. La estacionalidad del flujo crudo es fuerte en los dos (enero pesa 1,36 veces el mes promedio en autos, y en motos duplica a junio), de modo que contra una base fija mediría calendario además de poder de compra.</w:t>
      </w:r>
    </w:p>
    <w:p>
      <w:pPr>
        <w:pStyle w:val="Compact"/>
        <w:numPr>
          <w:ilvl w:val="0"/>
          <w:numId w:val="1063"/>
        </w:numPr>
      </w:pPr>
      <w:r>
        <w:t xml:space="preserve">Pasaje a per cápita con la población urbana total proyectada del INDEC, interpolada a meses desde su serie trimestral.</w:t>
      </w:r>
    </w:p>
    <w:p>
      <w:pPr>
        <w:pStyle w:val="Compact"/>
        <w:numPr>
          <w:ilvl w:val="0"/>
          <w:numId w:val="1063"/>
        </w:numPr>
      </w:pPr>
      <w:r>
        <w:t xml:space="preserve">Componente del índice: el resultado rebaseado a 100 = promedio del 4º trimestre de 2023 (menos vehículos por habitante = deterioro).</w:t>
      </w:r>
    </w:p>
    <w:p>
      <w:pPr>
        <w:pStyle w:val="Compact"/>
        <w:numPr>
          <w:ilvl w:val="0"/>
          <w:numId w:val="1063"/>
        </w:numPr>
      </w:pPr>
      <w:r>
        <w:t xml:space="preserve">Se excluye Tierra del Fuego de las dos series. La provincia inscribió unas 29.000 motos en un solo año contra menos de 900 en cada uno de los dos anteriores, concentradas en ocho meses: es un movimiento registral de su régimen de promoción industrial, no compras de hogares fueguinos. La exclusión se aplica a la provincia entera y a toda la serie, porque recortar sólo los meses anómalos exigiría un umbral, y cualquier umbral que atrape una carga fiscal también atrapa un mes de cuarentena.</w:t>
      </w:r>
    </w:p>
    <w:p>
      <w:pPr>
        <w:pStyle w:val="Compact"/>
        <w:numPr>
          <w:ilvl w:val="0"/>
          <w:numId w:val="1063"/>
        </w:numPr>
      </w:pPr>
      <w:r>
        <w:t xml:space="preserve">Es el único componente EXENTO del techo de recorte de 140 que rige para el resto del índice. Con un peso efectivo de 0,89%, si llegara a 170 aportaría 0,27 puntos del índice por encima de ese techo: la compensación ya queda acotada por el peso. Y contra una base tomada en el 4º trimestre de 2023 —el fondo del congelamiento previo a la devaluación— el nivel 140 no marca un valor extremo: dos tercios de los meses de la década anterior lo habrían superado.</w:t>
      </w:r>
    </w:p>
    <w:bookmarkEnd w:id="176"/>
    <w:bookmarkStart w:id="177" w:name="X8797a617a46fa23875915c569ac62b6d653dda8"/>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142,9</w:t>
      </w:r>
      <w:r>
        <w:t xml:space="preserve">.</w:t>
      </w:r>
    </w:p>
    <w:bookmarkEnd w:id="177"/>
    <w:bookmarkStart w:id="178" w:name="datos-concretos-detrás-del-valor-15"/>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64"/>
        </w:numPr>
      </w:pPr>
      <w:r>
        <w:t xml:space="preserve">El informe publica el valor (30,9 vehículos 0km por cada 1.000 habitantes (12 meses)) pero no los números que lo componen: la fuente entrega la serie ya calculada. Para auditar el dato hay que ir a la operación estadística citada más arriba.</w:t>
      </w:r>
    </w:p>
    <w:bookmarkEnd w:id="178"/>
    <w:bookmarkStart w:id="179" w:name="color-vigente-y-por-qué-15"/>
    <w:p>
      <w:pPr>
        <w:pStyle w:val="Heading2"/>
      </w:pPr>
      <w:r>
        <w:t xml:space="preserve">Color vigente y por qué</w:t>
      </w:r>
    </w:p>
    <w:p>
      <w:pPr>
        <w:pStyle w:val="FirstParagraph"/>
      </w:pPr>
      <w:r>
        <w:t xml:space="preserve">Dato vigente: 30,9 vehículos 0km por cada 1.000 habitantes (12 meses) (2026-07).</w:t>
      </w:r>
    </w:p>
    <w:p>
      <w:pPr>
        <w:pStyle w:val="BodyText"/>
      </w:pPr>
      <w:r>
        <w:t xml:space="preserve">Más acceso, con la mezcla corriéndose a la moto: en los últimos doce meses se patentaron 1,35 millones de vehículos 0 km (15,0% interanual): 562 mil autos (−2,0%) y 790 mil motos (31,2%). Las motos son el 58,4% de lo que se patenta, contra 51,6% al arranque del mandato. El total sube, así que no es que los hogares bajen del auto a la moto —eso dejaría el total plano—: entran hogares que antes no patentaban nada. Que entren en dos ruedas y no en cuatro es el dato que conviene mirar aparte.</w:t>
      </w:r>
    </w:p>
    <w:p>
      <w:pPr>
        <w:pStyle w:val="BodyText"/>
      </w:pPr>
      <w:r>
        <w:rPr>
          <w:b/>
          <w:bCs/>
        </w:rPr>
        <w:t xml:space="preserve">Color vigente: VERDE</w:t>
      </w:r>
    </w:p>
    <w:p>
      <w:pPr>
        <w:pStyle w:val="BodyText"/>
      </w:pPr>
      <w:r>
        <w:t xml:space="preserve">Ponderación vigente en el ITCIS: 0,9 % efectivo. El color es una lectura adicional — no reemplaza ni cambia esta ponderación.</w:t>
      </w:r>
    </w:p>
    <w:bookmarkEnd w:id="179"/>
    <w:bookmarkStart w:id="180" w:name="transparencia-limitaciones-declaradas-15"/>
    <w:p>
      <w:pPr>
        <w:pStyle w:val="Heading2"/>
      </w:pPr>
      <w:r>
        <w:t xml:space="preserve">Transparencia — limitaciones declaradas</w:t>
      </w:r>
    </w:p>
    <w:p>
      <w:pPr>
        <w:pStyle w:val="Compact"/>
        <w:numPr>
          <w:ilvl w:val="0"/>
          <w:numId w:val="1065"/>
        </w:numPr>
      </w:pPr>
      <w:r>
        <w:t xml:space="preserve">Es un FLUJO de altas, no el parque circulante: cuenta los vehículos que se incorporan, no los que hay. Un hogar que conserva el auto que ya tenía no aparece.</w:t>
      </w:r>
    </w:p>
    <w:p>
      <w:pPr>
        <w:pStyle w:val="Compact"/>
        <w:numPr>
          <w:ilvl w:val="0"/>
          <w:numId w:val="1065"/>
        </w:numPr>
      </w:pPr>
      <w:r>
        <w:t xml:space="preserve">Cuenta unidades, no gama ni precio: un auto de entrada de gama y uno caro se registran igual, y una moto pesa lo mismo que un auto en la suma. El registro no publica cilindrada ni valor, así que separar gamas exigiría otra fuente.</w:t>
      </w:r>
    </w:p>
    <w:p>
      <w:pPr>
        <w:pStyle w:val="Compact"/>
        <w:numPr>
          <w:ilvl w:val="0"/>
          <w:numId w:val="1065"/>
        </w:numPr>
      </w:pPr>
      <w:r>
        <w:t xml:space="preserve">Es una compra financiada: responde tanto al crédito prendario y a las condiciones de importación como al ingreso de los hogares. No distingue un hogar que puede más de un hogar que consigue cuota.</w:t>
      </w:r>
    </w:p>
    <w:p>
      <w:pPr>
        <w:pStyle w:val="Compact"/>
        <w:numPr>
          <w:ilvl w:val="0"/>
          <w:numId w:val="1065"/>
        </w:numPr>
      </w:pPr>
      <w:r>
        <w:t xml:space="preserve">La composición no es neutral, y el indicador no la puntúa. Los índices de pobreza multidimensional de referencia tratan al automóvil como un activo cuya sola tenencia saca al hogar de la privación, y a la motocicleta como un activo menor; los índices de riqueza que estiman el peso de cada bien en vez de suponerlo le asignan a la moto alrededor de un quinto del peso del auto. La escalera de activos existe y tiene peldaños. Que el total suba mientras la mezcla se corre a la moto es acceso y descenso de peldaño a la vez, y el color sólo refleja lo primero.</w:t>
      </w:r>
    </w:p>
    <w:p>
      <w:pPr>
        <w:pStyle w:val="Compact"/>
        <w:numPr>
          <w:ilvl w:val="0"/>
          <w:numId w:val="1065"/>
        </w:numPr>
      </w:pPr>
      <w:r>
        <w:t xml:space="preserve">Una suba del total puede venir de precios relativos y no de ingreso. El precio de adquirir un vehículo cayó en términos reales mientras el del transporte público más que se duplicó, así que parte de la motorización es un desplazamiento forzado desde el colectivo y no una mejora del bolsillo. El componente no separa esos dos motores.</w:t>
      </w:r>
    </w:p>
    <w:p>
      <w:pPr>
        <w:pStyle w:val="Compact"/>
        <w:numPr>
          <w:ilvl w:val="0"/>
          <w:numId w:val="1065"/>
        </w:numPr>
      </w:pPr>
      <w:r>
        <w:t xml:space="preserve">La inscripción es del registro seccional donde se hace el trámite, que no siempre coincide con dónde vive el comprador — la apertura por jurisdicción sirve para composición, no para geografía del consumo.</w:t>
      </w:r>
    </w:p>
    <w:p>
      <w:pPr>
        <w:pStyle w:val="Compact"/>
        <w:numPr>
          <w:ilvl w:val="0"/>
          <w:numId w:val="1065"/>
        </w:numPr>
      </w:pPr>
      <w:r>
        <w:t xml:space="preserve">Es un proxy de consumo durable, no de bienestar general.</w:t>
      </w:r>
    </w:p>
    <w:bookmarkEnd w:id="180"/>
    <w:bookmarkStart w:id="181" w:name="X0c45de6897a5612009ee621684988b95b96a817"/>
    <w:p>
      <w:pPr>
        <w:pStyle w:val="Heading2"/>
      </w:pPr>
      <w:r>
        <w:t xml:space="preserve">Si falta el dato / Política de revisiones</w:t>
      </w:r>
    </w:p>
    <w:p>
      <w:pPr>
        <w:numPr>
          <w:ilvl w:val="0"/>
          <w:numId w:val="1066"/>
        </w:numPr>
      </w:pPr>
      <w:r>
        <w:rPr>
          <w:b/>
          <w:bCs/>
        </w:rPr>
        <w:t xml:space="preserve">Si falta el dato:</w:t>
      </w:r>
      <w:r>
        <w:t xml:space="preserve"> </w:t>
      </w:r>
      <w:r>
        <w:t xml:space="preserve">El colector levanta excepción ante cualquier cambio de forma de la fuente —una columna que falta, un mes a medio cargar, una jurisdicción que cambia de nombre— en vez de publicar una serie recortada. Con la fuente caída, la card mantiene el último valor como desactualizado y la serie conserva sus puntos anteriores.</w:t>
      </w:r>
    </w:p>
    <w:p>
      <w:pPr>
        <w:numPr>
          <w:ilvl w:val="0"/>
          <w:numId w:val="1066"/>
        </w:numPr>
      </w:pPr>
      <w:r>
        <w:rPr>
          <w:b/>
          <w:bCs/>
        </w:rPr>
        <w:t xml:space="preserve">Política de revisiones:</w:t>
      </w:r>
      <w:r>
        <w:t xml:space="preserve"> </w:t>
      </w:r>
      <w:r>
        <w:t xml:space="preserve">Los dos archivos publican su histórico completo y se releen enteros en cada corrida, así que una corrección de la fuente se incorpora sola.</w:t>
      </w:r>
    </w:p>
    <w:bookmarkEnd w:id="181"/>
    <w:bookmarkStart w:id="182" w:name="X4ab0c5eb5abca5f38141be4205cfacb1b6608f5"/>
    <w:p>
      <w:pPr>
        <w:pStyle w:val="Heading2"/>
      </w:pPr>
      <w:r>
        <w:t xml:space="preserve">Historial — cambios metodológicos documentados</w:t>
      </w:r>
    </w:p>
    <w:p>
      <w:pPr>
        <w:pStyle w:val="FirstParagraph"/>
      </w:pPr>
      <w:r>
        <w:rPr>
          <w:b/>
          <w:bCs/>
        </w:rPr>
        <w:t xml:space="preserve">2026-07-03</w:t>
      </w:r>
      <w:r>
        <w:t xml:space="preserve"> </w:t>
      </w:r>
      <w:r>
        <w:t xml:space="preserve">— Entra al ITCIS el patentamiento de motos con rebase simple del flujo mensual; el mismo día pasa al acumulado móvil de 12 meses por la estacionalidad.</w:t>
      </w:r>
    </w:p>
    <w:p>
      <w:pPr>
        <w:pStyle w:val="BodyText"/>
      </w:pPr>
      <w:r>
        <w:rPr>
          <w:b/>
          <w:bCs/>
        </w:rPr>
        <w:t xml:space="preserve">2026-07-04</w:t>
      </w:r>
      <w:r>
        <w:t xml:space="preserve"> </w:t>
      </w:r>
      <w:r>
        <w:t xml:space="preserve">— Se aplica al componente de motos el techo de recorte 140 y su peso interno baja de 10% a 5%.</w:t>
      </w:r>
    </w:p>
    <w:p>
      <w:pPr>
        <w:pStyle w:val="BodyText"/>
      </w:pPr>
      <w:r>
        <w:rPr>
          <w:b/>
          <w:bCs/>
        </w:rPr>
        <w:t xml:space="preserve">2026-08-21</w:t>
      </w:r>
      <w:r>
        <w:t xml:space="preserve"> </w:t>
      </w:r>
      <w:r>
        <w:t xml:space="preserve">— Entra el patentamiento de autos como componente espejo, con el mismo peso y la misma transformación que motos (ADR-0223).</w:t>
      </w:r>
    </w:p>
    <w:p>
      <w:pPr>
        <w:pStyle w:val="BodyText"/>
      </w:pPr>
      <w:r>
        <w:rPr>
          <w:b/>
          <w:bCs/>
        </w:rPr>
        <w:t xml:space="preserve">2026-08-21</w:t>
      </w:r>
      <w:r>
        <w:t xml:space="preserve"> </w:t>
      </w:r>
      <w:r>
        <w:t xml:space="preserve">— Los dos vehículos se funden en la motorización total per cápita, que toma el peso combinado de ambos; autos y motos dejan de ser tarjetas y pasan a explicar el color desde adentro (ADR-0224). El motivo es que ninguna de las dos series por separado distingue acceso de descenso de categoría, y el total sí. Con el cambio, el componente deja de estar apoyado contra el techo de recorte —del que queda exento— y vuelve a moverse con la fuente. La fuente de motos pasa de la cámara al registro, que es lo único que permite excluir el movimiento registral de Tierra del Fuego.</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82"/>
    <w:bookmarkEnd w:id="183"/>
    <w:bookmarkStart w:id="193" w:name="ventas-en-supermercados"/>
    <w:p>
      <w:pPr>
        <w:pStyle w:val="Heading1"/>
      </w:pPr>
      <w:r>
        <w:t xml:space="preserve">Ventas en supermercados</w:t>
      </w:r>
    </w:p>
    <w:p>
      <w:pPr>
        <w:pStyle w:val="FirstParagraph"/>
      </w:pPr>
      <w:r>
        <w:t xml:space="preserve">Cuánto compra la gente en los supermercados una vez descontada la inflación: el índice de ventas a precios constantes que publica el INDEC en su serie desestacionalizada. En el ITCIS puntúa rebaseado a 100 = 4T-2023.</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83,2 índice (2004 = 100, desestacionalizado)</w:t>
            </w:r>
            <w:r>
              <w:t xml:space="preserve"> </w:t>
            </w:r>
            <w:r>
              <w:t xml:space="preserve">(2026-05)</w:t>
            </w:r>
          </w:p>
        </w:tc>
        <w:tc>
          <w:tcPr/>
          <w:p>
            <w:pPr>
              <w:pStyle w:val="Compact"/>
            </w:pPr>
            <w:r>
              <w:rPr>
                <w:b/>
                <w:bCs/>
              </w:rPr>
              <w:t xml:space="preserve">NARANJA</w:t>
            </w:r>
          </w:p>
        </w:tc>
        <w:tc>
          <w:tcPr/>
          <w:p>
            <w:pPr>
              <w:pStyle w:val="Compact"/>
            </w:pPr>
            <w:r>
              <w:t xml:space="preserve">Peso efectivo 5,6 % del ITCIS</w:t>
            </w:r>
          </w:p>
        </w:tc>
        <w:tc>
          <w:tcPr/>
          <w:p>
            <w:pPr>
              <w:pStyle w:val="Compact"/>
            </w:pPr>
            <w:r>
              <w:t xml:space="preserve">Cinturón Impacto social</w:t>
            </w:r>
          </w:p>
        </w:tc>
      </w:tr>
    </w:tbl>
    <w:bookmarkStart w:id="184" w:name="identificación-16"/>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consumo_supermercados</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Ingresos y consumo</w:t>
            </w:r>
          </w:p>
        </w:tc>
        <w:tc>
          <w:tcPr/>
          <w:p>
            <w:pPr>
              <w:pStyle w:val="Compact"/>
            </w:pPr>
            <w:r>
              <w:rPr>
                <w:b/>
                <w:bCs/>
              </w:rPr>
              <w:t xml:space="preserve">UNIDAD DE MEDIDA</w:t>
            </w:r>
          </w:p>
        </w:tc>
        <w:tc>
          <w:tcPr/>
          <w:p>
            <w:pPr>
              <w:pStyle w:val="Compact"/>
            </w:pPr>
            <w:r>
              <w:t xml:space="preserve">índice (2004 = 100, desestacionalizado)</w:t>
            </w:r>
          </w:p>
        </w:tc>
      </w:tr>
      <w:tr>
        <w:tc>
          <w:tcPr/>
          <w:p>
            <w:pPr>
              <w:pStyle w:val="Compact"/>
            </w:pPr>
            <w:r>
              <w:rPr>
                <w:b/>
                <w:bCs/>
              </w:rPr>
              <w:t xml:space="preserve">SERIE DISPONIBLE</w:t>
            </w:r>
          </w:p>
        </w:tc>
        <w:tc>
          <w:tcPr/>
          <w:p>
            <w:pPr>
              <w:pStyle w:val="Compact"/>
            </w:pPr>
            <w:r>
              <w:t xml:space="preserve">2017-01 → 2026-05 (113 puntos)</w:t>
            </w:r>
          </w:p>
        </w:tc>
        <w:tc>
          <w:tcPr/>
          <w:p>
            <w:pPr>
              <w:pStyle w:val="Compact"/>
            </w:pPr>
            <w:r>
              <w:rPr>
                <w:b/>
                <w:bCs/>
              </w:rPr>
              <w:t xml:space="preserve">REZAGO DE PUBLICACIÓN</w:t>
            </w:r>
          </w:p>
        </w:tc>
        <w:tc>
          <w:tcPr/>
          <w:p>
            <w:pPr>
              <w:pStyle w:val="Compact"/>
            </w:pPr>
            <w:r>
              <w:t xml:space="preserve">Encadena dos demoras y por eso es de las cards más lentas del cinturón: el INDEC publica el mes de referencia unos 52 días después de terminado, y la API de series tarda unas dos semanas más en espejarlo. El último punto disponible tiene entre tres y cuatro meses según en qué parte de ese ciclo caiga la corrida.</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Encuesta de supermercados — ventas a precios constantes, serie desestacionalizada</w:t>
            </w:r>
          </w:p>
        </w:tc>
      </w:tr>
      <w:tr>
        <w:tc>
          <w:tcPr/>
          <w:p>
            <w:pPr>
              <w:pStyle w:val="Compact"/>
            </w:pPr>
            <w:r>
              <w:rPr>
                <w:b/>
                <w:bCs/>
              </w:rPr>
              <w:t xml:space="preserve">MODO DE ACCESO</w:t>
            </w:r>
          </w:p>
        </w:tc>
        <w:tc>
          <w:tcPr/>
          <w:p>
            <w:pPr>
              <w:pStyle w:val="Compact"/>
            </w:pPr>
            <w:r>
              <w:t xml:space="preserve">Automático: API pública sin credenciales.</w:t>
            </w:r>
          </w:p>
        </w:tc>
        <w:tc>
          <w:tcPr/>
          <w:p>
            <w:pPr>
              <w:pStyle w:val="Compact"/>
            </w:pPr>
            <w:r>
              <w:rPr>
                <w:b/>
                <w:bCs/>
              </w:rPr>
              <w:t xml:space="preserve">ÚLTIMA ACTUALIZACIÓN</w:t>
            </w:r>
          </w:p>
        </w:tc>
        <w:tc>
          <w:tcPr/>
          <w:p>
            <w:pPr>
              <w:pStyle w:val="Compact"/>
            </w:pPr>
            <w:r>
              <w:t xml:space="preserve">Dato a 2026-05 · informe generado el 2026-08-21</w:t>
            </w:r>
          </w:p>
        </w:tc>
      </w:tr>
    </w:tbl>
    <w:bookmarkEnd w:id="184"/>
    <w:bookmarkStart w:id="185" w:name="definición-qué-mide-y-por-qué-importa-16"/>
    <w:p>
      <w:pPr>
        <w:pStyle w:val="Heading2"/>
      </w:pPr>
      <w:r>
        <w:t xml:space="preserve">Definición — qué mide y por qué importa</w:t>
      </w:r>
    </w:p>
    <w:p>
      <w:pPr>
        <w:pStyle w:val="FirstParagraph"/>
      </w:pPr>
      <w:r>
        <w:t xml:space="preserve">Cuánto compra la gente en los supermercados una vez descontada la inflación: el índice de ventas a precios constantes que publica el INDEC en su serie desestacionalizada. En el ITCIS puntúa rebaseado a 100 = 4T-2023.</w:t>
      </w:r>
    </w:p>
    <w:p>
      <w:pPr>
        <w:pStyle w:val="BodyText"/>
      </w:pPr>
      <w:r>
        <w:t xml:space="preserve">Es el único componente del cinturón que mide volumen efectivamente comprado. Todos los demás miden lo que entra (ingresos), lo que cuesta (precios), de dónde viene el ingreso (empleo), lo que no se paga (mora) o lo que se opina (percepción): ninguno mira lo que el hogar se llevó de la góndola. Cubre comercio registrado de cadenas, así que no ve el almacén de barrio ni el comercio informal.</w:t>
      </w:r>
    </w:p>
    <w:p>
      <w:pPr>
        <w:pStyle w:val="BodyText"/>
      </w:pPr>
      <w:r>
        <w:rPr>
          <w:b/>
          <w:bCs/>
        </w:rPr>
        <w:t xml:space="preserve">Dimensión que integra — Ingresos y consumo.</w:t>
      </w:r>
      <w:r>
        <w:t xml:space="preserve"> </w:t>
      </w:r>
      <w:r>
        <w:t xml:space="preserve">Si el sueldo alcanza y qué compra: la brecha entre el salario y la canasta de pobreza, la pobreza estimada mes a mes, y tres termómetros de bolsillo —las ventas de supermercados a precios constantes, el consumo de carne y la motorización total, que suma autos y motos 0 km por habitante— que se mueven con el poder de compra.</w:t>
      </w:r>
    </w:p>
    <w:bookmarkEnd w:id="185"/>
    <w:bookmarkStart w:id="186" w:name="método-de-cómputo-16"/>
    <w:p>
      <w:pPr>
        <w:pStyle w:val="Heading2"/>
      </w:pPr>
      <w:r>
        <w:t xml:space="preserve">Método de cómputo</w:t>
      </w:r>
    </w:p>
    <w:p>
      <w:pPr>
        <w:pStyle w:val="Compact"/>
        <w:numPr>
          <w:ilvl w:val="0"/>
          <w:numId w:val="1067"/>
        </w:numPr>
      </w:pPr>
      <w:r>
        <w:t xml:space="preserve">Componente del índice: el índice de la fuente rebaseado a 100 = promedio del 4º trimestre de 2023 (más volumen comprado = mejora).</w:t>
      </w:r>
    </w:p>
    <w:p>
      <w:pPr>
        <w:pStyle w:val="Compact"/>
        <w:numPr>
          <w:ilvl w:val="0"/>
          <w:numId w:val="1067"/>
        </w:numPr>
      </w:pPr>
      <w:r>
        <w:t xml:space="preserve">Se usa la serie DESESTACIONALIZADA que publica el propio INDEC y no se la vuelve a suavizar. No es un detalle de implementación: aplanar la serie original con una media móvil de 12 meses la atrasa medio año, y ese atraso llega a invertir el signo de la relación — está medido, y es la razón por la que la regla del proyecto es tomar el ajuste estacional de la fuente antes que fabricarlo.</w:t>
      </w:r>
    </w:p>
    <w:p>
      <w:pPr>
        <w:pStyle w:val="Compact"/>
        <w:numPr>
          <w:ilvl w:val="0"/>
          <w:numId w:val="1067"/>
        </w:numPr>
      </w:pPr>
      <w:r>
        <w:t xml:space="preserve">Tampoco lleva promedio móvil de 12 meses, a diferencia de los patentamientos: esa transformación existe para sacarle el calendario a un flujo crudo, y acá el calendario ya está sacado.</w:t>
      </w:r>
    </w:p>
    <w:bookmarkEnd w:id="186"/>
    <w:bookmarkStart w:id="187" w:name="X73e3f854e4b8e082811c0c543bcdb6fb29273d5"/>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91,2</w:t>
      </w:r>
      <w:r>
        <w:t xml:space="preserve">.</w:t>
      </w:r>
    </w:p>
    <w:bookmarkEnd w:id="187"/>
    <w:bookmarkStart w:id="188" w:name="datos-concretos-detrás-del-valor-16"/>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68"/>
        </w:numPr>
      </w:pPr>
      <w:r>
        <w:t xml:space="preserve">El informe publica el valor (83,2 índice (2004 = 100, desestacionalizado)) pero no los números que lo componen: la fuente entrega la serie ya calculada. Para auditar el dato hay que ir a la operación estadística citada más arriba.</w:t>
      </w:r>
    </w:p>
    <w:bookmarkEnd w:id="188"/>
    <w:bookmarkStart w:id="189" w:name="color-vigente-y-por-qué-16"/>
    <w:p>
      <w:pPr>
        <w:pStyle w:val="Heading2"/>
      </w:pPr>
      <w:r>
        <w:t xml:space="preserve">Color vigente y por qué</w:t>
      </w:r>
    </w:p>
    <w:p>
      <w:pPr>
        <w:pStyle w:val="FirstParagraph"/>
      </w:pPr>
      <w:r>
        <w:t xml:space="preserve">Dato vigente: 83,2 índice (2004 = 100, desestacionalizado) (2026-05).</w:t>
      </w:r>
    </w:p>
    <w:p>
      <w:pPr>
        <w:pStyle w:val="BodyText"/>
      </w:pPr>
      <w:r>
        <w:t xml:space="preserve">El componente está en 91,2 sobre la base 100 del 4º trimestre de 2023 — de 85 a 95 —, que es el tramo NARANJA.</w:t>
      </w:r>
    </w:p>
    <w:p>
      <w:pPr>
        <w:pStyle w:val="BodyText"/>
      </w:pPr>
      <w:r>
        <w:rPr>
          <w:b/>
          <w:bCs/>
        </w:rPr>
        <w:t xml:space="preserve">Color vigente: NARANJA</w:t>
      </w:r>
    </w:p>
    <w:p>
      <w:pPr>
        <w:pStyle w:val="BodyText"/>
      </w:pPr>
      <w:r>
        <w:t xml:space="preserve">Ponderación vigente en el ITCIS: 5,6 % efectivo. El color es una lectura adicional — no reemplaza ni cambia esta ponderación.</w:t>
      </w:r>
    </w:p>
    <w:bookmarkEnd w:id="189"/>
    <w:bookmarkStart w:id="190" w:name="transparencia-limitaciones-declaradas-16"/>
    <w:p>
      <w:pPr>
        <w:pStyle w:val="Heading2"/>
      </w:pPr>
      <w:r>
        <w:t xml:space="preserve">Transparencia — limitaciones declaradas</w:t>
      </w:r>
    </w:p>
    <w:p>
      <w:pPr>
        <w:pStyle w:val="Compact"/>
        <w:numPr>
          <w:ilvl w:val="0"/>
          <w:numId w:val="1069"/>
        </w:numPr>
      </w:pPr>
      <w:r>
        <w:t xml:space="preserve">Cubre comercio registrado de cadenas de supermercados: no ve el almacén de barrio, la feria ni el comercio informal, que es justamente donde se refugia parte del gasto cuando el ingreso se estrecha.</w:t>
      </w:r>
    </w:p>
    <w:p>
      <w:pPr>
        <w:pStyle w:val="Compact"/>
        <w:numPr>
          <w:ilvl w:val="0"/>
          <w:numId w:val="1069"/>
        </w:numPr>
      </w:pPr>
      <w:r>
        <w:t xml:space="preserve">Tampoco ve el traslado de compras al canal mayorista y de descuento. Ese canal se mueve en sentido contrario —comprar ahí es señal de ajuste, no de holgura— y por eso no se suma a este componente; se sigue publicando aparte, en el panel de contraste externo del cinturón.</w:t>
      </w:r>
    </w:p>
    <w:p>
      <w:pPr>
        <w:pStyle w:val="Compact"/>
        <w:numPr>
          <w:ilvl w:val="0"/>
          <w:numId w:val="1069"/>
        </w:numPr>
      </w:pPr>
      <w:r>
        <w:t xml:space="preserve">«A precios constantes» significa deflactado con índices de precios del propio INDEC, así que comparte insumo con el componente de precios de los alimentos. El solapamiento está declarado y medido: entre los dos la correlación es +0,558 en niveles y +0,058 al mirar los cambios mes a mes.</w:t>
      </w:r>
    </w:p>
    <w:p>
      <w:pPr>
        <w:pStyle w:val="Compact"/>
        <w:numPr>
          <w:ilvl w:val="0"/>
          <w:numId w:val="1069"/>
        </w:numPr>
      </w:pPr>
      <w:r>
        <w:t xml:space="preserve">Mide cantidad vendida, no calidad de lo comprado: un carrito que cambia primera marca por segunda a igual volumen se registra igual.</w:t>
      </w:r>
    </w:p>
    <w:bookmarkEnd w:id="190"/>
    <w:bookmarkStart w:id="191" w:name="X7a06634bdbc93c4680ba63361d07c52d56fc14d"/>
    <w:p>
      <w:pPr>
        <w:pStyle w:val="Heading2"/>
      </w:pPr>
      <w:r>
        <w:t xml:space="preserve">Si falta el dato / Política de revisiones</w:t>
      </w:r>
    </w:p>
    <w:p>
      <w:pPr>
        <w:numPr>
          <w:ilvl w:val="0"/>
          <w:numId w:val="1070"/>
        </w:numPr>
      </w:pPr>
      <w:r>
        <w:rPr>
          <w:b/>
          <w:bCs/>
        </w:rPr>
        <w:t xml:space="preserve">Si falta el dato:</w:t>
      </w:r>
      <w:r>
        <w:t xml:space="preserve"> </w:t>
      </w:r>
      <w:r>
        <w:t xml:space="preserve">El colector levanta excepción si la serie no trae los tres meses de la base del 4º trimestre de 2023, en lugar de rebasear contra lo que haya: sin base, el componente mediría contra otra cosa sin que nada avisara. Con la fuente caída, la card mantiene el último valor como desactualizado.</w:t>
      </w:r>
    </w:p>
    <w:p>
      <w:pPr>
        <w:numPr>
          <w:ilvl w:val="0"/>
          <w:numId w:val="1070"/>
        </w:numPr>
      </w:pPr>
      <w:r>
        <w:rPr>
          <w:b/>
          <w:bCs/>
        </w:rPr>
        <w:t xml:space="preserve">Política de revisiones:</w:t>
      </w:r>
      <w:r>
        <w:t xml:space="preserve"> </w:t>
      </w:r>
      <w:r>
        <w:t xml:space="preserve">La API devuelve el histórico completo en cada corrida, así que una revisión del INDEC —habituales en las series desestacionalizadas, que se recalculan al agregar meses— se incorpora sola y sin dejar huella de la versión anterior.</w:t>
      </w:r>
    </w:p>
    <w:bookmarkEnd w:id="191"/>
    <w:bookmarkStart w:id="192" w:name="X04b1f2d7b7764debfd14097dcda10f65a82388c"/>
    <w:p>
      <w:pPr>
        <w:pStyle w:val="Heading2"/>
      </w:pPr>
      <w:r>
        <w:t xml:space="preserve">Historial — cambios metodológicos documentados</w:t>
      </w:r>
    </w:p>
    <w:p>
      <w:pPr>
        <w:pStyle w:val="FirstParagraph"/>
      </w:pPr>
      <w:r>
        <w:rPr>
          <w:b/>
          <w:bCs/>
        </w:rPr>
        <w:t xml:space="preserve">2026-08-21</w:t>
      </w:r>
      <w:r>
        <w:t xml:space="preserve"> </w:t>
      </w:r>
      <w:r>
        <w:t xml:space="preserve">— Entra al ITCIS con 20% de la dimensión de ingresos y consumo, y los cinco componentes previos ceden proporcionalmente conservando su orden relativo (ADR-0225). Venía de ser el ancla de validación externa del cinturón: mide condiciones materiales del hogar, así que integra el índice en vez de juzgarlo — la misma regla que había sacado a la confianza del consumidor de ese papel.</w:t>
      </w:r>
    </w:p>
    <w:p>
      <w:r>
        <w:br w:type="page"/>
      </w:r>
    </w:p>
    <w:p>
      <w:pPr>
        <w:pStyle w:val="BodyText"/>
      </w:pPr>
      <w:r>
        <w:rPr>
          <w:b/>
          <w:bCs/>
        </w:rPr>
        <w:t xml:space="preserve">CIGOB · INFORME DE COYUNTURA</w:t>
      </w:r>
    </w:p>
    <w:p>
      <w:pPr>
        <w:pStyle w:val="BodyText"/>
      </w:pPr>
      <w:r>
        <w:rPr>
          <w:i/>
          <w:iCs/>
        </w:rPr>
        <w:t xml:space="preserve">Ficha metodológica · Cinturón Impacto social · Capa de semáforo (4 colores)</w:t>
      </w:r>
    </w:p>
    <w:bookmarkEnd w:id="192"/>
    <w:bookmarkEnd w:id="193"/>
    <w:bookmarkStart w:id="203" w:name="mora-de-las-familias"/>
    <w:p>
      <w:pPr>
        <w:pStyle w:val="Heading1"/>
      </w:pPr>
      <w:r>
        <w:t xml:space="preserve">Mora de las familias</w:t>
      </w:r>
    </w:p>
    <w:p>
      <w:pPr>
        <w:pStyle w:val="FirstParagraph"/>
      </w:pPr>
      <w:r>
        <w:t xml:space="preserve">Qué porcentaje del crédito de consumo de las familias (préstamos personales y tarjetas) está en situación irregular — con atrasos de pago —, ponderado por el saldo de cada línea.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14,52 % de la cartera en situación irregular</w:t>
            </w:r>
            <w:r>
              <w:t xml:space="preserve"> </w:t>
            </w:r>
            <w:r>
              <w:t xml:space="preserve">(2026-05)</w:t>
            </w:r>
          </w:p>
        </w:tc>
        <w:tc>
          <w:tcPr/>
          <w:p>
            <w:pPr>
              <w:pStyle w:val="Compact"/>
            </w:pPr>
            <w:r>
              <w:rPr>
                <w:b/>
                <w:bCs/>
              </w:rPr>
              <w:t xml:space="preserve">ROJO</w:t>
            </w:r>
          </w:p>
        </w:tc>
        <w:tc>
          <w:tcPr/>
          <w:p>
            <w:pPr>
              <w:pStyle w:val="Compact"/>
            </w:pPr>
            <w:r>
              <w:t xml:space="preserve">Peso efectivo 10 % del ITCIS</w:t>
            </w:r>
          </w:p>
        </w:tc>
        <w:tc>
          <w:tcPr/>
          <w:p>
            <w:pPr>
              <w:pStyle w:val="Compact"/>
            </w:pPr>
            <w:r>
              <w:t xml:space="preserve">Cinturón Impacto social</w:t>
            </w:r>
          </w:p>
        </w:tc>
      </w:tr>
    </w:tbl>
    <w:bookmarkStart w:id="194" w:name="identificación-17"/>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mora_familias</w:t>
            </w:r>
          </w:p>
        </w:tc>
        <w:tc>
          <w:tcPr/>
          <w:p>
            <w:pPr>
              <w:pStyle w:val="Compact"/>
            </w:pPr>
            <w:r>
              <w:rPr>
                <w:b/>
                <w:bCs/>
              </w:rPr>
              <w:t xml:space="preserve">CINTURÓN</w:t>
            </w:r>
          </w:p>
        </w:tc>
        <w:tc>
          <w:tcPr/>
          <w:p>
            <w:pPr>
              <w:pStyle w:val="Compact"/>
            </w:pPr>
            <w:r>
              <w:t xml:space="preserve">Impacto social</w:t>
            </w:r>
          </w:p>
        </w:tc>
      </w:tr>
      <w:tr>
        <w:tc>
          <w:tcPr/>
          <w:p>
            <w:pPr>
              <w:pStyle w:val="Compact"/>
            </w:pPr>
            <w:r>
              <w:rPr>
                <w:b/>
                <w:bCs/>
              </w:rPr>
              <w:t xml:space="preserve">DIMENSIÓN EN EL ITCIS</w:t>
            </w:r>
          </w:p>
        </w:tc>
        <w:tc>
          <w:tcPr/>
          <w:p>
            <w:pPr>
              <w:pStyle w:val="Compact"/>
            </w:pPr>
            <w:r>
              <w:t xml:space="preserve">Vulnerabilidad financiera</w:t>
            </w:r>
          </w:p>
        </w:tc>
        <w:tc>
          <w:tcPr/>
          <w:p>
            <w:pPr>
              <w:pStyle w:val="Compact"/>
            </w:pPr>
            <w:r>
              <w:rPr>
                <w:b/>
                <w:bCs/>
              </w:rPr>
              <w:t xml:space="preserve">UNIDAD DE MEDIDA</w:t>
            </w:r>
          </w:p>
        </w:tc>
        <w:tc>
          <w:tcPr/>
          <w:p>
            <w:pPr>
              <w:pStyle w:val="Compact"/>
            </w:pPr>
            <w:r>
              <w:t xml:space="preserve">% de la cartera en situación irregular</w:t>
            </w:r>
          </w:p>
        </w:tc>
      </w:tr>
      <w:tr>
        <w:tc>
          <w:tcPr/>
          <w:p>
            <w:pPr>
              <w:pStyle w:val="Compact"/>
            </w:pPr>
            <w:r>
              <w:rPr>
                <w:b/>
                <w:bCs/>
              </w:rPr>
              <w:t xml:space="preserve">SERIE DISPONIBLE</w:t>
            </w:r>
          </w:p>
        </w:tc>
        <w:tc>
          <w:tcPr/>
          <w:p>
            <w:pPr>
              <w:pStyle w:val="Compact"/>
            </w:pPr>
            <w:r>
              <w:t xml:space="preserve">2021-07 → 2026-05 (59 puntos)</w:t>
            </w:r>
          </w:p>
        </w:tc>
        <w:tc>
          <w:tcPr/>
          <w:p>
            <w:pPr>
              <w:pStyle w:val="Compact"/>
            </w:pPr>
            <w:r>
              <w:rPr>
                <w:b/>
                <w:bCs/>
              </w:rPr>
              <w:t xml:space="preserve">REZAGO DE PUBLICACIÓN</w:t>
            </w:r>
          </w:p>
        </w:tc>
        <w:tc>
          <w:tcPr/>
          <w:p>
            <w:pPr>
              <w:pStyle w:val="Compact"/>
            </w:pPr>
            <w:r>
              <w:t xml:space="preserve">El anexo del Informe sobre Bancos se publica con ~2 meses de rezago.</w:t>
            </w:r>
          </w:p>
        </w:tc>
      </w:tr>
      <w:tr>
        <w:tc>
          <w:tcPr/>
          <w:p>
            <w:pPr>
              <w:pStyle w:val="Compact"/>
            </w:pPr>
            <w:r>
              <w:rPr>
                <w:b/>
                <w:bCs/>
              </w:rPr>
              <w:t xml:space="preserve">PRODUCTOR DEL DATO</w:t>
            </w:r>
          </w:p>
        </w:tc>
        <w:tc>
          <w:tcPr/>
          <w:p>
            <w:pPr>
              <w:pStyle w:val="Compact"/>
            </w:pPr>
            <w:r>
              <w:t xml:space="preserve">BCRA</w:t>
            </w:r>
          </w:p>
        </w:tc>
        <w:tc>
          <w:tcPr/>
          <w:p>
            <w:pPr>
              <w:pStyle w:val="Compact"/>
            </w:pPr>
            <w:r>
              <w:rPr>
                <w:b/>
                <w:bCs/>
              </w:rPr>
              <w:t xml:space="preserve">OPERACIÓN ESTADÍSTICA</w:t>
            </w:r>
          </w:p>
        </w:tc>
        <w:tc>
          <w:tcPr/>
          <w:p>
            <w:pPr>
              <w:pStyle w:val="Compact"/>
            </w:pPr>
            <w:r>
              <w:t xml:space="preserve">Anexo del Informe sobre Bancos — planilla de calidad de cartera, sección Familias: ratio de irregularidad y saldos de préstamos personales y tarjetas</w:t>
            </w:r>
          </w:p>
        </w:tc>
      </w:tr>
      <w:tr>
        <w:tc>
          <w:tcPr/>
          <w:p>
            <w:pPr>
              <w:pStyle w:val="Compact"/>
            </w:pPr>
            <w:r>
              <w:rPr>
                <w:b/>
                <w:bCs/>
              </w:rPr>
              <w:t xml:space="preserve">MODO DE ACCESO</w:t>
            </w:r>
          </w:p>
        </w:tc>
        <w:tc>
          <w:tcPr/>
          <w:p>
            <w:pPr>
              <w:pStyle w:val="Compact"/>
            </w:pPr>
            <w:r>
              <w:t xml:space="preserve">Automático: lectura de la planilla oficial; el titular es el último punto de la serie mensual.</w:t>
            </w:r>
          </w:p>
        </w:tc>
        <w:tc>
          <w:tcPr/>
          <w:p>
            <w:pPr>
              <w:pStyle w:val="Compact"/>
            </w:pPr>
            <w:r>
              <w:rPr>
                <w:b/>
                <w:bCs/>
              </w:rPr>
              <w:t xml:space="preserve">ÚLTIMA ACTUALIZACIÓN</w:t>
            </w:r>
          </w:p>
        </w:tc>
        <w:tc>
          <w:tcPr/>
          <w:p>
            <w:pPr>
              <w:pStyle w:val="Compact"/>
            </w:pPr>
            <w:r>
              <w:t xml:space="preserve">Dato a 2026-05 · informe generado el 2026-08-21</w:t>
            </w:r>
          </w:p>
        </w:tc>
      </w:tr>
    </w:tbl>
    <w:bookmarkEnd w:id="194"/>
    <w:bookmarkStart w:id="195" w:name="definición-qué-mide-y-por-qué-importa-17"/>
    <w:p>
      <w:pPr>
        <w:pStyle w:val="Heading2"/>
      </w:pPr>
      <w:r>
        <w:t xml:space="preserve">Definición — qué mide y por qué importa</w:t>
      </w:r>
    </w:p>
    <w:p>
      <w:pPr>
        <w:pStyle w:val="FirstParagraph"/>
      </w:pPr>
      <w:r>
        <w:t xml:space="preserve">Qué porcentaje del crédito de consumo de las familias (préstamos personales y tarjetas) está en situación irregular — con atrasos de pago —, ponderado por el saldo de cada línea.</w:t>
      </w:r>
    </w:p>
    <w:p>
      <w:pPr>
        <w:pStyle w:val="BodyText"/>
      </w:pPr>
      <w:r>
        <w:t xml:space="preserve">Es la señal directa de estrés financiero de los hogares: la deuda puede crecer por acceso sano o por necesidad, pero la mora que se dispara solo tiene una lectura. Puntúa invertida: más mora, peor.</w:t>
      </w:r>
    </w:p>
    <w:p>
      <w:pPr>
        <w:pStyle w:val="BodyText"/>
      </w:pPr>
      <w:r>
        <w:rPr>
          <w:b/>
          <w:bCs/>
        </w:rPr>
        <w:t xml:space="preserve">Dimensión que integra — Vulnerabilidad financiera.</w:t>
      </w:r>
      <w:r>
        <w:t xml:space="preserve"> </w:t>
      </w:r>
      <w:r>
        <w:t xml:space="preserve">Cuán expuestas están las familias por su deuda de consumo, medida por la mora de esa cartera: qué proporción del crédito de consumo está en situación irregular. Es la única señal de la dimensión desde que el stock de deuda salió del índice — el nivel de deuda no distingue acceso de fragilidad, la mora sí.</w:t>
      </w:r>
    </w:p>
    <w:bookmarkEnd w:id="195"/>
    <w:bookmarkStart w:id="196" w:name="método-de-cómputo-17"/>
    <w:p>
      <w:pPr>
        <w:pStyle w:val="Heading2"/>
      </w:pPr>
      <w:r>
        <w:t xml:space="preserve">Método de cómputo</w:t>
      </w:r>
    </w:p>
    <w:p>
      <w:pPr>
        <w:pStyle w:val="Compact"/>
        <w:numPr>
          <w:ilvl w:val="0"/>
          <w:numId w:val="1071"/>
        </w:numPr>
      </w:pPr>
      <w:r>
        <w:t xml:space="preserve">Mora ponderada: el ratio de irregularidad de préstamos personales y el de tarjetas de crédito se combinan según el saldo de cada línea.</w:t>
      </w:r>
    </w:p>
    <w:p>
      <w:pPr>
        <w:pStyle w:val="Compact"/>
        <w:numPr>
          <w:ilvl w:val="0"/>
          <w:numId w:val="1071"/>
        </w:numPr>
      </w:pPr>
      <w:r>
        <w:t xml:space="preserve">En el ITCIS puntúa por el nivel relativo al 4º trimestre de 2023 (índice base 100), invertido: más mora que en la base, peor puntaje.</w:t>
      </w:r>
    </w:p>
    <w:p>
      <w:pPr>
        <w:pStyle w:val="Compact"/>
        <w:numPr>
          <w:ilvl w:val="0"/>
          <w:numId w:val="1071"/>
        </w:numPr>
      </w:pPr>
      <w:r>
        <w:t xml:space="preserve">Sin piso de recorte, igual que el resto de los componentes: el deterioro no se maquilla.</w:t>
      </w:r>
    </w:p>
    <w:bookmarkEnd w:id="196"/>
    <w:bookmarkStart w:id="197" w:name="X388ce3d9170137e5f29d481c4dabba9f3d23523"/>
    <w:p>
      <w:pPr>
        <w:pStyle w:val="Heading2"/>
      </w:pPr>
      <w:r>
        <w:t xml:space="preserve">Semáforo — valores que determinan el color</w:t>
      </w:r>
    </w:p>
    <w:p>
      <w:pPr>
        <w:pStyle w:val="FirstParagraph"/>
      </w:pPr>
      <w:r>
        <w:t xml:space="preserve">Este cinturón no usa tablas de bandas por indicador: el componente entra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(índice base 100 = 4º trim. 2023)</w:t>
            </w:r>
          </w:p>
        </w:tc>
        <w:tc>
          <w:tcPr/>
          <w:p>
            <w:pPr>
              <w:pStyle w:val="Compact"/>
            </w:pPr>
            <w:r>
              <w:t xml:space="preserve">Color</w:t>
            </w:r>
          </w:p>
        </w:tc>
      </w:tr>
      <w:tr>
        <w:tc>
          <w:tcPr/>
          <w:p>
            <w:pPr>
              <w:pStyle w:val="Compact"/>
            </w:pPr>
            <w:r>
              <w:t xml:space="preserve">105 o más</w:t>
            </w:r>
          </w:p>
        </w:tc>
        <w:tc>
          <w:tcPr/>
          <w:p>
            <w:pPr>
              <w:pStyle w:val="Compact"/>
            </w:pPr>
            <w:r>
              <w:t xml:space="preserve">VERDE</w:t>
            </w:r>
          </w:p>
        </w:tc>
      </w:tr>
      <w:tr>
        <w:tc>
          <w:tcPr/>
          <w:p>
            <w:pPr>
              <w:pStyle w:val="Compact"/>
            </w:pPr>
            <w:r>
              <w:t xml:space="preserve">de 95 a 105</w:t>
            </w:r>
          </w:p>
        </w:tc>
        <w:tc>
          <w:tcPr/>
          <w:p>
            <w:pPr>
              <w:pStyle w:val="Compact"/>
            </w:pPr>
            <w:r>
              <w:t xml:space="preserve">AMARILLO</w:t>
            </w:r>
          </w:p>
        </w:tc>
      </w:tr>
      <w:tr>
        <w:tc>
          <w:tcPr/>
          <w:p>
            <w:pPr>
              <w:pStyle w:val="Compact"/>
            </w:pPr>
            <w:r>
              <w:t xml:space="preserve">de 85 a 95</w:t>
            </w:r>
          </w:p>
        </w:tc>
        <w:tc>
          <w:tcPr/>
          <w:p>
            <w:pPr>
              <w:pStyle w:val="Compact"/>
            </w:pPr>
            <w:r>
              <w:t xml:space="preserve">NARANJA</w:t>
            </w:r>
          </w:p>
        </w:tc>
      </w:tr>
      <w:tr>
        <w:tc>
          <w:tcPr/>
          <w:p>
            <w:pPr>
              <w:pStyle w:val="Compact"/>
            </w:pPr>
            <w:r>
              <w:t xml:space="preserve">menos de 85</w:t>
            </w:r>
          </w:p>
        </w:tc>
        <w:tc>
          <w:tcPr/>
          <w:p>
            <w:pPr>
              <w:pStyle w:val="Compact"/>
            </w:pPr>
            <w:r>
              <w:t xml:space="preserve">ROJO</w:t>
            </w:r>
          </w:p>
        </w:tc>
      </w:tr>
    </w:tbl>
    <w:p>
      <w:pPr>
        <w:pStyle w:val="BodyText"/>
      </w:pPr>
      <w:r>
        <w:t xml:space="preserve">Este componente está hoy en</w:t>
      </w:r>
      <w:r>
        <w:t xml:space="preserve"> </w:t>
      </w:r>
      <w:r>
        <w:rPr>
          <w:b/>
          <w:bCs/>
        </w:rPr>
        <w:t xml:space="preserve">17,2</w:t>
      </w:r>
      <w:r>
        <w:t xml:space="preserve">.</w:t>
      </w:r>
    </w:p>
    <w:bookmarkEnd w:id="197"/>
    <w:bookmarkStart w:id="198" w:name="datos-concretos-detrás-del-valor-17"/>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72"/>
        </w:numPr>
      </w:pPr>
      <w:r>
        <w:t xml:space="preserve">Porcentaje del crédito de consumo de las familias (préstamos personales y tarjetas) con atrasos de pago, ponderado por el saldo de cada línea.</w:t>
      </w:r>
    </w:p>
    <w:bookmarkEnd w:id="198"/>
    <w:bookmarkStart w:id="199" w:name="color-vigente-y-por-qué-17"/>
    <w:p>
      <w:pPr>
        <w:pStyle w:val="Heading2"/>
      </w:pPr>
      <w:r>
        <w:t xml:space="preserve">Color vigente y por qué</w:t>
      </w:r>
    </w:p>
    <w:p>
      <w:pPr>
        <w:pStyle w:val="FirstParagraph"/>
      </w:pPr>
      <w:r>
        <w:t xml:space="preserve">Dato vigente: 14,52 % de la cartera en situación irregular (2026-05).</w:t>
      </w:r>
    </w:p>
    <w:p>
      <w:pPr>
        <w:pStyle w:val="BodyText"/>
      </w:pPr>
      <w:r>
        <w:t xml:space="preserve">El componente está en 17,2 sobre la base 100 del 4º trimestre de 2023 — menos de 85 —, que es el tramo ROJO. Está por debajo del punto donde la tensión toca 10, así que el semáforo ya no distingue deterioros adicionales: seguiría rojo igual.</w:t>
      </w:r>
    </w:p>
    <w:p>
      <w:pPr>
        <w:pStyle w:val="BodyText"/>
      </w:pPr>
      <w:r>
        <w:rPr>
          <w:b/>
          <w:bCs/>
        </w:rPr>
        <w:t xml:space="preserve">Color vigente: ROJO</w:t>
      </w:r>
    </w:p>
    <w:p>
      <w:pPr>
        <w:pStyle w:val="BodyText"/>
      </w:pPr>
      <w:r>
        <w:t xml:space="preserve">Ponderación vigente en el ITCIS: 10 % efectivo. El color es una lectura adicional — no reemplaza ni cambia esta ponderación.</w:t>
      </w:r>
    </w:p>
    <w:bookmarkEnd w:id="199"/>
    <w:bookmarkStart w:id="200" w:name="transparencia-limitaciones-declaradas-17"/>
    <w:p>
      <w:pPr>
        <w:pStyle w:val="Heading2"/>
      </w:pPr>
      <w:r>
        <w:t xml:space="preserve">Transparencia — limitaciones declaradas</w:t>
      </w:r>
    </w:p>
    <w:p>
      <w:pPr>
        <w:pStyle w:val="Compact"/>
        <w:numPr>
          <w:ilvl w:val="0"/>
          <w:numId w:val="1073"/>
        </w:numPr>
      </w:pPr>
      <w:r>
        <w:t xml:space="preserve">La mora de las familias se multiplicó por varias veces desde la base 4T-2023: el componente concentra buena parte del arrastre del índice, y así se publica.</w:t>
      </w:r>
    </w:p>
    <w:p>
      <w:pPr>
        <w:pStyle w:val="Compact"/>
        <w:numPr>
          <w:ilvl w:val="0"/>
          <w:numId w:val="1073"/>
        </w:numPr>
      </w:pPr>
      <w:r>
        <w:t xml:space="preserve">Cubre el crédito bancario regulado: no ve el endeudamiento no bancario (fintech, cadenas de consumo, prestamistas informales), donde el estrés suele ser mayor.</w:t>
      </w:r>
    </w:p>
    <w:p>
      <w:pPr>
        <w:pStyle w:val="Compact"/>
        <w:numPr>
          <w:ilvl w:val="0"/>
          <w:numId w:val="1073"/>
        </w:numPr>
      </w:pPr>
      <w:r>
        <w:t xml:space="preserve">El corte es la cartera consolidada del sistema, con el rezago de la planilla oficial.</w:t>
      </w:r>
    </w:p>
    <w:bookmarkEnd w:id="200"/>
    <w:bookmarkStart w:id="201" w:name="Xb990a90e77ada9cf1be6c4bb1f4609d3393a5e6"/>
    <w:p>
      <w:pPr>
        <w:pStyle w:val="Heading2"/>
      </w:pPr>
      <w:r>
        <w:t xml:space="preserve">Si falta el dato / Política de revisiones</w:t>
      </w:r>
    </w:p>
    <w:p>
      <w:pPr>
        <w:numPr>
          <w:ilvl w:val="0"/>
          <w:numId w:val="1074"/>
        </w:numPr>
      </w:pPr>
      <w:r>
        <w:rPr>
          <w:b/>
          <w:bCs/>
        </w:rPr>
        <w:t xml:space="preserve">Si falta el dato:</w:t>
      </w:r>
      <w:r>
        <w:t xml:space="preserve"> </w:t>
      </w:r>
      <w:r>
        <w:t xml:space="preserve">Si la planilla no está disponible, la serie conserva sus puntos previos y el titular queda en el último mes publicado. Es el único componente de su dimensión, así que no hay con qué renormalizar dentro de ella: si se quedara sin dato, la dimensión entera no se calcula y su diez por ciento se reparte entre las otras cinco. Ese es el costo de haber dejado la dimensión con un solo indicador, y queda declarado.</w:t>
      </w:r>
    </w:p>
    <w:p>
      <w:pPr>
        <w:numPr>
          <w:ilvl w:val="0"/>
          <w:numId w:val="1074"/>
        </w:numPr>
      </w:pPr>
      <w:r>
        <w:rPr>
          <w:b/>
          <w:bCs/>
        </w:rPr>
        <w:t xml:space="preserve">Política de revisiones:</w:t>
      </w:r>
      <w:r>
        <w:t xml:space="preserve"> </w:t>
      </w:r>
      <w:r>
        <w:t xml:space="preserve">La planilla oficial se relee completa en cada actualización y adopta las revisiones del BCRA.</w:t>
      </w:r>
    </w:p>
    <w:bookmarkEnd w:id="201"/>
    <w:bookmarkStart w:id="202" w:name="Xc1dd7ba14d542f04ff8e5656404b4c5454960db"/>
    <w:p>
      <w:pPr>
        <w:pStyle w:val="Heading2"/>
      </w:pPr>
      <w:r>
        <w:t xml:space="preserve">Historial — cambios metodológicos documentados</w:t>
      </w:r>
    </w:p>
    <w:p>
      <w:pPr>
        <w:pStyle w:val="FirstParagraph"/>
      </w:pPr>
      <w:r>
        <w:rPr>
          <w:b/>
          <w:bCs/>
        </w:rPr>
        <w:t xml:space="preserve">2026-07-15</w:t>
      </w:r>
      <w:r>
        <w:t xml:space="preserve"> </w:t>
      </w:r>
      <w:r>
        <w:t xml:space="preserve">— Entra al ITCIS como indicador propio: hasta ahora la mora vivía adentro del componente de endeudamiento (deuda real × mora); separarla hace legible cada señal — acceso al crédito por un lado, estrés de pago por el otro — sin cambiar la información que el índice procesa.</w:t>
      </w:r>
    </w:p>
    <w:bookmarkEnd w:id="202"/>
    <w:bookmarkEnd w:id="20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Impacto social</dc:title>
  <dc:creator>Fundación CIGOB</dc:creator>
  <cp:keywords/>
  <dcterms:created xsi:type="dcterms:W3CDTF">2026-08-21T23:33:10Z</dcterms:created>
  <dcterms:modified xsi:type="dcterms:W3CDTF">2026-08-21T23:33:10Z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