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Fichas</w:t>
      </w:r>
      <w:r>
        <w:t xml:space="preserve"> </w:t>
      </w:r>
      <w:r>
        <w:t xml:space="preserve">metodológicas</w:t>
      </w:r>
      <w:r>
        <w:t xml:space="preserve"> </w:t>
      </w:r>
      <w:r>
        <w:t xml:space="preserve">·</w:t>
      </w:r>
      <w:r>
        <w:t xml:space="preserve"> </w:t>
      </w:r>
      <w:r>
        <w:t xml:space="preserve">Cinturón</w:t>
      </w:r>
      <w:r>
        <w:t xml:space="preserve"> </w:t>
      </w:r>
      <w:r>
        <w:t xml:space="preserve">Espíritu</w:t>
      </w:r>
      <w:r>
        <w:t xml:space="preserve"> </w:t>
      </w:r>
      <w:r>
        <w:t xml:space="preserve">de</w:t>
      </w:r>
      <w:r>
        <w:t xml:space="preserve"> </w:t>
      </w:r>
      <w:r>
        <w:t xml:space="preserve">época</w:t>
      </w:r>
    </w:p>
    <w:p>
      <w:pPr>
        <w:pStyle w:val="Subtitle"/>
      </w:pPr>
      <w:r>
        <w:t xml:space="preserve">Informe</w:t>
      </w:r>
      <w:r>
        <w:t xml:space="preserve"> </w:t>
      </w:r>
      <w:r>
        <w:t xml:space="preserve">de</w:t>
      </w:r>
      <w:r>
        <w:t xml:space="preserve"> </w:t>
      </w:r>
      <w:r>
        <w:t xml:space="preserve">Coyuntura</w:t>
      </w:r>
      <w:r>
        <w:t xml:space="preserve"> </w:t>
      </w:r>
      <w:r>
        <w:t xml:space="preserve">·</w:t>
      </w:r>
      <w:r>
        <w:t xml:space="preserve"> </w:t>
      </w:r>
      <w:r>
        <w:t xml:space="preserve">Capa</w:t>
      </w:r>
      <w:r>
        <w:t xml:space="preserve"> </w:t>
      </w:r>
      <w:r>
        <w:t xml:space="preserve">de</w:t>
      </w:r>
      <w:r>
        <w:t xml:space="preserve"> </w:t>
      </w:r>
      <w:r>
        <w:t xml:space="preserve">semáforo</w:t>
      </w:r>
      <w:r>
        <w:t xml:space="preserve"> </w:t>
      </w:r>
      <w:r>
        <w:t xml:space="preserve">(4</w:t>
      </w:r>
      <w:r>
        <w:t xml:space="preserve"> </w:t>
      </w:r>
      <w:r>
        <w:t xml:space="preserve">colores)</w:t>
      </w:r>
    </w:p>
    <w:p>
      <w:pPr>
        <w:pStyle w:val="Author"/>
      </w:pPr>
      <w:r>
        <w:t xml:space="preserve">Fundación</w:t>
      </w:r>
      <w:r>
        <w:t xml:space="preserve"> </w:t>
      </w:r>
      <w:r>
        <w:t xml:space="preserve">CIGOB</w:t>
      </w:r>
    </w:p>
    <w:p>
      <w:pPr>
        <w:pStyle w:val="FirstParagraph"/>
      </w:pPr>
      <w:r>
        <w:rPr>
          <w:bCs/>
          <w:b/>
        </w:rPr>
        <w:t xml:space="preserve">CIGOB · INFORME DE COYUNTURA</w:t>
      </w:r>
    </w:p>
    <w:bookmarkStart w:id="22" w:name="cinturón-espíritu-de-época-resumen"/>
    <w:p>
      <w:pPr>
        <w:pStyle w:val="Heading1"/>
        <w:keepNext/>
      </w:pPr>
      <w:r>
        <w:t xml:space="preserve">Cinturón Espíritu de época — resumen</w:t>
      </w:r>
    </w:p>
    <w:p>
      <w:pPr>
        <w:pStyle w:val="FirstParagraph"/>
      </w:pPr>
      <w:r>
        <w:t xml:space="preserve">Este documento tiene una ficha por indicador — acá hay una sola, y cada una arranca en página nueva. Antes de las fichas, el cinturón completo de un vistazo.</w:t>
      </w:r>
    </w:p>
    <w:bookmarkStart w:id="20" w:name="cómo-se-define-el-color"/>
    <w:p>
      <w:pPr>
        <w:pStyle w:val="Heading2"/>
        <w:keepNext/>
      </w:pPr>
      <w:r>
        <w:t xml:space="preserve">Cómo se define el color</w:t>
      </w:r>
    </w:p>
    <w:p>
      <w:pPr>
        <w:pStyle w:val="FirstParagraph"/>
      </w:pPr>
      <w:r>
        <w:t xml:space="preserve">Todos los colores de este documento —el del índice, el de cada dimensión y el de cada indicador— salen de una sola escala: la</w:t>
      </w:r>
      <w:r>
        <w:t xml:space="preserve"> </w:t>
      </w:r>
      <w:r>
        <w:rPr>
          <w:bCs/>
          <w:b/>
        </w:rPr>
        <w:t xml:space="preserve">tensión de 0 a 10</w:t>
      </w:r>
      <w:r>
        <w:t xml:space="preserve"> </w:t>
      </w:r>
      <w:r>
        <w:t xml:space="preserve">que publica el informe. Se parte en cuatro tramos y esos tramos son los mismos para todo.</w:t>
      </w:r>
    </w:p>
    <w:p>
      <w:pPr>
        <w:pStyle w:val="BodyText"/>
      </w:pPr>
      <w:r>
        <w:t xml:space="preserve">Este cinturón no arma un índice paramétrico, así que no tiene puntaje propio ni dimensiones: el color de su indicador sale directamente de la tensión. La columna del medio queda como referencia de cómo se lee la misma escala en los cinturones que sí tienen índice.</w:t>
      </w:r>
    </w:p>
    <w:tbl>
      <w:tblPr>
        <w:tblStyle w:val="Table"/>
        <w:tblW w:type="pct" w:w="0.0"/>
        <w:tblLayout w:type="autofit"/>
        <w:tblLook w:firstRow="1" w:lastRow="0" w:firstColumn="0" w:lastColumn="0" w:noHBand="0" w:noVBand="0" w:val="0020"/>
        <w:tblBorders>
          <w:top w:val="single" w:sz="4" w:color="D9DEDC"/>
          <w:left w:val="single" w:sz="4" w:color="D9DEDC"/>
          <w:bottom w:val="single" w:sz="4" w:color="D9DEDC"/>
          <w:right w:val="single" w:sz="4" w:color="D9DEDC"/>
          <w:insideH w:val="single" w:sz="4" w:color="D9DEDC"/>
          <w:insideV w:val="single" w:sz="4" w:color="D9DEDC"/>
        </w:tblBorders>
        <w:tblCellMar>
          <w:top w:w="80" w:type="dxa"/>
          <w:bottom w:w="80" w:type="dxa"/>
          <w:left w:w="140" w:type="dxa"/>
          <w:right w:w="140" w:type="dxa"/>
        </w:tblCellMar>
      </w:tblPr>
      <w:tblGrid/>
      <w:tr>
        <w:trPr>
          <w:cantSplit/>
          <w:tblHeader/>
        </w:trPr>
        <w:tc>
          <w:tcPr>
            <w:shd w:val="clear" w:color="auto" w:fill="1F3A34"/>
          </w:tcPr>
          <w:p>
            <w:pPr>
              <w:pStyle w:val="Compact"/>
              <w:jc w:val="left"/>
            </w:pPr>
            <w:r>
              <w:rPr>
                <w:b/>
                <w:sz w:val="18"/>
                <w:color w:val="FFFFFF"/>
              </w:rPr>
              <w:t xml:space="preserve">Tensión</w:t>
            </w:r>
          </w:p>
        </w:tc>
        <w:tc>
          <w:tcPr>
            <w:shd w:val="clear" w:color="auto" w:fill="1F3A34"/>
          </w:tcPr>
          <w:p>
            <w:pPr>
              <w:pStyle w:val="Compact"/>
              <w:jc w:val="left"/>
            </w:pPr>
            <w:r>
              <w:rPr>
                <w:b/>
                <w:sz w:val="18"/>
                <w:color w:val="FFFFFF"/>
              </w:rPr>
              <w:t xml:space="preserve">Puntaje en la escala de los índices (0 a 100)</w:t>
            </w:r>
          </w:p>
        </w:tc>
        <w:tc>
          <w:tcPr>
            <w:shd w:val="clear" w:color="auto" w:fill="1F3A34"/>
          </w:tcPr>
          <w:p>
            <w:pPr>
              <w:pStyle w:val="Compact"/>
              <w:jc w:val="left"/>
            </w:pPr>
            <w:r>
              <w:rPr>
                <w:b/>
                <w:sz w:val="18"/>
                <w:color w:val="FFFFFF"/>
              </w:rPr>
              <w:t xml:space="preserve">Color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hasta 4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60 o más</w:t>
            </w:r>
          </w:p>
        </w:tc>
        <w:tc>
          <w:tcPr>
            <w:shd w:val="clear" w:color="auto" w:fill="DCFCE7"/>
          </w:tcPr>
          <w:p>
            <w:pPr>
              <w:pStyle w:val="Compact"/>
              <w:jc w:val="center"/>
            </w:pPr>
            <w:r>
              <w:rPr>
                <w:b/>
                <w:sz w:val="18"/>
                <w:color w:val="14532D"/>
              </w:rPr>
              <w:t xml:space="preserve">VERDE</w:t>
            </w:r>
          </w:p>
        </w:tc>
      </w:tr>
      <w:tr>
        <w:trPr>
          <w:cantSplit/>
        </w:trPr>
        <w:tc>
          <w:tcPr>
            <w:shd w:val="clear" w:color="auto" w:fill="F6F8F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más de 4 y hasta 6</w:t>
            </w:r>
          </w:p>
        </w:tc>
        <w:tc>
          <w:tcPr>
            <w:shd w:val="clear" w:color="auto" w:fill="F6F8F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 40 a 60</w:t>
            </w:r>
          </w:p>
        </w:tc>
        <w:tc>
          <w:tcPr>
            <w:shd w:val="clear" w:color="auto" w:fill="FEF3C7"/>
          </w:tcPr>
          <w:p>
            <w:pPr>
              <w:pStyle w:val="Compact"/>
              <w:jc w:val="center"/>
            </w:pPr>
            <w:r>
              <w:rPr>
                <w:b/>
                <w:sz w:val="18"/>
                <w:color w:val="713F12"/>
              </w:rPr>
              <w:t xml:space="preserve">AMARILLO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más de 6 y hasta 8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de 20 a 40</w:t>
            </w:r>
          </w:p>
        </w:tc>
        <w:tc>
          <w:tcPr>
            <w:shd w:val="clear" w:color="auto" w:fill="FFEDD5"/>
          </w:tcPr>
          <w:p>
            <w:pPr>
              <w:pStyle w:val="Compact"/>
              <w:jc w:val="center"/>
            </w:pPr>
            <w:r>
              <w:rPr>
                <w:b/>
                <w:sz w:val="18"/>
                <w:color w:val="7C2D12"/>
              </w:rPr>
              <w:t xml:space="preserve">NARANJA</w:t>
            </w:r>
          </w:p>
        </w:tc>
      </w:tr>
      <w:tr>
        <w:trPr>
          <w:cantSplit/>
        </w:trPr>
        <w:tc>
          <w:tcPr>
            <w:shd w:val="clear" w:color="auto" w:fill="F6F8F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más de 8</w:t>
            </w:r>
          </w:p>
        </w:tc>
        <w:tc>
          <w:tcPr>
            <w:shd w:val="clear" w:color="auto" w:fill="F6F8F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menos de 20</w:t>
            </w:r>
          </w:p>
        </w:tc>
        <w:tc>
          <w:tcPr>
            <w:shd w:val="clear" w:color="auto" w:fill="FEE2E2"/>
          </w:tcPr>
          <w:p>
            <w:pPr>
              <w:pStyle w:val="Compact"/>
              <w:jc w:val="center"/>
            </w:pPr>
            <w:r>
              <w:rPr>
                <w:b/>
                <w:sz w:val="18"/>
                <w:color w:val="7F1D1D"/>
              </w:rPr>
              <w:t xml:space="preserve">ROJO</w:t>
            </w:r>
          </w:p>
        </w:tc>
      </w:tr>
    </w:tbl>
    <w:p>
      <w:pPr>
        <w:pStyle w:val="BodyText"/>
      </w:pPr>
      <w:r>
        <w:rPr>
          <w:bCs/>
          <w:b/>
        </w:rPr>
        <w:t xml:space="preserve">Cada indicador tiene además su propia tabla</w:t>
      </w:r>
      <w:r>
        <w:t xml:space="preserve">, en su unidad de medida —pesos, porcentaje, índice, lo que corresponda—, dentro de su ficha, bajo el título «Semáforo — valores que determinan el color». Ahí no hay ninguna escala intermedia: sólo el dato real y el color que le toca.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CIGOB · INFORME DE COYUNTURA</w:t>
      </w:r>
    </w:p>
    <w:p>
      <w:pPr>
        <w:pStyle w:val="BodyText"/>
      </w:pPr>
      <w:r>
        <w:t xml:space="preserve">Este cinturón no arma un índice paramétrico: sus indicadores se leen solos, sin puntaje agregado ni dimensiones ponderadas.</w:t>
      </w:r>
    </w:p>
    <w:p>
      <w:pPr>
        <w:pStyle w:val="BodyText"/>
      </w:pPr>
      <w:r>
        <w:t xml:space="preserve">Colores vigentes: 1 en verde.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CIGOB · INFORME DE COYUNTURA</w:t>
      </w:r>
    </w:p>
    <w:bookmarkEnd w:id="20"/>
    <w:bookmarkStart w:id="21" w:name="todos-los-indicadores"/>
    <w:p>
      <w:pPr>
        <w:pStyle w:val="Heading2"/>
        <w:keepNext/>
      </w:pPr>
      <w:r>
        <w:t xml:space="preserve">Todos los indicadores</w:t>
      </w:r>
    </w:p>
    <w:p>
      <w:pPr>
        <w:pStyle w:val="FirstParagraph"/>
      </w:pPr>
      <w:r>
        <w:t xml:space="preserve">Agrupados por dimensión. La columna de peso dice cuánto mueve cada indicador el índice del cinturón; el color es el del semáforo de este mes.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D9DEDC"/>
          <w:left w:val="single" w:sz="4" w:color="D9DEDC"/>
          <w:bottom w:val="single" w:sz="4" w:color="D9DEDC"/>
          <w:right w:val="single" w:sz="4" w:color="D9DEDC"/>
          <w:insideH w:val="single" w:sz="4" w:color="D9DEDC"/>
          <w:insideV w:val="single" w:sz="4" w:color="D9DEDC"/>
        </w:tblBorders>
        <w:tblCellMar>
          <w:top w:w="80" w:type="dxa"/>
          <w:bottom w:w="80" w:type="dxa"/>
          <w:left w:w="140" w:type="dxa"/>
          <w:right w:w="140" w:type="dxa"/>
        </w:tblCellMar>
      </w:tblPr>
      <w:tblGrid>
        <w:gridCol w:w="1980"/>
        <w:gridCol w:w="1980"/>
        <w:gridCol w:w="1980"/>
        <w:gridCol w:w="1980"/>
      </w:tblGrid>
      <w:tr>
        <w:trPr>
          <w:cantSplit/>
          <w:tblHeader/>
        </w:trPr>
        <w:tc>
          <w:tcPr>
            <w:shd w:val="clear" w:color="auto" w:fill="1F3A34"/>
          </w:tcPr>
          <w:p>
            <w:pPr>
              <w:pStyle w:val="Compact"/>
              <w:jc w:val="left"/>
            </w:pPr>
            <w:r>
              <w:rPr>
                <w:b/>
                <w:sz w:val="18"/>
                <w:color w:val="FFFFFF"/>
              </w:rPr>
              <w:t xml:space="preserve">Indicador</w:t>
            </w:r>
          </w:p>
        </w:tc>
        <w:tc>
          <w:tcPr>
            <w:shd w:val="clear" w:color="auto" w:fill="1F3A34"/>
          </w:tcPr>
          <w:p>
            <w:pPr>
              <w:pStyle w:val="Compact"/>
              <w:jc w:val="left"/>
            </w:pPr>
            <w:r>
              <w:rPr>
                <w:b/>
                <w:sz w:val="18"/>
                <w:color w:val="FFFFFF"/>
              </w:rPr>
              <w:t xml:space="preserve">Qué mide</w:t>
            </w:r>
          </w:p>
        </w:tc>
        <w:tc>
          <w:tcPr>
            <w:shd w:val="clear" w:color="auto" w:fill="1F3A34"/>
          </w:tcPr>
          <w:p>
            <w:pPr>
              <w:pStyle w:val="Compact"/>
              <w:jc w:val="left"/>
            </w:pPr>
            <w:r>
              <w:rPr>
                <w:b/>
                <w:sz w:val="18"/>
                <w:color w:val="FFFFFF"/>
              </w:rPr>
              <w:t xml:space="preserve">Hoy</w:t>
            </w:r>
          </w:p>
        </w:tc>
        <w:tc>
          <w:tcPr>
            <w:shd w:val="clear" w:color="auto" w:fill="1F3A34"/>
          </w:tcPr>
          <w:p>
            <w:pPr>
              <w:pStyle w:val="Compact"/>
              <w:jc w:val="left"/>
            </w:pPr>
            <w:r>
              <w:rPr>
                <w:b/>
                <w:sz w:val="18"/>
                <w:color w:val="FFFFFF"/>
              </w:rPr>
              <w:t xml:space="preserve">Color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Intención migratoria (Trends)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Cuánto se busca en internet sobre emigrar de Argentina (por ejemplo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emigrar de argentina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vivir en el exterior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7 interés 0–100 (canasta mensual)</w:t>
            </w:r>
          </w:p>
        </w:tc>
        <w:tc>
          <w:tcPr>
            <w:shd w:val="clear" w:color="auto" w:fill="DCFCE7"/>
          </w:tcPr>
          <w:p>
            <w:pPr>
              <w:pStyle w:val="Compact"/>
              <w:jc w:val="center"/>
            </w:pPr>
            <w:r>
              <w:rPr>
                <w:b/>
                <w:sz w:val="18"/>
                <w:color w:val="14532D"/>
              </w:rPr>
              <w:t xml:space="preserve">VERDE</w:t>
            </w:r>
          </w:p>
        </w:tc>
      </w:tr>
    </w:tbl>
    <w:p>
      <w:pPr>
        <w:pStyle w:val="BodyText"/>
      </w:pPr>
      <w:r>
        <w:rPr>
          <w:iCs/>
          <w:i/>
        </w:rPr>
        <w:t xml:space="preserve">Datos al 2026-08-09.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CIGOB · INFORME DE COYUNTURA</w:t>
      </w:r>
    </w:p>
    <w:p>
      <w:pPr>
        <w:pStyle w:val="BodyText"/>
      </w:pPr>
      <w:r>
        <w:rPr>
          <w:iCs/>
          <w:i/>
        </w:rPr>
        <w:t xml:space="preserve">Ficha metodológica · Cinturón Espíritu de época · Capa de semáforo (4 colores)</w:t>
      </w:r>
    </w:p>
    <w:bookmarkEnd w:id="21"/>
    <w:bookmarkEnd w:id="22"/>
    <w:bookmarkStart w:id="30" w:name="intención-migratoria-trends"/>
    <w:p>
      <w:pPr>
        <w:pStyle w:val="Heading1"/>
        <w:keepNext/>
      </w:pPr>
      <w:r>
        <w:t xml:space="preserve">Intención migratoria (Trends)</w:t>
      </w:r>
    </w:p>
    <w:p>
      <w:pPr>
        <w:pStyle w:val="FirstParagraph"/>
      </w:pPr>
      <w:r>
        <w:t xml:space="preserve">Cuánto se busca en internet sobre emigrar de Argentina (por ejemplo</w:t>
      </w:r>
      <w:r>
        <w:t xml:space="preserve"> </w:t>
      </w:r>
      <w:r>
        <w:t xml:space="preserve">“</w:t>
      </w:r>
      <w:r>
        <w:t xml:space="preserve">emigrar de argentina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vivir en el exterior</w:t>
      </w:r>
      <w:r>
        <w:t xml:space="preserve">”</w:t>
      </w:r>
      <w:r>
        <w:t xml:space="preserve">).</w:t>
      </w:r>
    </w:p>
    <w:tbl>
      <w:tblPr>
        <w:tblStyle w:val="Table"/>
        <w:tblW w:type="pct" w:w="5000.0"/>
        <w:tblLayout w:type="autofit"/>
        <w:tblLook w:firstRow="0" w:lastRow="0" w:firstColumn="0" w:lastColumn="0" w:noHBand="0" w:noVBand="0" w:val="0000"/>
        <w:tblBorders>
          <w:top w:val="single" w:sz="4" w:color="D9DEDC"/>
          <w:left w:val="single" w:sz="4" w:color="D9DEDC"/>
          <w:bottom w:val="single" w:sz="4" w:color="D9DEDC"/>
          <w:right w:val="single" w:sz="4" w:color="D9DEDC"/>
          <w:insideH w:val="single" w:sz="4" w:color="D9DEDC"/>
          <w:insideV w:val="single" w:sz="4" w:color="D9DEDC"/>
        </w:tblBorders>
        <w:tblCellMar>
          <w:top w:w="80" w:type="dxa"/>
          <w:bottom w:w="80" w:type="dxa"/>
          <w:left w:w="140" w:type="dxa"/>
          <w:right w:w="140" w:type="dxa"/>
        </w:tblCellMar>
      </w:tblPr>
      <w:tblGrid>
        <w:gridCol w:w="1980"/>
        <w:gridCol w:w="1980"/>
        <w:gridCol w:w="1980"/>
        <w:gridCol w:w="1980"/>
      </w:tblGrid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Hoy: 7 interés 0–100 (canasta mensual)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(2026-07)</w:t>
            </w:r>
          </w:p>
        </w:tc>
        <w:tc>
          <w:tcPr>
            <w:shd w:val="clear" w:color="auto" w:fill="DCFCE7"/>
          </w:tcPr>
          <w:p>
            <w:pPr>
              <w:pStyle w:val="Compact"/>
              <w:jc w:val="center"/>
            </w:pPr>
            <w:r>
              <w:rPr>
                <w:bCs/>
                <w:b/>
                <w:sz w:val="18"/>
                <w:color w:val="14532D"/>
              </w:rPr>
              <w:t xml:space="preserve">VERDE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Fuera del índice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Cinturón Espíritu de época</w:t>
            </w:r>
          </w:p>
        </w:tc>
      </w:tr>
    </w:tbl>
    <w:bookmarkStart w:id="23" w:name="identificación"/>
    <w:p>
      <w:pPr>
        <w:pStyle w:val="Heading2"/>
        <w:keepNext/>
      </w:pPr>
      <w:r>
        <w:t xml:space="preserve">Identificación</w:t>
      </w:r>
    </w:p>
    <w:tbl>
      <w:tblPr>
        <w:tblStyle w:val="Table"/>
        <w:tblW w:type="pct" w:w="5000.0"/>
        <w:tblLayout w:type="autofit"/>
        <w:tblLook w:firstRow="0" w:lastRow="0" w:firstColumn="0" w:lastColumn="0" w:noHBand="0" w:noVBand="0" w:val="0000"/>
        <w:tblBorders>
          <w:top w:val="single" w:sz="4" w:color="D9DEDC"/>
          <w:left w:val="single" w:sz="4" w:color="D9DEDC"/>
          <w:bottom w:val="single" w:sz="4" w:color="D9DEDC"/>
          <w:right w:val="single" w:sz="4" w:color="D9DEDC"/>
          <w:insideH w:val="single" w:sz="4" w:color="D9DEDC"/>
          <w:insideV w:val="single" w:sz="4" w:color="D9DEDC"/>
        </w:tblBorders>
        <w:tblCellMar>
          <w:top w:w="80" w:type="dxa"/>
          <w:bottom w:w="80" w:type="dxa"/>
          <w:left w:w="140" w:type="dxa"/>
          <w:right w:w="140" w:type="dxa"/>
        </w:tblCellMar>
      </w:tblPr>
      <w:tblGrid>
        <w:gridCol w:w="1980"/>
        <w:gridCol w:w="1980"/>
        <w:gridCol w:w="1980"/>
        <w:gridCol w:w="1980"/>
      </w:tblGrid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IDENTIFICADOR TÉCNICO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indice_intencion_migratoria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CINTURÓN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Espíritu de época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DIMENSIÓN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Este cinturón no arma un índice paramétrico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UNIDAD DE MEDIDA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interés 0–100 (canasta mensual)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SERIE DISPONIBLE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2021-01 → 2026-07 (66 puntos)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REZAGO DE PUBLICACIÓN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Hasta un mes: el mes en curso se descarta por incompleto; el dato se actualiza como máximo una vez por mes calendario.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PRODUCTOR DEL DATO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Google Trends (fuente no oficial)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OPERACIÓN ESTADÍSTICA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Interés de búsqueda en Argentina de una canasta de términos de intención de emigrar (por ejemplo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emigrar de argentina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vivir en el exterior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MODO DE ACCESO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Automático: consulta mensual de la canasta en ventana fija (2021 en adelante); cada descarga sana reemplaza el archivo completo — actualizaciones con escalas distintas nunca se mezclan.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ÚLTIMA ACTUALIZACIÓN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Dato a 2026-07 · informe generado el 2026-08-09</w:t>
            </w:r>
          </w:p>
        </w:tc>
      </w:tr>
    </w:tbl>
    <w:bookmarkEnd w:id="23"/>
    <w:bookmarkStart w:id="24" w:name="definición-qué-mide-y-por-qué-importa"/>
    <w:p>
      <w:pPr>
        <w:pStyle w:val="Heading2"/>
        <w:keepNext/>
      </w:pPr>
      <w:r>
        <w:t xml:space="preserve">Definición — qué mide y por qué importa</w:t>
      </w:r>
    </w:p>
    <w:p>
      <w:pPr>
        <w:pStyle w:val="FirstParagraph"/>
      </w:pPr>
      <w:r>
        <w:t xml:space="preserve">Cuánto se busca en internet sobre emigrar de Argentina (por ejemplo</w:t>
      </w:r>
      <w:r>
        <w:t xml:space="preserve"> </w:t>
      </w:r>
      <w:r>
        <w:t xml:space="preserve">“</w:t>
      </w:r>
      <w:r>
        <w:t xml:space="preserve">emigrar de argentina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vivir en el exterior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Es una señal más estructural que el sentimiento digital: no mide urgencia del momento, sino gente que dejó de creer en un cambio dentro del país. Es un proxy de atención, no de flujo migratorio real; por eso su card lo acompaña con la migración efectiva hacia los destinos principales, como contraste.</w:t>
      </w:r>
    </w:p>
    <w:bookmarkEnd w:id="24"/>
    <w:bookmarkStart w:id="25" w:name="método-de-cómputo"/>
    <w:p>
      <w:pPr>
        <w:pStyle w:val="Heading2"/>
        <w:keepNext/>
      </w:pPr>
      <w:r>
        <w:t xml:space="preserve">Método de cómputo</w:t>
      </w:r>
    </w:p>
    <w:p>
      <w:pPr>
        <w:numPr>
          <w:ilvl w:val="0"/>
          <w:numId w:val="1001"/>
        </w:numPr>
        <w:pStyle w:val="Compact"/>
      </w:pPr>
      <w:r>
        <w:t xml:space="preserve">La tensión es lineal en el interés de búsqueda: 0 → tensión 0 · 50 → tensión 5 · 100 → tensión 10.</w:t>
      </w:r>
    </w:p>
    <w:p>
      <w:pPr>
        <w:numPr>
          <w:ilvl w:val="0"/>
          <w:numId w:val="1001"/>
        </w:numPr>
        <w:pStyle w:val="Compact"/>
      </w:pPr>
      <w:r>
        <w:t xml:space="preserve">El cociente entre valores de una misma consulta cancela la renormalización de escala de la fuente, igual que en sentimiento digital.</w:t>
      </w:r>
    </w:p>
    <w:p>
      <w:pPr>
        <w:numPr>
          <w:ilvl w:val="0"/>
          <w:numId w:val="1001"/>
        </w:numPr>
        <w:pStyle w:val="Compact"/>
      </w:pPr>
      <w:r>
        <w:t xml:space="preserve">Se recolectan además canastas de contexto (ciudadanías, trabajo/visas, destinos y un diagnóstico de causa económica vs. estructural) y un desglose por provincia — ninguna de estas entra al puntaje: son insumo de lectura para el analista, no números publicados en la card.</w:t>
      </w:r>
    </w:p>
    <w:bookmarkEnd w:id="25"/>
    <w:bookmarkStart w:id="26" w:name="datos-concretos-detrás-del-valor"/>
    <w:p>
      <w:pPr>
        <w:pStyle w:val="Heading2"/>
        <w:keepNext/>
      </w:pPr>
      <w:r>
        <w:t xml:space="preserve">Datos concretos detrás del valor</w:t>
      </w:r>
    </w:p>
    <w:p>
      <w:pPr>
        <w:pStyle w:val="FirstParagraph"/>
      </w:pPr>
      <w:r>
        <w:t xml:space="preserve">Qué hay, específicamente, detrás del dato que define el color de este mes — o qué falta publicar para poder verificarlo con precisión.</w:t>
      </w:r>
    </w:p>
    <w:p>
      <w:pPr>
        <w:numPr>
          <w:ilvl w:val="0"/>
          <w:numId w:val="1002"/>
        </w:numPr>
        <w:pStyle w:val="Compact"/>
      </w:pPr>
      <w:r>
        <w:t xml:space="preserve">El informe publica el valor (7 interés 0–100 (canasta mensual)) pero no los números que lo componen: la fuente entrega la serie ya calculada. Para auditar el dato hay que ir a la operación estadística citada más arriba.</w:t>
      </w:r>
    </w:p>
    <w:bookmarkEnd w:id="26"/>
    <w:bookmarkStart w:id="27" w:name="transparencia-limitaciones-declaradas"/>
    <w:p>
      <w:pPr>
        <w:pStyle w:val="Heading2"/>
        <w:keepNext/>
      </w:pPr>
      <w:r>
        <w:t xml:space="preserve">Transparencia — limitaciones declaradas</w:t>
      </w:r>
    </w:p>
    <w:p>
      <w:pPr>
        <w:numPr>
          <w:ilvl w:val="0"/>
          <w:numId w:val="1003"/>
        </w:numPr>
        <w:pStyle w:val="Compact"/>
      </w:pPr>
      <w:r>
        <w:t xml:space="preserve">Mide intención expresada en la búsqueda, no un trámite ni una salida real del país: alguien puede buscar por curiosidad sin intención de emigrar.</w:t>
      </w:r>
    </w:p>
    <w:p>
      <w:pPr>
        <w:numPr>
          <w:ilvl w:val="0"/>
          <w:numId w:val="1003"/>
        </w:numPr>
        <w:pStyle w:val="Compact"/>
      </w:pPr>
      <w:r>
        <w:t xml:space="preserve">Por eso este indicador nunca se publica solo: su card en el tablero lo acompaña con un contraste de migración efectiva — seis registros administrativos de cinco destinos (visas de EE.UU., residencias permanentes de Canadá, nacionalizaciones de España, ciudadanías de Italia y residencias definitivas de Chile). El contraste no puntúa: mezcla flujos de naturaleza distinta y cada fuente publica con su propio calendario (las europeas y Chile son anuales; las series de EE.UU. llegan con rezago).</w:t>
      </w:r>
    </w:p>
    <w:p>
      <w:pPr>
        <w:numPr>
          <w:ilvl w:val="0"/>
          <w:numId w:val="1003"/>
        </w:numPr>
        <w:pStyle w:val="Compact"/>
      </w:pPr>
      <w:r>
        <w:t xml:space="preserve">Fuente no oficial con límites de consulta: si el servicio restringe el acceso, se mantiene el último valor del archivo propio.</w:t>
      </w:r>
    </w:p>
    <w:bookmarkEnd w:id="27"/>
    <w:bookmarkStart w:id="28" w:name="si-falta-el-dato-política-de-revisiones"/>
    <w:p>
      <w:pPr>
        <w:pStyle w:val="Heading2"/>
        <w:keepNext/>
      </w:pPr>
      <w:r>
        <w:t xml:space="preserve">Si falta el dato / Política de revisiones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Si falta el dato:</w:t>
      </w:r>
      <w:r>
        <w:t xml:space="preserve"> </w:t>
      </w:r>
      <w:r>
        <w:t xml:space="preserve">Con la fuente caída o sin el mes calendario todavía consultado, se mantiene el último valor del archivo propio, marcado como desactualizado.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Política de revisiones:</w:t>
      </w:r>
      <w:r>
        <w:t xml:space="preserve"> </w:t>
      </w:r>
      <w:r>
        <w:t xml:space="preserve">Reemplazo total del archivo en cada descarga sana; la fuente no revisa datos propiamente.</w:t>
      </w:r>
    </w:p>
    <w:bookmarkEnd w:id="28"/>
    <w:bookmarkStart w:id="29" w:name="Xa4c99cad3d412932a0237e958bf70f8f0cdbe7e"/>
    <w:p>
      <w:pPr>
        <w:pStyle w:val="Heading2"/>
        <w:keepNext/>
      </w:pPr>
      <w:r>
        <w:t xml:space="preserve">Historial — cambios metodológicos documentados</w:t>
      </w:r>
    </w:p>
    <w:p>
      <w:pPr>
        <w:pStyle w:val="FirstParagraph"/>
      </w:pPr>
      <w:r>
        <w:rPr>
          <w:bCs/>
          <w:b/>
        </w:rPr>
        <w:t xml:space="preserve">2026-07-10</w:t>
      </w:r>
      <w:r>
        <w:t xml:space="preserve"> </w:t>
      </w:r>
      <w:r>
        <w:t xml:space="preserve">— Cuarto indicador del cinturón espíritu de época: intención de emigrar vía Google Trends, distinta de la ansiedad económica inmediata que ya mide sentimiento digital.</w:t>
      </w:r>
    </w:p>
    <w:p>
      <w:pPr>
        <w:pStyle w:val="BodyText"/>
      </w:pPr>
      <w:r>
        <w:rPr>
          <w:bCs/>
          <w:b/>
        </w:rPr>
        <w:t xml:space="preserve">2026-07-10</w:t>
      </w:r>
      <w:r>
        <w:t xml:space="preserve"> </w:t>
      </w:r>
      <w:r>
        <w:t xml:space="preserve">— La card del indicador incorpora el contraste de migración real: seis registros administrativos de EE.UU., Canadá, España, Italia y Chile, que acompañan la lectura sin puntuar.</w:t>
      </w:r>
    </w:p>
    <w:p>
      <w:pPr>
        <w:pStyle w:val="BodyText"/>
      </w:pPr>
      <w:r>
        <w:rPr>
          <w:bCs/>
          <w:b/>
        </w:rPr>
        <w:t xml:space="preserve">2026-07-11</w:t>
      </w:r>
      <w:r>
        <w:t xml:space="preserve"> </w:t>
      </w:r>
      <w:r>
        <w:t xml:space="preserve">— Queda como único indicador del cinturón: la revisión editorial retiró del tablero las tres lecturas duplicadas de otros cinturones (confianza del consumidor, sentimiento digital y clima electoral), que se siguen registrando como seguimiento interno sin puntuar.</w:t>
      </w:r>
    </w:p>
    <w:bookmarkEnd w:id="29"/>
    <w:bookmarkEnd w:id="30"/>
    <w:sectPr>
      <w:headerReference r:id="rId9" w:type="default"/>
      <w:footerReference r:id="rId10" w:type="default"/>
      <w:pgMar w:bottom="1134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BFBFBF"/>
      </w:pBdr>
    </w:pPr>
    <w:r>
      <w:rPr>
        <w:rFonts w:ascii="Calibri" w:hAnsi="Calibri" w:cs="Calibri" w:eastAsia="Calibri"/>
        <w:color w:val="5F6360"/>
        <w:sz w:val="16"/>
      </w:rPr>
      <w:t xml:space="preserve">Fundación CiGob   ·   página </w:t>
    </w:r>
    <w:r>
      <w:rPr>
        <w:rFonts w:ascii="Calibri" w:hAnsi="Calibri" w:cs="Calibri" w:eastAsia="Calibri"/>
        <w:color w:val="5F6360"/>
        <w:sz w:val="16"/>
      </w:rPr>
      <w:fldChar w:fldCharType="begin"/>
      <w:instrText>PAGE</w:instrText>
      <w:fldChar w:fldCharType="end"/>
    </w:r>
    <w:r>
      <w:rPr>
        <w:rFonts w:ascii="Calibri" w:hAnsi="Calibri" w:cs="Calibri" w:eastAsia="Calibri"/>
        <w:color w:val="5F6360"/>
        <w:sz w:val="16"/>
      </w:rPr>
      <w:t xml:space="preserve"> de </w:t>
    </w:r>
    <w:r>
      <w:rPr>
        <w:rFonts w:ascii="Calibri" w:hAnsi="Calibri" w:cs="Calibri" w:eastAsia="Calibri"/>
        <w:color w:val="5F6360"/>
        <w:sz w:val="16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8" w:color="1D67CD"/>
      </w:pBdr>
    </w:pPr>
    <w:r>
      <w:drawing>
        <wp:inline xmlns:a="http://schemas.openxmlformats.org/drawingml/2006/main" xmlns:pic="http://schemas.openxmlformats.org/drawingml/2006/picture">
          <wp:extent cx="1196883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igob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6883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Calibri" w:cs="Calibri" w:eastAsia="Calibri" w:hAnsi="Calibri"/>
      <w:b w:val="0"/>
      <w:i w:val="0"/>
      <w:color w:val="3333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customStyle="1" w:styleId="Compact" w:type="paragraph">
    <w:name w:val="Compact"/>
    <w:basedOn w:val="BodyText"/>
    <w:qFormat/>
    <w:pPr>
      <w:spacing w:after="40" w:before="0"/>
    </w:pPr>
    <w:rPr>
      <w:rFonts w:ascii="Calibri" w:cs="Calibri" w:eastAsia="Calibri" w:hAnsi="Calibri"/>
      <w:b w:val="0"/>
      <w:i w:val="0"/>
      <w:color w:val="3333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F3D7A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360" w:before="0"/>
      <w:jc w:val="center"/>
    </w:pPr>
    <w:rPr>
      <w:rFonts w:ascii="Calibri" w:cs="Calibri" w:eastAsia="Calibri" w:hAnsi="Calibri"/>
      <w:b w:val="0"/>
      <w:i/>
      <w:color w:val="5F636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  <w:spacing w:after="40" w:before="0"/>
    </w:pPr>
    <w:rPr>
      <w:rFonts w:ascii="Calibri" w:cs="Calibri" w:eastAsia="Calibri" w:hAnsi="Calibri"/>
      <w:b w:val="0"/>
      <w:i/>
      <w:color w:val="5F6360"/>
      <w:sz w:val="22"/>
    </w:rPr>
  </w:style>
  <w:style w:styleId="Date" w:type="paragraph">
    <w:name w:val="Date"/>
    <w:next w:val="BodyText"/>
    <w:qFormat/>
    <w:pPr>
      <w:keepNext/>
      <w:keepLines/>
      <w:jc w:val="center"/>
      <w:spacing w:after="360" w:before="0"/>
    </w:pPr>
    <w:rPr>
      <w:rFonts w:ascii="Calibri" w:cs="Calibri" w:eastAsia="Calibri" w:hAnsi="Calibri"/>
      <w:b w:val="0"/>
      <w:i/>
      <w:color w:val="5F6360"/>
      <w:sz w:val="2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240" w:before="240"/>
    </w:pPr>
    <w:rPr>
      <w:rFonts w:ascii="Calibri" w:cs="Calibri" w:eastAsia="Calibri" w:hAnsi="Calibri"/>
      <w:b w:val="0"/>
      <w:i/>
      <w:color w:val="333333"/>
      <w:sz w:val="22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480"/>
      <w:outlineLvl w:val="0"/>
      <w:pBdr>
        <w:bottom w:color="1D67CD" w:space="4" w:sz="8" w:val="single"/>
      </w:pBdr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D67CD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D67C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F3D7A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Calibri" w:asciiTheme="majorHAnsi" w:cs="Calibri" w:cstheme="majorBidi" w:eastAsia="Calibri" w:eastAsiaTheme="majorEastAsia" w:hAnsi="Calibri" w:hAnsiTheme="majorHAnsi"/>
      <w:i/>
      <w:b/>
      <w:bCs/>
      <w:color w:val="333333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60"/>
      <w:outlineLvl w:val="4"/>
    </w:pPr>
    <w:rPr>
      <w:rFonts w:ascii="Calibri" w:asciiTheme="majorHAnsi" w:cs="Calibri" w:cstheme="majorBidi" w:eastAsia="Calibri" w:eastAsiaTheme="majorEastAsia" w:hAnsi="Calibri" w:hAnsiTheme="majorHAnsi"/>
      <w:b/>
      <w:i w:val="0"/>
      <w:iCs/>
      <w:color w:val="333333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60"/>
      <w:outlineLvl w:val="5"/>
    </w:pPr>
    <w:rPr>
      <w:rFonts w:ascii="Calibri" w:asciiTheme="majorHAnsi" w:cs="Calibri" w:cstheme="majorBidi" w:eastAsia="Calibri" w:eastAsiaTheme="majorEastAsia" w:hAnsi="Calibri" w:hAnsiTheme="majorHAnsi"/>
      <w:b w:val="0"/>
      <w:i/>
      <w:color w:val="5F6360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/>
      <w:ind w:firstLine="0" w:left="480" w:right="480"/>
    </w:pPr>
    <w:rPr>
      <w:rFonts w:ascii="Calibri" w:cs="Calibri" w:eastAsia="Calibri" w:hAnsi="Calibri"/>
      <w:b w:val="0"/>
      <w:i/>
      <w:color w:val="5F636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cs="Calibri" w:eastAsia="Calibri" w:hAnsi="Calibri"/>
      <w:b w:val="0"/>
      <w:i w:val="0"/>
      <w:color w:val="333333"/>
      <w:sz w:val="18"/>
    </w:rPr>
    <w:pPr>
      <w:spacing w:after="40" w:before="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120"/>
    </w:pPr>
    <w:rPr>
      <w:rFonts w:ascii="Calibri" w:cs="Calibri" w:eastAsia="Calibri" w:hAnsi="Calibri"/>
      <w:b/>
      <w:i w:val="0"/>
      <w:color w:val="0F3D7A"/>
      <w:sz w:val="22"/>
    </w:rPr>
  </w:style>
  <w:style w:customStyle="1" w:styleId="Definition" w:type="paragraph">
    <w:name w:val="Definition"/>
    <w:basedOn w:val="Normal"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styleId="Caption" w:type="paragraph">
    <w:name w:val="Caption"/>
    <w:basedOn w:val="Normal"/>
    <w:link w:val="BodyTextChar"/>
    <w:pPr>
      <w:spacing w:after="160" w:before="40"/>
    </w:pPr>
    <w:rPr>
      <w:rFonts w:ascii="Calibri" w:cs="Calibri" w:eastAsia="Calibri" w:hAnsi="Calibri"/>
      <w:b w:val="0"/>
      <w:i/>
      <w:color w:val="5F6360"/>
      <w:sz w:val="18"/>
    </w:rPr>
  </w:style>
  <w:style w:customStyle="1" w:styleId="TableCaption" w:type="paragraph">
    <w:name w:val="Table Caption"/>
    <w:basedOn w:val="Caption"/>
    <w:pPr>
      <w:keepNext/>
      <w:spacing w:after="160" w:before="40"/>
    </w:pPr>
    <w:rPr>
      <w:rFonts w:ascii="Calibri" w:cs="Calibri" w:eastAsia="Calibri" w:hAnsi="Calibri"/>
      <w:b w:val="0"/>
      <w:i/>
      <w:color w:val="5F6360"/>
      <w:sz w:val="18"/>
    </w:rPr>
  </w:style>
  <w:style w:customStyle="1" w:styleId="ImageCaption" w:type="paragraph">
    <w:name w:val="Image Caption"/>
    <w:basedOn w:val="Caption"/>
    <w:rPr>
      <w:rFonts w:ascii="Calibri" w:cs="Calibri" w:eastAsia="Calibri" w:hAnsi="Calibri"/>
      <w:b w:val="0"/>
      <w:i/>
      <w:color w:val="5F6360"/>
      <w:sz w:val="18"/>
    </w:rPr>
    <w:pPr>
      <w:spacing w:after="160" w:before="40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F3D7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D67C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Fichas metodológicas · Cinturón Espíritu de época</dc:title>
  <dc:creator>Fundación CIGOB</dc:creator>
  <cp:keywords/>
  <dcterms:created xsi:type="dcterms:W3CDTF">2026-08-09T23:32:15Z</dcterms:created>
  <dcterms:modified xsi:type="dcterms:W3CDTF">2026-08-09T23:32:15Z</dcterms:modified>
  <dc:description>fichas-cigob: estilado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Informe de Coyuntura · Capa de semáforo (4 colores)</vt:lpwstr>
  </property>
</Properties>
</file>