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Fichas</w:t>
      </w:r>
      <w:r>
        <w:t xml:space="preserve"> </w:t>
      </w:r>
      <w:r>
        <w:t xml:space="preserve">metodológicas</w:t>
      </w:r>
      <w:r>
        <w:t xml:space="preserve"> </w:t>
      </w:r>
      <w:r>
        <w:t xml:space="preserve">·</w:t>
      </w:r>
      <w:r>
        <w:t xml:space="preserve"> </w:t>
      </w:r>
      <w:r>
        <w:t xml:space="preserve">Cinturón</w:t>
      </w:r>
      <w:r>
        <w:t xml:space="preserve"> </w:t>
      </w:r>
      <w:r>
        <w:t xml:space="preserve">Gestión</w:t>
      </w:r>
    </w:p>
    <w:p>
      <w:pPr>
        <w:pStyle w:val="Subtitle"/>
      </w:pPr>
      <w:r>
        <w:t xml:space="preserve">Informe</w:t>
      </w:r>
      <w:r>
        <w:t xml:space="preserve"> </w:t>
      </w:r>
      <w:r>
        <w:t xml:space="preserve">de</w:t>
      </w:r>
      <w:r>
        <w:t xml:space="preserve"> </w:t>
      </w:r>
      <w:r>
        <w:t xml:space="preserve">Coyuntura</w:t>
      </w:r>
      <w:r>
        <w:t xml:space="preserve"> </w:t>
      </w:r>
      <w:r>
        <w:t xml:space="preserve">·</w:t>
      </w:r>
      <w:r>
        <w:t xml:space="preserve"> </w:t>
      </w:r>
      <w:r>
        <w:t xml:space="preserve">Capa</w:t>
      </w:r>
      <w:r>
        <w:t xml:space="preserve"> </w:t>
      </w:r>
      <w:r>
        <w:t xml:space="preserve">de</w:t>
      </w:r>
      <w:r>
        <w:t xml:space="preserve"> </w:t>
      </w:r>
      <w:r>
        <w:t xml:space="preserve">semáforo</w:t>
      </w:r>
      <w:r>
        <w:t xml:space="preserve"> </w:t>
      </w:r>
      <w:r>
        <w:t xml:space="preserve">(4</w:t>
      </w:r>
      <w:r>
        <w:t xml:space="preserve"> </w:t>
      </w:r>
      <w:r>
        <w:t xml:space="preserve">colores)</w:t>
      </w:r>
    </w:p>
    <w:p>
      <w:pPr>
        <w:pStyle w:val="Author"/>
      </w:pPr>
      <w:r>
        <w:t xml:space="preserve">Fundación</w:t>
      </w:r>
      <w:r>
        <w:t xml:space="preserve"> </w:t>
      </w:r>
      <w:r>
        <w:t xml:space="preserve">CIGOB</w:t>
      </w:r>
    </w:p>
    <w:p>
      <w:pPr>
        <w:pStyle w:val="FirstParagraph"/>
      </w:pPr>
      <w:r>
        <w:rPr>
          <w:bCs/>
          <w:b/>
        </w:rPr>
        <w:t xml:space="preserve">CIGOB · INFORME DE COYUNTURA</w:t>
      </w:r>
    </w:p>
    <w:bookmarkStart w:id="24" w:name="cinturón-gestión-resumen"/>
    <w:p>
      <w:pPr>
        <w:pStyle w:val="Heading1"/>
        <w:keepNext/>
      </w:pPr>
      <w:r>
        <w:t xml:space="preserve">Cinturón Gestión — resumen</w:t>
      </w:r>
    </w:p>
    <w:p>
      <w:pPr>
        <w:pStyle w:val="FirstParagraph"/>
      </w:pPr>
      <w:r>
        <w:t xml:space="preserve">Este documento tiene una ficha por indicador — son 14 en total, y cada una arranca en página nueva. Antes de las fichas, el cinturón completo de un vistazo.</w:t>
      </w:r>
    </w:p>
    <w:bookmarkStart w:id="20" w:name="cómo-se-define-el-color"/>
    <w:p>
      <w:pPr>
        <w:pStyle w:val="Heading2"/>
        <w:keepNext/>
      </w:pPr>
      <w:r>
        <w:t xml:space="preserve">Cómo se define el color</w:t>
      </w:r>
    </w:p>
    <w:p>
      <w:pPr>
        <w:pStyle w:val="FirstParagraph"/>
      </w:pPr>
      <w:r>
        <w:t xml:space="preserve">Todos los colores de este documento —el del índice, el de cada dimensión y el de cada indicador— salen de una sola escala: la</w:t>
      </w:r>
      <w:r>
        <w:t xml:space="preserve"> </w:t>
      </w:r>
      <w:r>
        <w:rPr>
          <w:bCs/>
          <w:b/>
        </w:rPr>
        <w:t xml:space="preserve">tensión de 0 a 10</w:t>
      </w:r>
      <w:r>
        <w:t xml:space="preserve"> </w:t>
      </w:r>
      <w:r>
        <w:t xml:space="preserve">que publica el informe. Se parte en cuatro tramos y esos tramos son los mismos para todo.</w:t>
      </w:r>
    </w:p>
    <w:p>
      <w:pPr>
        <w:pStyle w:val="BodyText"/>
      </w:pPr>
      <w:r>
        <w:t xml:space="preserve">El puntaje del ITCG y el de cada dimensión van de 0 a 100, donde 100 es la mejor situación. La tensión es su reflejo: (100 − puntaje) ÷ 10.</w:t>
      </w:r>
    </w:p>
    <w:tbl>
      <w:tblPr>
        <w:tblStyle w:val="Table"/>
        <w:tblW w:type="pct" w:w="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tr>
        <w:trPr>
          <w:cantSplit/>
          <w:tblHeader/>
        </w:trPr>
        <w:tc>
          <w:tcPr>
            <w:shd w:val="clear" w:color="auto" w:fill="1F3A34"/>
          </w:tcPr>
          <w:p>
            <w:pPr>
              <w:pStyle w:val="Compact"/>
              <w:jc w:val="left"/>
            </w:pPr>
            <w:r>
              <w:rPr>
                <w:b/>
                <w:sz w:val="18"/>
                <w:color w:val="FFFFFF"/>
              </w:rPr>
              <w:t xml:space="preserve">Tensión</w:t>
            </w:r>
          </w:p>
        </w:tc>
        <w:tc>
          <w:tcPr>
            <w:shd w:val="clear" w:color="auto" w:fill="1F3A34"/>
          </w:tcPr>
          <w:p>
            <w:pPr>
              <w:pStyle w:val="Compact"/>
              <w:jc w:val="left"/>
            </w:pPr>
            <w:r>
              <w:rPr>
                <w:b/>
                <w:sz w:val="18"/>
                <w:color w:val="FFFFFF"/>
              </w:rPr>
              <w:t xml:space="preserve">Puntaje del ITCG y de sus dimensiones (0 a 100)</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hasta 4</w:t>
            </w:r>
          </w:p>
        </w:tc>
        <w:tc>
          <w:p>
            <w:pPr>
              <w:pStyle w:val="Compact"/>
              <w:jc w:val="left"/>
            </w:pPr>
            <w:r>
              <w:rPr>
                <w:sz w:val="18"/>
              </w:rPr>
              <w:t xml:space="preserve">60 o más</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más de 4 y hasta 6</w:t>
            </w:r>
          </w:p>
        </w:tc>
        <w:tc>
          <w:tcPr>
            <w:shd w:val="clear" w:color="auto" w:fill="F6F8F7"/>
          </w:tcPr>
          <w:p>
            <w:pPr>
              <w:pStyle w:val="Compact"/>
              <w:jc w:val="left"/>
            </w:pPr>
            <w:r>
              <w:rPr>
                <w:sz w:val="18"/>
              </w:rPr>
              <w:t xml:space="preserve">de 40 a 60</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más de 6 y hasta 8</w:t>
            </w:r>
          </w:p>
        </w:tc>
        <w:tc>
          <w:p>
            <w:pPr>
              <w:pStyle w:val="Compact"/>
              <w:jc w:val="left"/>
            </w:pPr>
            <w:r>
              <w:rPr>
                <w:sz w:val="18"/>
              </w:rPr>
              <w:t xml:space="preserve">de 20 a 40</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más de 8</w:t>
            </w:r>
          </w:p>
        </w:tc>
        <w:tc>
          <w:tcPr>
            <w:shd w:val="clear" w:color="auto" w:fill="F6F8F7"/>
          </w:tcPr>
          <w:p>
            <w:pPr>
              <w:pStyle w:val="Compact"/>
              <w:jc w:val="left"/>
            </w:pPr>
            <w:r>
              <w:rPr>
                <w:sz w:val="18"/>
              </w:rPr>
              <w:t xml:space="preserve">menos de 20</w:t>
            </w:r>
          </w:p>
        </w:tc>
        <w:tc>
          <w:tcPr>
            <w:shd w:val="clear" w:color="auto" w:fill="FEE2E2"/>
          </w:tcPr>
          <w:p>
            <w:pPr>
              <w:pStyle w:val="Compact"/>
              <w:jc w:val="center"/>
            </w:pPr>
            <w:r>
              <w:rPr>
                <w:b/>
                <w:sz w:val="18"/>
                <w:color w:val="7F1D1D"/>
              </w:rPr>
              <w:t xml:space="preserve">ROJO</w:t>
            </w:r>
          </w:p>
        </w:tc>
      </w:tr>
    </w:tbl>
    <w:p>
      <w:pPr>
        <w:pStyle w:val="BodyText"/>
      </w:pPr>
      <w:r>
        <w:rPr>
          <w:bCs/>
          <w:b/>
        </w:rPr>
        <w:t xml:space="preserve">Cada indicador tiene además su propia tabla</w:t>
      </w:r>
      <w:r>
        <w:t xml:space="preserve">, en su unidad de medida —pesos, porcentaje, índice, lo que corresponda—, dentro de su ficha, bajo el título «Semáforo — valores que determinan el color». Ahí no hay ninguna escala intermedia: sólo el dato real y el color que le toca.</w:t>
      </w:r>
    </w:p>
    <w:p>
      <w:r>
        <w:br w:type="page"/>
      </w:r>
    </w:p>
    <w:p>
      <w:pPr>
        <w:pStyle w:val="BodyText"/>
      </w:pPr>
      <w:r>
        <w:rPr>
          <w:bCs/>
          <w:b/>
        </w:rPr>
        <w:t xml:space="preserve">CIGOB · INFORME DE COYUNTURA</w:t>
      </w:r>
    </w:p>
    <w:bookmarkEnd w:id="20"/>
    <w:bookmarkStart w:id="21" w:name="itcg-el-índice-del-cinturón"/>
    <w:p>
      <w:pPr>
        <w:pStyle w:val="Heading2"/>
        <w:keepNext/>
      </w:pPr>
      <w:r>
        <w:t xml:space="preserve">ITCG — el índice del cinturón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ITCG: 77,5</w:t>
            </w:r>
          </w:p>
        </w:tc>
        <w:tc>
          <w:tcPr>
            <w:shd w:val="clear" w:color="auto" w:fill="DCFCE7"/>
          </w:tcPr>
          <w:p>
            <w:pPr>
              <w:pStyle w:val="Compact"/>
              <w:jc w:val="center"/>
            </w:pPr>
            <w:r>
              <w:rPr>
                <w:bCs/>
                <w:b/>
                <w:sz w:val="18"/>
                <w:color w:val="14532D"/>
              </w:rPr>
              <w:t xml:space="preserve">VERDE</w:t>
            </w:r>
          </w:p>
        </w:tc>
        <w:tc>
          <w:p>
            <w:pPr>
              <w:pStyle w:val="Compact"/>
              <w:jc w:val="left"/>
            </w:pPr>
            <w:r>
              <w:rPr>
                <w:sz w:val="18"/>
              </w:rPr>
              <w:t xml:space="preserve">Moderadamente aflojado</w:t>
            </w:r>
          </w:p>
        </w:tc>
        <w:tc>
          <w:p>
            <w:pPr>
              <w:pStyle w:val="Compact"/>
              <w:jc w:val="left"/>
            </w:pPr>
            <w:r>
              <w:rPr>
                <w:sz w:val="18"/>
              </w:rPr>
              <w:t xml:space="preserve">14 indicadores: 9 en verde · 4 en amarillo · 1 en naranja</w:t>
            </w:r>
          </w:p>
        </w:tc>
      </w:tr>
    </w:tbl>
    <w:bookmarkEnd w:id="21"/>
    <w:bookmarkStart w:id="22" w:name="dimensiones"/>
    <w:p>
      <w:pPr>
        <w:pStyle w:val="Heading2"/>
        <w:keepNext/>
      </w:pPr>
      <w:r>
        <w:t xml:space="preserve">Dimensiones</w:t>
      </w:r>
    </w:p>
    <w:tbl>
      <w:tblPr>
        <w:tblStyle w:val="Table"/>
        <w:tblW w:type="pct" w:w="500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584"/>
        <w:gridCol w:w="1584"/>
        <w:gridCol w:w="1584"/>
        <w:gridCol w:w="1584"/>
        <w:gridCol w:w="1584"/>
      </w:tblGrid>
      <w:tr>
        <w:trPr>
          <w:cantSplit/>
          <w:tblHeader/>
        </w:trPr>
        <w:tc>
          <w:tcPr>
            <w:shd w:val="clear" w:color="auto" w:fill="1F3A34"/>
          </w:tcPr>
          <w:p>
            <w:pPr>
              <w:pStyle w:val="Compact"/>
              <w:jc w:val="left"/>
            </w:pPr>
            <w:r>
              <w:rPr>
                <w:b/>
                <w:sz w:val="18"/>
                <w:color w:val="FFFFFF"/>
              </w:rPr>
              <w:t xml:space="preserve">Dimensión</w:t>
            </w:r>
          </w:p>
        </w:tc>
        <w:tc>
          <w:tcPr>
            <w:shd w:val="clear" w:color="auto" w:fill="1F3A34"/>
          </w:tcPr>
          <w:p>
            <w:pPr>
              <w:pStyle w:val="Compact"/>
              <w:jc w:val="left"/>
            </w:pPr>
            <w:r>
              <w:rPr>
                <w:b/>
                <w:sz w:val="18"/>
                <w:color w:val="FFFFFF"/>
              </w:rPr>
              <w:t xml:space="preserve">Qué mide</w:t>
            </w:r>
          </w:p>
        </w:tc>
        <w:tc>
          <w:tcPr>
            <w:shd w:val="clear" w:color="auto" w:fill="1F3A34"/>
          </w:tcPr>
          <w:p>
            <w:pPr>
              <w:pStyle w:val="Compact"/>
              <w:jc w:val="left"/>
            </w:pPr>
            <w:r>
              <w:rPr>
                <w:b/>
                <w:sz w:val="18"/>
                <w:color w:val="FFFFFF"/>
              </w:rPr>
              <w:t xml:space="preserve">Puntaje</w:t>
            </w:r>
          </w:p>
        </w:tc>
        <w:tc>
          <w:tcPr>
            <w:shd w:val="clear" w:color="auto" w:fill="1F3A34"/>
          </w:tcPr>
          <w:p>
            <w:pPr>
              <w:pStyle w:val="Compact"/>
              <w:jc w:val="left"/>
            </w:pPr>
            <w:r>
              <w:rPr>
                <w:b/>
                <w:sz w:val="18"/>
                <w:color w:val="FFFFFF"/>
              </w:rPr>
              <w:t xml:space="preserve">Color</w:t>
            </w:r>
          </w:p>
        </w:tc>
        <w:tc>
          <w:tcPr>
            <w:shd w:val="clear" w:color="auto" w:fill="1F3A34"/>
          </w:tcPr>
          <w:p>
            <w:pPr>
              <w:pStyle w:val="Compact"/>
              <w:jc w:val="left"/>
            </w:pPr>
            <w:r>
              <w:rPr>
                <w:b/>
                <w:sz w:val="18"/>
                <w:color w:val="FFFFFF"/>
              </w:rPr>
              <w:t xml:space="preserve">Peso</w:t>
            </w:r>
          </w:p>
        </w:tc>
      </w:tr>
      <w:tr>
        <w:trPr>
          <w:cantSplit/>
        </w:trPr>
        <w:tc>
          <w:p>
            <w:pPr>
              <w:pStyle w:val="Compact"/>
              <w:jc w:val="left"/>
            </w:pPr>
            <w:r>
              <w:rPr>
                <w:sz w:val="18"/>
              </w:rPr>
              <w:t xml:space="preserve">Reformas económicas fundamentales</w:t>
            </w:r>
          </w:p>
        </w:tc>
        <w:tc>
          <w:p>
            <w:pPr>
              <w:pStyle w:val="Compact"/>
              <w:jc w:val="left"/>
            </w:pPr>
            <w:r>
              <w:rPr>
                <w:sz w:val="18"/>
              </w:rPr>
              <w:t xml:space="preserve">El corazón de la promesa económica: cepo desarmado (brecha cambiaria), comercio exterior abierto (alícuota efectiva) y desregulación normativa.</w:t>
            </w:r>
          </w:p>
        </w:tc>
        <w:tc>
          <w:p>
            <w:pPr>
              <w:pStyle w:val="Compact"/>
              <w:jc w:val="left"/>
            </w:pPr>
            <w:r>
              <w:rPr>
                <w:sz w:val="18"/>
              </w:rPr>
              <w:t xml:space="preserve">76,6</w:t>
            </w:r>
          </w:p>
        </w:tc>
        <w:tc>
          <w:tcPr>
            <w:shd w:val="clear" w:color="auto" w:fill="DCFCE7"/>
          </w:tcPr>
          <w:p>
            <w:pPr>
              <w:pStyle w:val="Compact"/>
              <w:jc w:val="center"/>
            </w:pPr>
            <w:r>
              <w:rPr>
                <w:b/>
                <w:sz w:val="18"/>
                <w:color w:val="14532D"/>
              </w:rPr>
              <w:t xml:space="preserve">VERDE</w:t>
            </w:r>
          </w:p>
        </w:tc>
        <w:tc>
          <w:p>
            <w:pPr>
              <w:pStyle w:val="Compact"/>
              <w:jc w:val="left"/>
            </w:pPr>
            <w:r>
              <w:rPr>
                <w:sz w:val="18"/>
              </w:rPr>
              <w:t xml:space="preserve">35,0 %</w:t>
            </w:r>
          </w:p>
        </w:tc>
      </w:tr>
      <w:tr>
        <w:trPr>
          <w:cantSplit/>
        </w:trPr>
        <w:tc>
          <w:tcPr>
            <w:shd w:val="clear" w:color="auto" w:fill="F6F8F7"/>
          </w:tcPr>
          <w:p>
            <w:pPr>
              <w:pStyle w:val="Compact"/>
              <w:jc w:val="left"/>
            </w:pPr>
            <w:r>
              <w:rPr>
                <w:sz w:val="18"/>
              </w:rPr>
              <w:t xml:space="preserve">Reforma del Estado</w:t>
            </w:r>
          </w:p>
        </w:tc>
        <w:tc>
          <w:tcPr>
            <w:shd w:val="clear" w:color="auto" w:fill="F6F8F7"/>
          </w:tcPr>
          <w:p>
            <w:pPr>
              <w:pStyle w:val="Compact"/>
              <w:jc w:val="left"/>
            </w:pPr>
            <w:r>
              <w:rPr>
                <w:sz w:val="18"/>
              </w:rPr>
              <w:t xml:space="preserve">El achicamiento del Estado en cuatro medidas que se controlan entre sí.</w:t>
            </w:r>
          </w:p>
        </w:tc>
        <w:tc>
          <w:tcPr>
            <w:shd w:val="clear" w:color="auto" w:fill="F6F8F7"/>
          </w:tcPr>
          <w:p>
            <w:pPr>
              <w:pStyle w:val="Compact"/>
              <w:jc w:val="left"/>
            </w:pPr>
            <w:r>
              <w:rPr>
                <w:sz w:val="18"/>
              </w:rPr>
              <w:t xml:space="preserve">80,8</w:t>
            </w:r>
          </w:p>
        </w:tc>
        <w:tc>
          <w:tcPr>
            <w:shd w:val="clear" w:color="auto" w:fill="DCFCE7"/>
          </w:tcPr>
          <w:p>
            <w:pPr>
              <w:pStyle w:val="Compact"/>
              <w:jc w:val="center"/>
            </w:pPr>
            <w:r>
              <w:rPr>
                <w:b/>
                <w:sz w:val="18"/>
                <w:color w:val="14532D"/>
              </w:rPr>
              <w:t xml:space="preserve">VERDE</w:t>
            </w:r>
          </w:p>
        </w:tc>
        <w:tc>
          <w:tcPr>
            <w:shd w:val="clear" w:color="auto" w:fill="F6F8F7"/>
          </w:tcPr>
          <w:p>
            <w:pPr>
              <w:pStyle w:val="Compact"/>
              <w:jc w:val="left"/>
            </w:pPr>
            <w:r>
              <w:rPr>
                <w:sz w:val="18"/>
              </w:rPr>
              <w:t xml:space="preserve">25,0 %</w:t>
            </w:r>
          </w:p>
        </w:tc>
      </w:tr>
      <w:tr>
        <w:trPr>
          <w:cantSplit/>
        </w:trPr>
        <w:tc>
          <w:p>
            <w:pPr>
              <w:pStyle w:val="Compact"/>
              <w:jc w:val="left"/>
            </w:pPr>
            <w:r>
              <w:rPr>
                <w:sz w:val="18"/>
              </w:rPr>
              <w:t xml:space="preserve">Reforma laboral</w:t>
            </w:r>
          </w:p>
        </w:tc>
        <w:tc>
          <w:p>
            <w:pPr>
              <w:pStyle w:val="Compact"/>
              <w:jc w:val="left"/>
            </w:pPr>
            <w:r>
              <w:rPr>
                <w:sz w:val="18"/>
              </w:rPr>
              <w:t xml:space="preserve">Instrumento y resultado.</w:t>
            </w:r>
          </w:p>
        </w:tc>
        <w:tc>
          <w:p>
            <w:pPr>
              <w:pStyle w:val="Compact"/>
              <w:jc w:val="left"/>
            </w:pPr>
            <w:r>
              <w:rPr>
                <w:sz w:val="18"/>
              </w:rPr>
              <w:t xml:space="preserve">79,7</w:t>
            </w:r>
          </w:p>
        </w:tc>
        <w:tc>
          <w:tcPr>
            <w:shd w:val="clear" w:color="auto" w:fill="DCFCE7"/>
          </w:tcPr>
          <w:p>
            <w:pPr>
              <w:pStyle w:val="Compact"/>
              <w:jc w:val="center"/>
            </w:pPr>
            <w:r>
              <w:rPr>
                <w:b/>
                <w:sz w:val="18"/>
                <w:color w:val="14532D"/>
              </w:rPr>
              <w:t xml:space="preserve">VERDE</w:t>
            </w:r>
          </w:p>
        </w:tc>
        <w:tc>
          <w:p>
            <w:pPr>
              <w:pStyle w:val="Compact"/>
              <w:jc w:val="left"/>
            </w:pPr>
            <w:r>
              <w:rPr>
                <w:sz w:val="18"/>
              </w:rPr>
              <w:t xml:space="preserve">15,0 %</w:t>
            </w:r>
          </w:p>
        </w:tc>
      </w:tr>
      <w:tr>
        <w:trPr>
          <w:cantSplit/>
        </w:trPr>
        <w:tc>
          <w:tcPr>
            <w:shd w:val="clear" w:color="auto" w:fill="F6F8F7"/>
          </w:tcPr>
          <w:p>
            <w:pPr>
              <w:pStyle w:val="Compact"/>
              <w:jc w:val="left"/>
            </w:pPr>
            <w:r>
              <w:rPr>
                <w:sz w:val="18"/>
              </w:rPr>
              <w:t xml:space="preserve">Privatizaciones e inversión</w:t>
            </w:r>
          </w:p>
        </w:tc>
        <w:tc>
          <w:tcPr>
            <w:shd w:val="clear" w:color="auto" w:fill="F6F8F7"/>
          </w:tcPr>
          <w:p>
            <w:pPr>
              <w:pStyle w:val="Compact"/>
              <w:jc w:val="left"/>
            </w:pPr>
            <w:r>
              <w:rPr>
                <w:sz w:val="18"/>
              </w:rPr>
              <w:t xml:space="preserve">Los activos del Estado y la inversión privada grande: privatizaciones, cartera del RIGI y concesiones viales.</w:t>
            </w:r>
          </w:p>
        </w:tc>
        <w:tc>
          <w:tcPr>
            <w:shd w:val="clear" w:color="auto" w:fill="F6F8F7"/>
          </w:tcPr>
          <w:p>
            <w:pPr>
              <w:pStyle w:val="Compact"/>
              <w:jc w:val="left"/>
            </w:pPr>
            <w:r>
              <w:rPr>
                <w:sz w:val="18"/>
              </w:rPr>
              <w:t xml:space="preserve">62,9</w:t>
            </w:r>
          </w:p>
        </w:tc>
        <w:tc>
          <w:tcPr>
            <w:shd w:val="clear" w:color="auto" w:fill="DCFCE7"/>
          </w:tcPr>
          <w:p>
            <w:pPr>
              <w:pStyle w:val="Compact"/>
              <w:jc w:val="center"/>
            </w:pPr>
            <w:r>
              <w:rPr>
                <w:b/>
                <w:sz w:val="18"/>
                <w:color w:val="14532D"/>
              </w:rPr>
              <w:t xml:space="preserve">VERDE</w:t>
            </w:r>
          </w:p>
        </w:tc>
        <w:tc>
          <w:tcPr>
            <w:shd w:val="clear" w:color="auto" w:fill="F6F8F7"/>
          </w:tcPr>
          <w:p>
            <w:pPr>
              <w:pStyle w:val="Compact"/>
              <w:jc w:val="left"/>
            </w:pPr>
            <w:r>
              <w:rPr>
                <w:sz w:val="18"/>
              </w:rPr>
              <w:t xml:space="preserve">15,0 %</w:t>
            </w:r>
          </w:p>
        </w:tc>
      </w:tr>
      <w:tr>
        <w:trPr>
          <w:cantSplit/>
        </w:trPr>
        <w:tc>
          <w:p>
            <w:pPr>
              <w:pStyle w:val="Compact"/>
              <w:jc w:val="left"/>
            </w:pPr>
            <w:r>
              <w:rPr>
                <w:sz w:val="18"/>
              </w:rPr>
              <w:t xml:space="preserve">Reforma social y orden</w:t>
            </w:r>
          </w:p>
        </w:tc>
        <w:tc>
          <w:p>
            <w:pPr>
              <w:pStyle w:val="Compact"/>
              <w:jc w:val="left"/>
            </w:pPr>
            <w:r>
              <w:rPr>
                <w:sz w:val="18"/>
              </w:rPr>
              <w:t xml:space="preserve">La reforma social y el orden público: asistencia sin intermediarios (TDPS), protocolo antipiquetes y libertad de opción en salud.</w:t>
            </w:r>
          </w:p>
        </w:tc>
        <w:tc>
          <w:p>
            <w:pPr>
              <w:pStyle w:val="Compact"/>
              <w:jc w:val="left"/>
            </w:pPr>
            <w:r>
              <w:rPr>
                <w:sz w:val="18"/>
              </w:rPr>
              <w:t xml:space="preserve">90,6</w:t>
            </w:r>
          </w:p>
        </w:tc>
        <w:tc>
          <w:tcPr>
            <w:shd w:val="clear" w:color="auto" w:fill="DCFCE7"/>
          </w:tcPr>
          <w:p>
            <w:pPr>
              <w:pStyle w:val="Compact"/>
              <w:jc w:val="center"/>
            </w:pPr>
            <w:r>
              <w:rPr>
                <w:b/>
                <w:sz w:val="18"/>
                <w:color w:val="14532D"/>
              </w:rPr>
              <w:t xml:space="preserve">VERDE</w:t>
            </w:r>
          </w:p>
        </w:tc>
        <w:tc>
          <w:p>
            <w:pPr>
              <w:pStyle w:val="Compact"/>
              <w:jc w:val="left"/>
            </w:pPr>
            <w:r>
              <w:rPr>
                <w:sz w:val="18"/>
              </w:rPr>
              <w:t xml:space="preserve">10,0 %</w:t>
            </w:r>
          </w:p>
        </w:tc>
      </w:tr>
    </w:tbl>
    <w:p>
      <w:r>
        <w:br w:type="page"/>
      </w:r>
    </w:p>
    <w:p>
      <w:pPr>
        <w:pStyle w:val="BodyText"/>
      </w:pPr>
      <w:r>
        <w:rPr>
          <w:bCs/>
          <w:b/>
        </w:rPr>
        <w:t xml:space="preserve">CIGOB · INFORME DE COYUNTURA</w:t>
      </w:r>
    </w:p>
    <w:bookmarkEnd w:id="22"/>
    <w:bookmarkStart w:id="23" w:name="todos-los-indicadores"/>
    <w:p>
      <w:pPr>
        <w:pStyle w:val="Heading2"/>
        <w:keepNext/>
      </w:pPr>
      <w:r>
        <w:t xml:space="preserve">Todos los indicadores</w:t>
      </w:r>
    </w:p>
    <w:p>
      <w:pPr>
        <w:pStyle w:val="FirstParagraph"/>
      </w:pPr>
      <w:r>
        <w:t xml:space="preserve">Agrupados por dimensión. La columna de peso dice cuánto mueve cada indicador el índice del cinturón; el color es el del semáforo de este mes.</w:t>
      </w:r>
    </w:p>
    <w:tbl>
      <w:tblPr>
        <w:tblStyle w:val="Table"/>
        <w:tblW w:type="pct" w:w="500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584"/>
        <w:gridCol w:w="1584"/>
        <w:gridCol w:w="1584"/>
        <w:gridCol w:w="1584"/>
        <w:gridCol w:w="1584"/>
      </w:tblGrid>
      <w:tr>
        <w:trPr>
          <w:cantSplit/>
          <w:tblHeader/>
        </w:trPr>
        <w:tc>
          <w:tcPr>
            <w:shd w:val="clear" w:color="auto" w:fill="1F3A34"/>
          </w:tcPr>
          <w:p>
            <w:pPr>
              <w:pStyle w:val="Compact"/>
              <w:jc w:val="left"/>
            </w:pPr>
            <w:r>
              <w:rPr>
                <w:b/>
                <w:sz w:val="18"/>
                <w:color w:val="FFFFFF"/>
              </w:rPr>
              <w:t xml:space="preserve">Indicador</w:t>
            </w:r>
          </w:p>
        </w:tc>
        <w:tc>
          <w:tcPr>
            <w:shd w:val="clear" w:color="auto" w:fill="1F3A34"/>
          </w:tcPr>
          <w:p>
            <w:pPr>
              <w:pStyle w:val="Compact"/>
              <w:jc w:val="left"/>
            </w:pPr>
            <w:r>
              <w:rPr>
                <w:b/>
                <w:sz w:val="18"/>
                <w:color w:val="FFFFFF"/>
              </w:rPr>
              <w:t xml:space="preserve">Qué mide</w:t>
            </w:r>
          </w:p>
        </w:tc>
        <w:tc>
          <w:tcPr>
            <w:shd w:val="clear" w:color="auto" w:fill="1F3A34"/>
          </w:tcPr>
          <w:p>
            <w:pPr>
              <w:pStyle w:val="Compact"/>
              <w:jc w:val="left"/>
            </w:pPr>
            <w:r>
              <w:rPr>
                <w:b/>
                <w:sz w:val="18"/>
                <w:color w:val="FFFFFF"/>
              </w:rPr>
              <w:t xml:space="preserve">Hoy</w:t>
            </w:r>
          </w:p>
        </w:tc>
        <w:tc>
          <w:tcPr>
            <w:shd w:val="clear" w:color="auto" w:fill="1F3A34"/>
          </w:tcPr>
          <w:p>
            <w:pPr>
              <w:pStyle w:val="Compact"/>
              <w:jc w:val="left"/>
            </w:pPr>
            <w:r>
              <w:rPr>
                <w:b/>
                <w:sz w:val="18"/>
                <w:color w:val="FFFFFF"/>
              </w:rPr>
              <w:t xml:space="preserve">Color</w:t>
            </w:r>
          </w:p>
        </w:tc>
        <w:tc>
          <w:tcPr>
            <w:shd w:val="clear" w:color="auto" w:fill="1F3A34"/>
          </w:tcPr>
          <w:p>
            <w:pPr>
              <w:pStyle w:val="Compact"/>
              <w:jc w:val="left"/>
            </w:pPr>
            <w:r>
              <w:rPr>
                <w:b/>
                <w:sz w:val="18"/>
                <w:color w:val="FFFFFF"/>
              </w:rPr>
              <w:t xml:space="preserve">Peso en el ITCG</w:t>
            </w:r>
          </w:p>
        </w:tc>
      </w:tr>
      <w:tr>
        <w:trPr>
          <w:cantSplit/>
        </w:trPr>
        <w:tc>
          <w:tcPr>
            <w:gridSpan w:val="5"/>
            <w:shd w:val="clear" w:color="auto" w:fill="E8EDEB"/>
          </w:tcPr>
          <w:p>
            <w:pPr>
              <w:pStyle w:val="Compact"/>
              <w:jc w:val="left"/>
              <w:keepNext/>
            </w:pPr>
            <w:r>
              <w:rPr>
                <w:b/>
                <w:sz w:val="18"/>
              </w:rPr>
              <w:t>Reformas económicas fundamentales</w:t>
            </w:r>
          </w:p>
        </w:tc>
      </w:tr>
      <w:tr>
        <w:trPr>
          <w:cantSplit/>
        </w:trPr>
        <w:tc>
          <w:tcPr>
            <w:shd w:val="clear" w:color="auto" w:fill="F6F8F7"/>
          </w:tcPr>
          <w:p>
            <w:pPr>
              <w:pStyle w:val="Compact"/>
              <w:jc w:val="left"/>
            </w:pPr>
            <w:r>
              <w:rPr>
                <w:sz w:val="18"/>
              </w:rPr>
              <w:t xml:space="preserve">Brecha cambiaria (cepo)</w:t>
            </w:r>
          </w:p>
        </w:tc>
        <w:tc>
          <w:tcPr>
            <w:shd w:val="clear" w:color="auto" w:fill="F6F8F7"/>
          </w:tcPr>
          <w:p>
            <w:pPr>
              <w:pStyle w:val="Compact"/>
              <w:jc w:val="left"/>
            </w:pPr>
            <w:r>
              <w:rPr>
                <w:sz w:val="18"/>
              </w:rPr>
              <w:t xml:space="preserve">Cuánto se separa el dólar financiero (CCL) del dólar mayorista de referencia: la brecha cambiaria.</w:t>
            </w:r>
          </w:p>
        </w:tc>
        <w:tc>
          <w:tcPr>
            <w:shd w:val="clear" w:color="auto" w:fill="F6F8F7"/>
          </w:tcPr>
          <w:p>
            <w:pPr>
              <w:pStyle w:val="Compact"/>
              <w:jc w:val="left"/>
            </w:pPr>
            <w:r>
              <w:rPr>
                <w:sz w:val="18"/>
              </w:rPr>
              <w:t xml:space="preserve">5,49 % de brecha CCL/mayorista</w:t>
            </w:r>
          </w:p>
        </w:tc>
        <w:tc>
          <w:tcPr>
            <w:shd w:val="clear" w:color="auto" w:fill="DCFCE7"/>
          </w:tcPr>
          <w:p>
            <w:pPr>
              <w:pStyle w:val="Compact"/>
              <w:jc w:val="center"/>
            </w:pPr>
            <w:r>
              <w:rPr>
                <w:b/>
                <w:sz w:val="18"/>
                <w:color w:val="14532D"/>
              </w:rPr>
              <w:t xml:space="preserve">VERDE</w:t>
            </w:r>
          </w:p>
        </w:tc>
        <w:tc>
          <w:tcPr>
            <w:shd w:val="clear" w:color="auto" w:fill="F6F8F7"/>
          </w:tcPr>
          <w:p>
            <w:pPr>
              <w:pStyle w:val="Compact"/>
              <w:jc w:val="left"/>
            </w:pPr>
            <w:r>
              <w:rPr>
                <w:sz w:val="18"/>
              </w:rPr>
              <w:t xml:space="preserve">14,0 %</w:t>
            </w:r>
          </w:p>
        </w:tc>
      </w:tr>
      <w:tr>
        <w:trPr>
          <w:cantSplit/>
        </w:trPr>
        <w:tc>
          <w:p>
            <w:pPr>
              <w:pStyle w:val="Compact"/>
              <w:jc w:val="left"/>
            </w:pPr>
            <w:r>
              <w:rPr>
                <w:sz w:val="18"/>
              </w:rPr>
              <w:t xml:space="preserve">Apertura comercial (alícuota)</w:t>
            </w:r>
          </w:p>
        </w:tc>
        <w:tc>
          <w:p>
            <w:pPr>
              <w:pStyle w:val="Compact"/>
              <w:jc w:val="left"/>
            </w:pPr>
            <w:r>
              <w:rPr>
                <w:sz w:val="18"/>
              </w:rPr>
              <w:t xml:space="preserve">La alícuota efectiva del comercio exterior.</w:t>
            </w:r>
          </w:p>
        </w:tc>
        <w:tc>
          <w:p>
            <w:pPr>
              <w:pStyle w:val="Compact"/>
              <w:jc w:val="left"/>
            </w:pPr>
            <w:r>
              <w:rPr>
                <w:sz w:val="18"/>
              </w:rPr>
              <w:t xml:space="preserve">6,18 % del intercambio (alícuota efectiva)</w:t>
            </w:r>
          </w:p>
        </w:tc>
        <w:tc>
          <w:tcPr>
            <w:shd w:val="clear" w:color="auto" w:fill="FEF3C7"/>
          </w:tcPr>
          <w:p>
            <w:pPr>
              <w:pStyle w:val="Compact"/>
              <w:jc w:val="center"/>
            </w:pPr>
            <w:r>
              <w:rPr>
                <w:b/>
                <w:sz w:val="18"/>
                <w:color w:val="713F12"/>
              </w:rPr>
              <w:t xml:space="preserve">AMARILLO</w:t>
            </w:r>
          </w:p>
        </w:tc>
        <w:tc>
          <w:p>
            <w:pPr>
              <w:pStyle w:val="Compact"/>
              <w:jc w:val="left"/>
            </w:pPr>
            <w:r>
              <w:rPr>
                <w:sz w:val="18"/>
              </w:rPr>
              <w:t xml:space="preserve">14,0 %</w:t>
            </w:r>
          </w:p>
        </w:tc>
      </w:tr>
      <w:tr>
        <w:trPr>
          <w:cantSplit/>
        </w:trPr>
        <w:tc>
          <w:tcPr>
            <w:shd w:val="clear" w:color="auto" w:fill="F6F8F7"/>
          </w:tcPr>
          <w:p>
            <w:pPr>
              <w:pStyle w:val="Compact"/>
              <w:jc w:val="left"/>
            </w:pPr>
            <w:r>
              <w:rPr>
                <w:sz w:val="18"/>
              </w:rPr>
              <w:t xml:space="preserve">Desregulación normativa</w:t>
            </w:r>
          </w:p>
        </w:tc>
        <w:tc>
          <w:tcPr>
            <w:shd w:val="clear" w:color="auto" w:fill="F6F8F7"/>
          </w:tcPr>
          <w:p>
            <w:pPr>
              <w:pStyle w:val="Compact"/>
              <w:jc w:val="left"/>
            </w:pPr>
            <w:r>
              <w:rPr>
                <w:sz w:val="18"/>
              </w:rPr>
              <w:t xml:space="preserve">Cuántos artículos de normas quedaron modificados o eliminados por el programa desregulador desde el 10 de diciembre de…</w:t>
            </w:r>
          </w:p>
        </w:tc>
        <w:tc>
          <w:tcPr>
            <w:shd w:val="clear" w:color="auto" w:fill="F6F8F7"/>
          </w:tcPr>
          <w:p>
            <w:pPr>
              <w:pStyle w:val="Compact"/>
              <w:jc w:val="left"/>
            </w:pPr>
            <w:r>
              <w:rPr>
                <w:sz w:val="18"/>
              </w:rPr>
              <w:t xml:space="preserve">16.178 artículos de normas modificados o eliminados, acumulados desde dic-2023</w:t>
            </w:r>
          </w:p>
        </w:tc>
        <w:tc>
          <w:tcPr>
            <w:shd w:val="clear" w:color="auto" w:fill="DCFCE7"/>
          </w:tcPr>
          <w:p>
            <w:pPr>
              <w:pStyle w:val="Compact"/>
              <w:jc w:val="center"/>
            </w:pPr>
            <w:r>
              <w:rPr>
                <w:b/>
                <w:sz w:val="18"/>
                <w:color w:val="14532D"/>
              </w:rPr>
              <w:t xml:space="preserve">VERDE</w:t>
            </w:r>
          </w:p>
        </w:tc>
        <w:tc>
          <w:tcPr>
            <w:shd w:val="clear" w:color="auto" w:fill="F6F8F7"/>
          </w:tcPr>
          <w:p>
            <w:pPr>
              <w:pStyle w:val="Compact"/>
              <w:jc w:val="left"/>
            </w:pPr>
            <w:r>
              <w:rPr>
                <w:sz w:val="18"/>
              </w:rPr>
              <w:t xml:space="preserve">7,0 %</w:t>
            </w:r>
          </w:p>
        </w:tc>
      </w:tr>
      <w:tr>
        <w:trPr>
          <w:cantSplit/>
        </w:trPr>
        <w:tc>
          <w:tcPr>
            <w:gridSpan w:val="5"/>
            <w:shd w:val="clear" w:color="auto" w:fill="E8EDEB"/>
          </w:tcPr>
          <w:p>
            <w:pPr>
              <w:pStyle w:val="Compact"/>
              <w:jc w:val="left"/>
              <w:keepNext/>
            </w:pPr>
            <w:r>
              <w:rPr>
                <w:b/>
                <w:sz w:val="18"/>
              </w:rPr>
              <w:t>Reforma del Estado</w:t>
            </w:r>
          </w:p>
        </w:tc>
      </w:tr>
      <w:tr>
        <w:trPr>
          <w:cantSplit/>
        </w:trPr>
        <w:tc>
          <w:tcPr>
            <w:shd w:val="clear" w:color="auto" w:fill="F6F8F7"/>
          </w:tcPr>
          <w:p>
            <w:pPr>
              <w:pStyle w:val="Compact"/>
              <w:jc w:val="left"/>
            </w:pPr>
            <w:r>
              <w:rPr>
                <w:sz w:val="18"/>
              </w:rPr>
              <w:t xml:space="preserve">Dotación del Estado (APN)</w:t>
            </w:r>
          </w:p>
        </w:tc>
        <w:tc>
          <w:tcPr>
            <w:shd w:val="clear" w:color="auto" w:fill="F6F8F7"/>
          </w:tcPr>
          <w:p>
            <w:pPr>
              <w:pStyle w:val="Compact"/>
              <w:jc w:val="left"/>
            </w:pPr>
            <w:r>
              <w:rPr>
                <w:sz w:val="18"/>
              </w:rPr>
              <w:t xml:space="preserve">Cuánto varía la dotación de personal de la Administración Pública Nacional respecto de diciembre de 2023 (inicio del…</w:t>
            </w:r>
          </w:p>
        </w:tc>
        <w:tc>
          <w:tcPr>
            <w:shd w:val="clear" w:color="auto" w:fill="F6F8F7"/>
          </w:tcPr>
          <w:p>
            <w:pPr>
              <w:pStyle w:val="Compact"/>
              <w:jc w:val="left"/>
            </w:pPr>
            <w:r>
              <w:rPr>
                <w:sz w:val="18"/>
              </w:rPr>
              <w:t xml:space="preserve">−20,36 % de variación vs dic-2023 (dotación APN)</w:t>
            </w:r>
          </w:p>
        </w:tc>
        <w:tc>
          <w:tcPr>
            <w:shd w:val="clear" w:color="auto" w:fill="DCFCE7"/>
          </w:tcPr>
          <w:p>
            <w:pPr>
              <w:pStyle w:val="Compact"/>
              <w:jc w:val="center"/>
            </w:pPr>
            <w:r>
              <w:rPr>
                <w:b/>
                <w:sz w:val="18"/>
                <w:color w:val="14532D"/>
              </w:rPr>
              <w:t xml:space="preserve">VERDE</w:t>
            </w:r>
          </w:p>
        </w:tc>
        <w:tc>
          <w:tcPr>
            <w:shd w:val="clear" w:color="auto" w:fill="F6F8F7"/>
          </w:tcPr>
          <w:p>
            <w:pPr>
              <w:pStyle w:val="Compact"/>
              <w:jc w:val="left"/>
            </w:pPr>
            <w:r>
              <w:rPr>
                <w:sz w:val="18"/>
              </w:rPr>
              <w:t xml:space="preserve">10,9 %</w:t>
            </w:r>
          </w:p>
        </w:tc>
      </w:tr>
      <w:tr>
        <w:trPr>
          <w:cantSplit/>
        </w:trPr>
        <w:tc>
          <w:p>
            <w:pPr>
              <w:pStyle w:val="Compact"/>
              <w:jc w:val="left"/>
            </w:pPr>
            <w:r>
              <w:rPr>
                <w:sz w:val="18"/>
              </w:rPr>
              <w:t xml:space="preserve">Gasto de funcionamiento</w:t>
            </w:r>
          </w:p>
        </w:tc>
        <w:tc>
          <w:p>
            <w:pPr>
              <w:pStyle w:val="Compact"/>
              <w:jc w:val="left"/>
            </w:pPr>
            <w:r>
              <w:rPr>
                <w:sz w:val="18"/>
              </w:rPr>
              <w:t xml:space="preserve">Cuánto varía en términos reales el gasto de funcionamiento del Estado nacional respecto de 2023.</w:t>
            </w:r>
          </w:p>
        </w:tc>
        <w:tc>
          <w:p>
            <w:pPr>
              <w:pStyle w:val="Compact"/>
              <w:jc w:val="left"/>
            </w:pPr>
            <w:r>
              <w:rPr>
                <w:sz w:val="18"/>
              </w:rPr>
              <w:t xml:space="preserve">−31,37 % de variación real vs 2023-06 (IMIG funcionamiento)</w:t>
            </w:r>
          </w:p>
        </w:tc>
        <w:tc>
          <w:tcPr>
            <w:shd w:val="clear" w:color="auto" w:fill="DCFCE7"/>
          </w:tcPr>
          <w:p>
            <w:pPr>
              <w:pStyle w:val="Compact"/>
              <w:jc w:val="center"/>
            </w:pPr>
            <w:r>
              <w:rPr>
                <w:b/>
                <w:sz w:val="18"/>
                <w:color w:val="14532D"/>
              </w:rPr>
              <w:t xml:space="preserve">VERDE</w:t>
            </w:r>
          </w:p>
        </w:tc>
        <w:tc>
          <w:p>
            <w:pPr>
              <w:pStyle w:val="Compact"/>
              <w:jc w:val="left"/>
            </w:pPr>
            <w:r>
              <w:rPr>
                <w:sz w:val="18"/>
              </w:rPr>
              <w:t xml:space="preserve">7,8 %</w:t>
            </w:r>
          </w:p>
        </w:tc>
      </w:tr>
      <w:tr>
        <w:trPr>
          <w:cantSplit/>
        </w:trPr>
        <w:tc>
          <w:tcPr>
            <w:shd w:val="clear" w:color="auto" w:fill="F6F8F7"/>
          </w:tcPr>
          <w:p>
            <w:pPr>
              <w:pStyle w:val="Compact"/>
              <w:jc w:val="left"/>
            </w:pPr>
            <w:r>
              <w:rPr>
                <w:sz w:val="18"/>
              </w:rPr>
              <w:t xml:space="preserve">Reestructuración de organismos</w:t>
            </w:r>
          </w:p>
        </w:tc>
        <w:tc>
          <w:tcPr>
            <w:shd w:val="clear" w:color="auto" w:fill="F6F8F7"/>
          </w:tcPr>
          <w:p>
            <w:pPr>
              <w:pStyle w:val="Compact"/>
              <w:jc w:val="left"/>
            </w:pPr>
            <w:r>
              <w:rPr>
                <w:sz w:val="18"/>
              </w:rPr>
              <w:t xml:space="preserve">Cuántos organismos públicos se disolvieron o cerraron desde diciembre de 2023, con ese cierre todavía vigente.</w:t>
            </w:r>
          </w:p>
        </w:tc>
        <w:tc>
          <w:tcPr>
            <w:shd w:val="clear" w:color="auto" w:fill="F6F8F7"/>
          </w:tcPr>
          <w:p>
            <w:pPr>
              <w:pStyle w:val="Compact"/>
              <w:jc w:val="left"/>
            </w:pPr>
            <w:r>
              <w:rPr>
                <w:sz w:val="18"/>
              </w:rPr>
              <w:t xml:space="preserve">24,4 % de avance (proxy InfoLeg, caso por caso)</w:t>
            </w:r>
          </w:p>
        </w:tc>
        <w:tc>
          <w:tcPr>
            <w:shd w:val="clear" w:color="auto" w:fill="FFEDD5"/>
          </w:tcPr>
          <w:p>
            <w:pPr>
              <w:pStyle w:val="Compact"/>
              <w:jc w:val="center"/>
            </w:pPr>
            <w:r>
              <w:rPr>
                <w:b/>
                <w:sz w:val="18"/>
                <w:color w:val="7C2D12"/>
              </w:rPr>
              <w:t xml:space="preserve">NARANJA</w:t>
            </w:r>
          </w:p>
        </w:tc>
        <w:tc>
          <w:tcPr>
            <w:shd w:val="clear" w:color="auto" w:fill="F6F8F7"/>
          </w:tcPr>
          <w:p>
            <w:pPr>
              <w:pStyle w:val="Compact"/>
              <w:jc w:val="left"/>
            </w:pPr>
            <w:r>
              <w:rPr>
                <w:sz w:val="18"/>
              </w:rPr>
              <w:t xml:space="preserve">6,2 %</w:t>
            </w:r>
          </w:p>
        </w:tc>
      </w:tr>
      <w:tr>
        <w:trPr>
          <w:cantSplit/>
        </w:trPr>
        <w:tc>
          <w:tcPr>
            <w:gridSpan w:val="5"/>
            <w:shd w:val="clear" w:color="auto" w:fill="E8EDEB"/>
          </w:tcPr>
          <w:p>
            <w:pPr>
              <w:pStyle w:val="Compact"/>
              <w:jc w:val="left"/>
              <w:keepNext/>
            </w:pPr>
            <w:r>
              <w:rPr>
                <w:b/>
                <w:sz w:val="18"/>
              </w:rPr>
              <w:t>Reforma laboral</w:t>
            </w:r>
          </w:p>
        </w:tc>
      </w:tr>
      <w:tr>
        <w:trPr>
          <w:cantSplit/>
        </w:trPr>
        <w:tc>
          <w:tcPr>
            <w:shd w:val="clear" w:color="auto" w:fill="F6F8F7"/>
          </w:tcPr>
          <w:p>
            <w:pPr>
              <w:pStyle w:val="Compact"/>
              <w:jc w:val="left"/>
            </w:pPr>
            <w:r>
              <w:rPr>
                <w:sz w:val="18"/>
              </w:rPr>
              <w:t xml:space="preserve">Fondo de Asistencia Laboral</w:t>
            </w:r>
          </w:p>
        </w:tc>
        <w:tc>
          <w:tcPr>
            <w:shd w:val="clear" w:color="auto" w:fill="F6F8F7"/>
          </w:tcPr>
          <w:p>
            <w:pPr>
              <w:pStyle w:val="Compact"/>
              <w:jc w:val="left"/>
            </w:pPr>
            <w:r>
              <w:rPr>
                <w:sz w:val="18"/>
              </w:rPr>
              <w:t xml:space="preserve">Si están dados los dos actos que ponen en pie al Fondo de Asistencia Laboral, el mecanismo para financiar las…</w:t>
            </w:r>
          </w:p>
        </w:tc>
        <w:tc>
          <w:tcPr>
            <w:shd w:val="clear" w:color="auto" w:fill="F6F8F7"/>
          </w:tcPr>
          <w:p>
            <w:pPr>
              <w:pStyle w:val="Compact"/>
              <w:jc w:val="left"/>
            </w:pPr>
            <w:r>
              <w:rPr>
                <w:sz w:val="18"/>
              </w:rPr>
              <w:t xml:space="preserve">100 Índice 0–100 (actos fundamentales del FAL: ley + reglamentación)</w:t>
            </w:r>
          </w:p>
        </w:tc>
        <w:tc>
          <w:tcPr>
            <w:shd w:val="clear" w:color="auto" w:fill="DCFCE7"/>
          </w:tcPr>
          <w:p>
            <w:pPr>
              <w:pStyle w:val="Compact"/>
              <w:jc w:val="center"/>
            </w:pPr>
            <w:r>
              <w:rPr>
                <w:b/>
                <w:sz w:val="18"/>
                <w:color w:val="14532D"/>
              </w:rPr>
              <w:t xml:space="preserve">VERDE</w:t>
            </w:r>
          </w:p>
        </w:tc>
        <w:tc>
          <w:tcPr>
            <w:shd w:val="clear" w:color="auto" w:fill="F6F8F7"/>
          </w:tcPr>
          <w:p>
            <w:pPr>
              <w:pStyle w:val="Compact"/>
              <w:jc w:val="left"/>
            </w:pPr>
            <w:r>
              <w:rPr>
                <w:sz w:val="18"/>
              </w:rPr>
              <w:t xml:space="preserve">7,5 %</w:t>
            </w:r>
          </w:p>
        </w:tc>
      </w:tr>
      <w:tr>
        <w:trPr>
          <w:cantSplit/>
        </w:trPr>
        <w:tc>
          <w:p>
            <w:pPr>
              <w:pStyle w:val="Compact"/>
              <w:jc w:val="left"/>
            </w:pPr>
            <w:r>
              <w:rPr>
                <w:sz w:val="18"/>
              </w:rPr>
              <w:t xml:space="preserve">Litigiosidad laboral (SRT)</w:t>
            </w:r>
          </w:p>
        </w:tc>
        <w:tc>
          <w:p>
            <w:pPr>
              <w:pStyle w:val="Compact"/>
              <w:jc w:val="left"/>
            </w:pPr>
            <w:r>
              <w:rPr>
                <w:sz w:val="18"/>
              </w:rPr>
              <w:t xml:space="preserve">Cuánto varían los juicios laborales del sistema de riesgos del trabajo (SRT).</w:t>
            </w:r>
          </w:p>
        </w:tc>
        <w:tc>
          <w:p>
            <w:pPr>
              <w:pStyle w:val="Compact"/>
              <w:jc w:val="left"/>
            </w:pPr>
            <w:r>
              <w:rPr>
                <w:sz w:val="18"/>
              </w:rPr>
              <w:t xml:space="preserve">2,8 % variación juicios SRT (12m vs 12m previos)</w:t>
            </w:r>
          </w:p>
        </w:tc>
        <w:tc>
          <w:tcPr>
            <w:shd w:val="clear" w:color="auto" w:fill="FEF3C7"/>
          </w:tcPr>
          <w:p>
            <w:pPr>
              <w:pStyle w:val="Compact"/>
              <w:jc w:val="center"/>
            </w:pPr>
            <w:r>
              <w:rPr>
                <w:b/>
                <w:sz w:val="18"/>
                <w:color w:val="713F12"/>
              </w:rPr>
              <w:t xml:space="preserve">AMARILLO</w:t>
            </w:r>
          </w:p>
        </w:tc>
        <w:tc>
          <w:p>
            <w:pPr>
              <w:pStyle w:val="Compact"/>
              <w:jc w:val="left"/>
            </w:pPr>
            <w:r>
              <w:rPr>
                <w:sz w:val="18"/>
              </w:rPr>
              <w:t xml:space="preserve">7,5 %</w:t>
            </w:r>
          </w:p>
        </w:tc>
      </w:tr>
      <w:tr>
        <w:trPr>
          <w:cantSplit/>
        </w:trPr>
        <w:tc>
          <w:tcPr>
            <w:gridSpan w:val="5"/>
            <w:shd w:val="clear" w:color="auto" w:fill="E8EDEB"/>
          </w:tcPr>
          <w:p>
            <w:pPr>
              <w:pStyle w:val="Compact"/>
              <w:jc w:val="left"/>
              <w:keepNext/>
            </w:pPr>
            <w:r>
              <w:rPr>
                <w:b/>
                <w:sz w:val="18"/>
              </w:rPr>
              <w:t>Privatizaciones e inversión</w:t>
            </w:r>
          </w:p>
        </w:tc>
      </w:tr>
      <w:tr>
        <w:trPr>
          <w:cantSplit/>
        </w:trPr>
        <w:tc>
          <w:p>
            <w:pPr>
              <w:pStyle w:val="Compact"/>
              <w:jc w:val="left"/>
            </w:pPr>
            <w:r>
              <w:rPr>
                <w:sz w:val="18"/>
              </w:rPr>
              <w:t xml:space="preserve">Privatizaciones (etapas)</w:t>
            </w:r>
          </w:p>
        </w:tc>
        <w:tc>
          <w:p>
            <w:pPr>
              <w:pStyle w:val="Compact"/>
              <w:jc w:val="left"/>
            </w:pPr>
            <w:r>
              <w:rPr>
                <w:sz w:val="18"/>
              </w:rPr>
              <w:t xml:space="preserve">Cuánto avanza la privatización de la cartera de empresas públicas habilitada por la Ley Bases, medida por etapas…</w:t>
            </w:r>
          </w:p>
        </w:tc>
        <w:tc>
          <w:p>
            <w:pPr>
              <w:pStyle w:val="Compact"/>
              <w:jc w:val="left"/>
            </w:pPr>
            <w:r>
              <w:rPr>
                <w:sz w:val="18"/>
              </w:rPr>
              <w:t xml:space="preserve">51,4 % de avance (etapas 0-4, cartera Ley Bases)</w:t>
            </w:r>
          </w:p>
        </w:tc>
        <w:tc>
          <w:tcPr>
            <w:shd w:val="clear" w:color="auto" w:fill="DCFCE7"/>
          </w:tcPr>
          <w:p>
            <w:pPr>
              <w:pStyle w:val="Compact"/>
              <w:jc w:val="center"/>
            </w:pPr>
            <w:r>
              <w:rPr>
                <w:b/>
                <w:sz w:val="18"/>
                <w:color w:val="14532D"/>
              </w:rPr>
              <w:t xml:space="preserve">VERDE</w:t>
            </w:r>
          </w:p>
        </w:tc>
        <w:tc>
          <w:p>
            <w:pPr>
              <w:pStyle w:val="Compact"/>
              <w:jc w:val="left"/>
            </w:pPr>
            <w:r>
              <w:rPr>
                <w:sz w:val="18"/>
              </w:rPr>
              <w:t xml:space="preserve">6,0 %</w:t>
            </w:r>
          </w:p>
        </w:tc>
      </w:tr>
      <w:tr>
        <w:trPr>
          <w:cantSplit/>
        </w:trPr>
        <w:tc>
          <w:tcPr>
            <w:shd w:val="clear" w:color="auto" w:fill="F6F8F7"/>
          </w:tcPr>
          <w:p>
            <w:pPr>
              <w:pStyle w:val="Compact"/>
              <w:jc w:val="left"/>
            </w:pPr>
            <w:r>
              <w:rPr>
                <w:sz w:val="18"/>
              </w:rPr>
              <w:t xml:space="preserve">Inversiones RIGI</w:t>
            </w:r>
          </w:p>
        </w:tc>
        <w:tc>
          <w:tcPr>
            <w:shd w:val="clear" w:color="auto" w:fill="F6F8F7"/>
          </w:tcPr>
          <w:p>
            <w:pPr>
              <w:pStyle w:val="Compact"/>
              <w:jc w:val="left"/>
            </w:pPr>
            <w:r>
              <w:rPr>
                <w:sz w:val="18"/>
              </w:rPr>
              <w:t xml:space="preserve">Cuánto de la inversión del Régimen de Incentivo a Grandes Inversiones (RIGI) ya está aprobada.</w:t>
            </w:r>
          </w:p>
        </w:tc>
        <w:tc>
          <w:tcPr>
            <w:shd w:val="clear" w:color="auto" w:fill="F6F8F7"/>
          </w:tcPr>
          <w:p>
            <w:pPr>
              <w:pStyle w:val="Compact"/>
              <w:jc w:val="left"/>
            </w:pPr>
            <w:r>
              <w:rPr>
                <w:sz w:val="18"/>
              </w:rPr>
              <w:t xml:space="preserve">31,6 % de inversión aprobada sobre el pipeline</w:t>
            </w:r>
          </w:p>
        </w:tc>
        <w:tc>
          <w:tcPr>
            <w:shd w:val="clear" w:color="auto" w:fill="DCFCE7"/>
          </w:tcPr>
          <w:p>
            <w:pPr>
              <w:pStyle w:val="Compact"/>
              <w:jc w:val="center"/>
            </w:pPr>
            <w:r>
              <w:rPr>
                <w:b/>
                <w:sz w:val="18"/>
                <w:color w:val="14532D"/>
              </w:rPr>
              <w:t xml:space="preserve">VERDE</w:t>
            </w:r>
          </w:p>
        </w:tc>
        <w:tc>
          <w:tcPr>
            <w:shd w:val="clear" w:color="auto" w:fill="F6F8F7"/>
          </w:tcPr>
          <w:p>
            <w:pPr>
              <w:pStyle w:val="Compact"/>
              <w:jc w:val="left"/>
            </w:pPr>
            <w:r>
              <w:rPr>
                <w:sz w:val="18"/>
              </w:rPr>
              <w:t xml:space="preserve">6,0 %</w:t>
            </w:r>
          </w:p>
        </w:tc>
      </w:tr>
      <w:tr>
        <w:trPr>
          <w:cantSplit/>
        </w:trPr>
        <w:tc>
          <w:p>
            <w:pPr>
              <w:pStyle w:val="Compact"/>
              <w:jc w:val="left"/>
            </w:pPr>
            <w:r>
              <w:rPr>
                <w:sz w:val="18"/>
              </w:rPr>
              <w:t xml:space="preserve">Concesiones viales</w:t>
            </w:r>
          </w:p>
        </w:tc>
        <w:tc>
          <w:p>
            <w:pPr>
              <w:pStyle w:val="Compact"/>
              <w:jc w:val="left"/>
            </w:pPr>
            <w:r>
              <w:rPr>
                <w:sz w:val="18"/>
              </w:rPr>
              <w:t xml:space="preserve">Qué porcentaje de los kilómetros del plan de la Red Federal de Concesiones ya está adjudicado.</w:t>
            </w:r>
          </w:p>
        </w:tc>
        <w:tc>
          <w:p>
            <w:pPr>
              <w:pStyle w:val="Compact"/>
              <w:jc w:val="left"/>
            </w:pPr>
            <w:r>
              <w:rPr>
                <w:sz w:val="18"/>
              </w:rPr>
              <w:t xml:space="preserve">28,7 % de km adjudicados / km del plan (Red Federal de Concesiones)</w:t>
            </w:r>
          </w:p>
        </w:tc>
        <w:tc>
          <w:tcPr>
            <w:shd w:val="clear" w:color="auto" w:fill="FEF3C7"/>
          </w:tcPr>
          <w:p>
            <w:pPr>
              <w:pStyle w:val="Compact"/>
              <w:jc w:val="center"/>
            </w:pPr>
            <w:r>
              <w:rPr>
                <w:b/>
                <w:sz w:val="18"/>
                <w:color w:val="713F12"/>
              </w:rPr>
              <w:t xml:space="preserve">AMARILLO</w:t>
            </w:r>
          </w:p>
        </w:tc>
        <w:tc>
          <w:p>
            <w:pPr>
              <w:pStyle w:val="Compact"/>
              <w:jc w:val="left"/>
            </w:pPr>
            <w:r>
              <w:rPr>
                <w:sz w:val="18"/>
              </w:rPr>
              <w:t xml:space="preserve">3,0 %</w:t>
            </w:r>
          </w:p>
        </w:tc>
      </w:tr>
      <w:tr>
        <w:trPr>
          <w:cantSplit/>
        </w:trPr>
        <w:tc>
          <w:tcPr>
            <w:gridSpan w:val="5"/>
            <w:shd w:val="clear" w:color="auto" w:fill="E8EDEB"/>
          </w:tcPr>
          <w:p>
            <w:pPr>
              <w:pStyle w:val="Compact"/>
              <w:jc w:val="left"/>
              <w:keepNext/>
            </w:pPr>
            <w:r>
              <w:rPr>
                <w:b/>
                <w:sz w:val="18"/>
              </w:rPr>
              <w:t>Reforma social y orden</w:t>
            </w:r>
          </w:p>
        </w:tc>
      </w:tr>
      <w:tr>
        <w:trPr>
          <w:cantSplit/>
        </w:trPr>
        <w:tc>
          <w:p>
            <w:pPr>
              <w:pStyle w:val="Compact"/>
              <w:jc w:val="left"/>
            </w:pPr>
            <w:r>
              <w:rPr>
                <w:sz w:val="18"/>
              </w:rPr>
              <w:t xml:space="preserve">Asistencia directa (TDPS)</w:t>
            </w:r>
          </w:p>
        </w:tc>
        <w:tc>
          <w:p>
            <w:pPr>
              <w:pStyle w:val="Compact"/>
              <w:jc w:val="left"/>
            </w:pPr>
            <w:r>
              <w:rPr>
                <w:sz w:val="18"/>
              </w:rPr>
              <w:t xml:space="preserve">La Tasa de Desintermediación de Planes Sociales (TDPS).</w:t>
            </w:r>
          </w:p>
        </w:tc>
        <w:tc>
          <w:p>
            <w:pPr>
              <w:pStyle w:val="Compact"/>
              <w:jc w:val="left"/>
            </w:pPr>
            <w:r>
              <w:rPr>
                <w:sz w:val="18"/>
              </w:rPr>
              <w:t xml:space="preserve">100 TDPS: % del gasto social pagado directo (sin intermediación)</w:t>
            </w:r>
          </w:p>
        </w:tc>
        <w:tc>
          <w:tcPr>
            <w:shd w:val="clear" w:color="auto" w:fill="DCFCE7"/>
          </w:tcPr>
          <w:p>
            <w:pPr>
              <w:pStyle w:val="Compact"/>
              <w:jc w:val="center"/>
            </w:pPr>
            <w:r>
              <w:rPr>
                <w:b/>
                <w:sz w:val="18"/>
                <w:color w:val="14532D"/>
              </w:rPr>
              <w:t xml:space="preserve">VERDE</w:t>
            </w:r>
          </w:p>
        </w:tc>
        <w:tc>
          <w:p>
            <w:pPr>
              <w:pStyle w:val="Compact"/>
              <w:jc w:val="left"/>
            </w:pPr>
            <w:r>
              <w:rPr>
                <w:sz w:val="18"/>
              </w:rPr>
              <w:t xml:space="preserve">4,0 %</w:t>
            </w:r>
          </w:p>
        </w:tc>
      </w:tr>
      <w:tr>
        <w:trPr>
          <w:cantSplit/>
        </w:trPr>
        <w:tc>
          <w:tcPr>
            <w:shd w:val="clear" w:color="auto" w:fill="F6F8F7"/>
          </w:tcPr>
          <w:p>
            <w:pPr>
              <w:pStyle w:val="Compact"/>
              <w:jc w:val="left"/>
            </w:pPr>
            <w:r>
              <w:rPr>
                <w:sz w:val="18"/>
              </w:rPr>
              <w:t xml:space="preserve">Orden público (piquetes)</w:t>
            </w:r>
          </w:p>
        </w:tc>
        <w:tc>
          <w:tcPr>
            <w:shd w:val="clear" w:color="auto" w:fill="F6F8F7"/>
          </w:tcPr>
          <w:p>
            <w:pPr>
              <w:pStyle w:val="Compact"/>
              <w:jc w:val="left"/>
            </w:pPr>
            <w:r>
              <w:rPr>
                <w:sz w:val="18"/>
              </w:rPr>
              <w:t xml:space="preserve">En qué porcentaje se redujeron los cortes de calle por manifestación en CABA respecto de 2023 (el distrito donde actúan…</w:t>
            </w:r>
          </w:p>
        </w:tc>
        <w:tc>
          <w:tcPr>
            <w:shd w:val="clear" w:color="auto" w:fill="F6F8F7"/>
          </w:tcPr>
          <w:p>
            <w:pPr>
              <w:pStyle w:val="Compact"/>
              <w:jc w:val="left"/>
            </w:pPr>
            <w:r>
              <w:rPr>
                <w:sz w:val="18"/>
              </w:rPr>
              <w:t xml:space="preserve">74,2 % de reducción de cortes por manifestación en CABA vs 2023 (IRPC)</w:t>
            </w:r>
          </w:p>
        </w:tc>
        <w:tc>
          <w:tcPr>
            <w:shd w:val="clear" w:color="auto" w:fill="DCFCE7"/>
          </w:tcPr>
          <w:p>
            <w:pPr>
              <w:pStyle w:val="Compact"/>
              <w:jc w:val="center"/>
            </w:pPr>
            <w:r>
              <w:rPr>
                <w:b/>
                <w:sz w:val="18"/>
                <w:color w:val="14532D"/>
              </w:rPr>
              <w:t xml:space="preserve">VERDE</w:t>
            </w:r>
          </w:p>
        </w:tc>
        <w:tc>
          <w:tcPr>
            <w:shd w:val="clear" w:color="auto" w:fill="F6F8F7"/>
          </w:tcPr>
          <w:p>
            <w:pPr>
              <w:pStyle w:val="Compact"/>
              <w:jc w:val="left"/>
            </w:pPr>
            <w:r>
              <w:rPr>
                <w:sz w:val="18"/>
              </w:rPr>
              <w:t xml:space="preserve">4,0 %</w:t>
            </w:r>
          </w:p>
        </w:tc>
      </w:tr>
      <w:tr>
        <w:trPr>
          <w:cantSplit/>
        </w:trPr>
        <w:tc>
          <w:p>
            <w:pPr>
              <w:pStyle w:val="Compact"/>
              <w:jc w:val="left"/>
            </w:pPr>
            <w:r>
              <w:rPr>
                <w:sz w:val="18"/>
              </w:rPr>
              <w:t xml:space="preserve">Libertad de opción en salud</w:t>
            </w:r>
          </w:p>
        </w:tc>
        <w:tc>
          <w:p>
            <w:pPr>
              <w:pStyle w:val="Compact"/>
              <w:jc w:val="left"/>
            </w:pPr>
            <w:r>
              <w:rPr>
                <w:sz w:val="18"/>
              </w:rPr>
              <w:t xml:space="preserve">Qué porcentaje de los usuarios de medicina prepaga tiene sus aportes derivados directo a la prepaga, inscripta como…</w:t>
            </w:r>
          </w:p>
        </w:tc>
        <w:tc>
          <w:p>
            <w:pPr>
              <w:pStyle w:val="Compact"/>
              <w:jc w:val="left"/>
            </w:pPr>
            <w:r>
              <w:rPr>
                <w:sz w:val="18"/>
              </w:rPr>
              <w:t xml:space="preserve">31,8 % de usuarios de prepagas con aportes derivados directo (sin triangulación)</w:t>
            </w:r>
          </w:p>
        </w:tc>
        <w:tc>
          <w:tcPr>
            <w:shd w:val="clear" w:color="auto" w:fill="FEF3C7"/>
          </w:tcPr>
          <w:p>
            <w:pPr>
              <w:pStyle w:val="Compact"/>
              <w:jc w:val="center"/>
            </w:pPr>
            <w:r>
              <w:rPr>
                <w:b/>
                <w:sz w:val="18"/>
                <w:color w:val="713F12"/>
              </w:rPr>
              <w:t xml:space="preserve">AMARILLO</w:t>
            </w:r>
          </w:p>
        </w:tc>
        <w:tc>
          <w:p>
            <w:pPr>
              <w:pStyle w:val="Compact"/>
              <w:jc w:val="left"/>
            </w:pPr>
            <w:r>
              <w:rPr>
                <w:sz w:val="18"/>
              </w:rPr>
              <w:t xml:space="preserve">2,0 %</w:t>
            </w:r>
          </w:p>
        </w:tc>
      </w:tr>
    </w:tbl>
    <w:p>
      <w:pPr>
        <w:pStyle w:val="BodyText"/>
      </w:pPr>
      <w:r>
        <w:rPr>
          <w:iCs/>
          <w:i/>
        </w:rPr>
        <w:t xml:space="preserve">Datos al 2026-08-09.</w:t>
      </w:r>
    </w:p>
    <w:p>
      <w:r>
        <w:br w:type="page"/>
      </w:r>
    </w:p>
    <w:p>
      <w:pPr>
        <w:pStyle w:val="BodyText"/>
      </w:pPr>
      <w:r>
        <w:rPr>
          <w:bCs/>
          <w:b/>
        </w:rPr>
        <w:t xml:space="preserve">CIGOB · INFORME DE COYUNTURA</w:t>
      </w:r>
    </w:p>
    <w:p>
      <w:pPr>
        <w:pStyle w:val="BodyText"/>
      </w:pPr>
      <w:r>
        <w:rPr>
          <w:iCs/>
          <w:i/>
        </w:rPr>
        <w:t xml:space="preserve">Ficha metodológica · Cinturón Gestión · Capa de semáforo (4 colores)</w:t>
      </w:r>
    </w:p>
    <w:bookmarkEnd w:id="23"/>
    <w:bookmarkEnd w:id="24"/>
    <w:bookmarkStart w:id="34" w:name="brecha-cambiaria-cepo"/>
    <w:p>
      <w:pPr>
        <w:pStyle w:val="Heading1"/>
        <w:keepNext/>
      </w:pPr>
      <w:r>
        <w:t xml:space="preserve">Brecha cambiaria (cepo)</w:t>
      </w:r>
    </w:p>
    <w:p>
      <w:pPr>
        <w:pStyle w:val="FirstParagraph"/>
      </w:pPr>
      <w:r>
        <w:t xml:space="preserve">Cuánto se separa el dólar financiero (CCL) del dólar mayorista de referencia: la brecha cambiaria.</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5,49 % de brecha CCL/mayorista</w:t>
            </w:r>
            <w:r>
              <w:rPr>
                <w:sz w:val="18"/>
              </w:rPr>
              <w:t xml:space="preserve"> </w:t>
            </w:r>
            <w:r>
              <w:rPr>
                <w:sz w:val="18"/>
              </w:rPr>
              <w:t xml:space="preserve">(2026-08)</w:t>
            </w:r>
          </w:p>
        </w:tc>
        <w:tc>
          <w:tcPr>
            <w:shd w:val="clear" w:color="auto" w:fill="DCFCE7"/>
          </w:tcPr>
          <w:p>
            <w:pPr>
              <w:pStyle w:val="Compact"/>
              <w:jc w:val="center"/>
            </w:pPr>
            <w:r>
              <w:rPr>
                <w:bCs/>
                <w:b/>
                <w:sz w:val="18"/>
                <w:color w:val="14532D"/>
              </w:rPr>
              <w:t xml:space="preserve">VERDE</w:t>
            </w:r>
          </w:p>
        </w:tc>
        <w:tc>
          <w:p>
            <w:pPr>
              <w:pStyle w:val="Compact"/>
              <w:jc w:val="left"/>
            </w:pPr>
            <w:r>
              <w:rPr>
                <w:sz w:val="18"/>
              </w:rPr>
              <w:t xml:space="preserve">Peso efectivo 14 % del ITCG</w:t>
            </w:r>
          </w:p>
        </w:tc>
        <w:tc>
          <w:p>
            <w:pPr>
              <w:pStyle w:val="Compact"/>
              <w:jc w:val="left"/>
            </w:pPr>
            <w:r>
              <w:rPr>
                <w:sz w:val="18"/>
              </w:rPr>
              <w:t xml:space="preserve">Cinturón Gestión</w:t>
            </w:r>
          </w:p>
        </w:tc>
      </w:tr>
    </w:tbl>
    <w:bookmarkStart w:id="25" w:name="identificación"/>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cepo_mulc</w:t>
            </w:r>
          </w:p>
        </w:tc>
        <w:tc>
          <w:p>
            <w:pPr>
              <w:pStyle w:val="Compact"/>
              <w:jc w:val="left"/>
            </w:pPr>
            <w:r>
              <w:rPr>
                <w:bCs/>
                <w:b/>
                <w:sz w:val="18"/>
              </w:rPr>
              <w:t xml:space="preserve">CINTURÓN</w:t>
            </w:r>
          </w:p>
        </w:tc>
        <w:tc>
          <w:p>
            <w:pPr>
              <w:pStyle w:val="Compact"/>
              <w:jc w:val="left"/>
            </w:pPr>
            <w:r>
              <w:rPr>
                <w:sz w:val="18"/>
              </w:rPr>
              <w:t xml:space="preserve">Gestión</w:t>
            </w:r>
          </w:p>
        </w:tc>
      </w:tr>
      <w:tr>
        <w:trPr>
          <w:cantSplit/>
        </w:trPr>
        <w:tc>
          <w:p>
            <w:pPr>
              <w:pStyle w:val="Compact"/>
              <w:jc w:val="left"/>
            </w:pPr>
            <w:r>
              <w:rPr>
                <w:bCs/>
                <w:b/>
                <w:sz w:val="18"/>
              </w:rPr>
              <w:t xml:space="preserve">DIMENSIÓN EN EL ITCG</w:t>
            </w:r>
          </w:p>
        </w:tc>
        <w:tc>
          <w:p>
            <w:pPr>
              <w:pStyle w:val="Compact"/>
              <w:jc w:val="left"/>
            </w:pPr>
            <w:r>
              <w:rPr>
                <w:sz w:val="18"/>
              </w:rPr>
              <w:t xml:space="preserve">Reformas económicas fundamentales</w:t>
            </w:r>
          </w:p>
        </w:tc>
        <w:tc>
          <w:p>
            <w:pPr>
              <w:pStyle w:val="Compact"/>
              <w:jc w:val="left"/>
            </w:pPr>
            <w:r>
              <w:rPr>
                <w:bCs/>
                <w:b/>
                <w:sz w:val="18"/>
              </w:rPr>
              <w:t xml:space="preserve">UNIDAD DE MEDIDA</w:t>
            </w:r>
          </w:p>
        </w:tc>
        <w:tc>
          <w:p>
            <w:pPr>
              <w:pStyle w:val="Compact"/>
              <w:jc w:val="left"/>
            </w:pPr>
            <w:r>
              <w:rPr>
                <w:sz w:val="18"/>
              </w:rPr>
              <w:t xml:space="preserve">% de brecha CCL/mayorista</w:t>
            </w:r>
          </w:p>
        </w:tc>
      </w:tr>
      <w:tr>
        <w:trPr>
          <w:cantSplit/>
        </w:trPr>
        <w:tc>
          <w:p>
            <w:pPr>
              <w:pStyle w:val="Compact"/>
              <w:jc w:val="left"/>
            </w:pPr>
            <w:r>
              <w:rPr>
                <w:bCs/>
                <w:b/>
                <w:sz w:val="18"/>
              </w:rPr>
              <w:t xml:space="preserve">SERIE DISPONIBLE</w:t>
            </w:r>
          </w:p>
        </w:tc>
        <w:tc>
          <w:p>
            <w:pPr>
              <w:pStyle w:val="Compact"/>
              <w:jc w:val="left"/>
            </w:pPr>
            <w:r>
              <w:rPr>
                <w:sz w:val="18"/>
              </w:rPr>
              <w:t xml:space="preserve">2023-12 → 2026-08 (33 puntos)</w:t>
            </w:r>
          </w:p>
        </w:tc>
        <w:tc>
          <w:p>
            <w:pPr>
              <w:pStyle w:val="Compact"/>
              <w:jc w:val="left"/>
            </w:pPr>
            <w:r>
              <w:rPr>
                <w:bCs/>
                <w:b/>
                <w:sz w:val="18"/>
              </w:rPr>
              <w:t xml:space="preserve">REZAGO DE PUBLICACIÓN</w:t>
            </w:r>
          </w:p>
        </w:tc>
        <w:tc>
          <w:p>
            <w:pPr>
              <w:pStyle w:val="Compact"/>
              <w:jc w:val="left"/>
            </w:pPr>
            <w:r>
              <w:rPr>
                <w:sz w:val="18"/>
              </w:rPr>
              <w:t xml:space="preserve">Sin rezago: cotizaciones del día; la serie mensual usa promedios.</w:t>
            </w:r>
          </w:p>
        </w:tc>
      </w:tr>
      <w:tr>
        <w:trPr>
          <w:cantSplit/>
        </w:trPr>
        <w:tc>
          <w:p>
            <w:pPr>
              <w:pStyle w:val="Compact"/>
              <w:jc w:val="left"/>
            </w:pPr>
            <w:r>
              <w:rPr>
                <w:bCs/>
                <w:b/>
                <w:sz w:val="18"/>
              </w:rPr>
              <w:t xml:space="preserve">PRODUCTOR DEL DATO</w:t>
            </w:r>
          </w:p>
        </w:tc>
        <w:tc>
          <w:p>
            <w:pPr>
              <w:pStyle w:val="Compact"/>
              <w:jc w:val="left"/>
            </w:pPr>
            <w:r>
              <w:rPr>
                <w:sz w:val="18"/>
              </w:rPr>
              <w:t xml:space="preserve">dolarapi.com (agregador de cotizaciones; el mayorista replica la referencia oficial A3500 del BCRA)</w:t>
            </w:r>
          </w:p>
        </w:tc>
        <w:tc>
          <w:p>
            <w:pPr>
              <w:pStyle w:val="Compact"/>
              <w:jc w:val="left"/>
            </w:pPr>
            <w:r>
              <w:rPr>
                <w:bCs/>
                <w:b/>
                <w:sz w:val="18"/>
              </w:rPr>
              <w:t xml:space="preserve">OPERACIÓN ESTADÍSTICA</w:t>
            </w:r>
          </w:p>
        </w:tc>
        <w:tc>
          <w:p>
            <w:pPr>
              <w:pStyle w:val="Compact"/>
              <w:jc w:val="left"/>
            </w:pPr>
            <w:r>
              <w:rPr>
                <w:sz w:val="18"/>
              </w:rPr>
              <w:t xml:space="preserve">Cotizaciones del dólar contado con liquidación (CCL) y del mayorista; brecha porcentual entre ambos</w:t>
            </w:r>
          </w:p>
        </w:tc>
      </w:tr>
      <w:tr>
        <w:trPr>
          <w:cantSplit/>
        </w:trPr>
        <w:tc>
          <w:p>
            <w:pPr>
              <w:pStyle w:val="Compact"/>
              <w:jc w:val="left"/>
            </w:pPr>
            <w:r>
              <w:rPr>
                <w:bCs/>
                <w:b/>
                <w:sz w:val="18"/>
              </w:rPr>
              <w:t xml:space="preserve">MODO DE ACCESO</w:t>
            </w:r>
          </w:p>
        </w:tc>
        <w:tc>
          <w:p>
            <w:pPr>
              <w:pStyle w:val="Compact"/>
              <w:jc w:val="left"/>
            </w:pPr>
            <w:r>
              <w:rPr>
                <w:sz w:val="18"/>
              </w:rPr>
              <w:t xml:space="preserve">Automático: API pública de cotizaciones; la serie histórica se reconstruye con el CCL promedio del mes sobre el mayorista promedio.</w:t>
            </w:r>
          </w:p>
        </w:tc>
        <w:tc>
          <w:p>
            <w:pPr>
              <w:pStyle w:val="Compact"/>
              <w:jc w:val="left"/>
            </w:pPr>
            <w:r>
              <w:rPr>
                <w:bCs/>
                <w:b/>
                <w:sz w:val="18"/>
              </w:rPr>
              <w:t xml:space="preserve">ÚLTIMA ACTUALIZACIÓN</w:t>
            </w:r>
          </w:p>
        </w:tc>
        <w:tc>
          <w:p>
            <w:pPr>
              <w:pStyle w:val="Compact"/>
              <w:jc w:val="left"/>
            </w:pPr>
            <w:r>
              <w:rPr>
                <w:sz w:val="18"/>
              </w:rPr>
              <w:t xml:space="preserve">Dato a 2026-08 · informe generado el 2026-08-09</w:t>
            </w:r>
          </w:p>
        </w:tc>
      </w:tr>
    </w:tbl>
    <w:bookmarkEnd w:id="25"/>
    <w:bookmarkStart w:id="26" w:name="definición-qué-mide-y-por-qué-importa"/>
    <w:p>
      <w:pPr>
        <w:pStyle w:val="Heading2"/>
        <w:keepNext/>
      </w:pPr>
      <w:r>
        <w:t xml:space="preserve">Definición — qué mide y por qué importa</w:t>
      </w:r>
    </w:p>
    <w:p>
      <w:pPr>
        <w:pStyle w:val="FirstParagraph"/>
      </w:pPr>
      <w:r>
        <w:t xml:space="preserve">Cuánto se separa el dólar financiero (CCL) del dólar mayorista de referencia: la brecha cambiaria.</w:t>
      </w:r>
    </w:p>
    <w:p>
      <w:pPr>
        <w:pStyle w:val="BodyText"/>
      </w:pPr>
      <w:r>
        <w:t xml:space="preserve">Mide el grado de normalización cambiaria, uno de los ejes del programa económico.</w:t>
      </w:r>
    </w:p>
    <w:p>
      <w:pPr>
        <w:pStyle w:val="BodyText"/>
      </w:pPr>
      <w:r>
        <w:rPr>
          <w:bCs/>
          <w:b/>
        </w:rPr>
        <w:t xml:space="preserve">Dimensión que integra — Reformas económicas fundamentales.</w:t>
      </w:r>
      <w:r>
        <w:t xml:space="preserve"> </w:t>
      </w:r>
      <w:r>
        <w:t xml:space="preserve">El corazón de la promesa económica: cepo desarmado (brecha cambiaria), comercio exterior abierto (alícuota efectiva) y desregulación normativa.</w:t>
      </w:r>
    </w:p>
    <w:bookmarkEnd w:id="26"/>
    <w:bookmarkStart w:id="27" w:name="método-de-cómputo"/>
    <w:p>
      <w:pPr>
        <w:pStyle w:val="Heading2"/>
        <w:keepNext/>
      </w:pPr>
      <w:r>
        <w:t xml:space="preserve">Método de cómputo</w:t>
      </w:r>
    </w:p>
    <w:p>
      <w:pPr>
        <w:numPr>
          <w:ilvl w:val="0"/>
          <w:numId w:val="1001"/>
        </w:numPr>
        <w:pStyle w:val="Compact"/>
      </w:pPr>
      <w:r>
        <w:t xml:space="preserve">Brecha = (CCL − mayorista) / mayorista × 100.</w:t>
      </w:r>
    </w:p>
    <w:p>
      <w:pPr>
        <w:numPr>
          <w:ilvl w:val="0"/>
          <w:numId w:val="1001"/>
        </w:numPr>
        <w:pStyle w:val="Compact"/>
      </w:pPr>
      <w:r>
        <w:t xml:space="preserve">Se usa el mayorista y no el minorista de pizarra: el minorista incluye el margen bancario y subestima la brecha.</w:t>
      </w:r>
    </w:p>
    <w:p>
      <w:pPr>
        <w:numPr>
          <w:ilvl w:val="0"/>
          <w:numId w:val="1001"/>
        </w:numPr>
        <w:pStyle w:val="Compact"/>
      </w:pPr>
      <w:r>
        <w:t xml:space="preserve">Cerca de 0% = mercado cambiario unificado de hecho: el cepo dejó de morder.</w:t>
      </w:r>
    </w:p>
    <w:bookmarkEnd w:id="27"/>
    <w:bookmarkStart w:id="28" w:name="semáforo-valores-que-determinan-el-color"/>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pPr>
      <w:r>
        <w:rPr>
          <w:bCs/>
          <w:b/>
        </w:rPr>
        <w:t xml:space="preserve">Valores que definen cada color</w:t>
      </w:r>
    </w:p>
    <w:tbl>
      <w:tblPr>
        <w:tblStyle w:val="Table"/>
        <w:tblW w:type="pct" w:w="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tr>
        <w:trPr>
          <w:cantSplit/>
          <w:tblHeader/>
        </w:trPr>
        <w:tc>
          <w:tcPr>
            <w:shd w:val="clear" w:color="auto" w:fill="1F3A34"/>
          </w:tcPr>
          <w:p>
            <w:pPr>
              <w:pStyle w:val="Compact"/>
              <w:jc w:val="left"/>
            </w:pPr>
            <w:r>
              <w:rPr>
                <w:b/>
                <w:sz w:val="18"/>
                <w:color w:val="FFFFFF"/>
              </w:rPr>
              <w:t xml:space="preserve">Rango (% de brecha CCL/mayorista)</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 14</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14 – 20</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20 – 23,33</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 23,33</w:t>
            </w:r>
          </w:p>
        </w:tc>
        <w:tc>
          <w:tcPr>
            <w:shd w:val="clear" w:color="auto" w:fill="FEE2E2"/>
          </w:tcPr>
          <w:p>
            <w:pPr>
              <w:pStyle w:val="Compact"/>
              <w:jc w:val="center"/>
            </w:pPr>
            <w:r>
              <w:rPr>
                <w:b/>
                <w:sz w:val="18"/>
                <w:color w:val="7F1D1D"/>
              </w:rPr>
              <w:t xml:space="preserve">ROJO</w:t>
            </w:r>
          </w:p>
        </w:tc>
      </w:tr>
    </w:tbl>
    <w:bookmarkEnd w:id="28"/>
    <w:bookmarkStart w:id="29" w:name="datos-concretos-detrás-del-valor"/>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02"/>
        </w:numPr>
        <w:pStyle w:val="Compact"/>
      </w:pPr>
      <w:r>
        <w:t xml:space="preserve">El informe publica el valor (5,49 % de brecha CCL/mayorista) pero no los números que lo componen: la fuente entrega la serie ya calculada. Para auditar el dato hay que ir a la operación estadística citada más arriba.</w:t>
      </w:r>
    </w:p>
    <w:bookmarkEnd w:id="29"/>
    <w:bookmarkStart w:id="30" w:name="color-vigente-y-por-qué"/>
    <w:p>
      <w:pPr>
        <w:pStyle w:val="Heading2"/>
        <w:keepNext/>
      </w:pPr>
      <w:r>
        <w:t xml:space="preserve">Color vigente y por qué</w:t>
      </w:r>
    </w:p>
    <w:p>
      <w:pPr>
        <w:pStyle w:val="FirstParagraph"/>
      </w:pPr>
      <w:r>
        <w:t xml:space="preserve">Dato vigente: 5,49 % de brecha CCL/mayorista (2026-08).</w:t>
      </w:r>
    </w:p>
    <w:p>
      <w:pPr>
        <w:pStyle w:val="BodyText"/>
      </w:pPr>
      <w:r>
        <w:t xml:space="preserve">5,49 % de brecha CCL/mayorista cae en el tramo que corresponde a Verde, a 8,51 del corte más cercano.</w:t>
      </w:r>
    </w:p>
    <w:p>
      <w:pPr>
        <w:pStyle w:val="BodyText"/>
      </w:pPr>
      <w:r>
        <w:rPr>
          <w:bCs/>
          <w:b/>
        </w:rPr>
        <w:t xml:space="preserve">Color vigente: VERDE</w:t>
      </w:r>
    </w:p>
    <w:p>
      <w:pPr>
        <w:pStyle w:val="BodyText"/>
      </w:pPr>
      <w:r>
        <w:t xml:space="preserve">Ponderación vigente en el ITCG: 14 % efectivo. El color es una lectura adicional — no reemplaza ni cambia esta ponderación.</w:t>
      </w:r>
    </w:p>
    <w:bookmarkEnd w:id="30"/>
    <w:bookmarkStart w:id="31" w:name="transparencia-limitaciones-declaradas"/>
    <w:p>
      <w:pPr>
        <w:pStyle w:val="Heading2"/>
        <w:keepNext/>
      </w:pPr>
      <w:r>
        <w:t xml:space="preserve">Transparencia — limitaciones declaradas</w:t>
      </w:r>
    </w:p>
    <w:p>
      <w:pPr>
        <w:numPr>
          <w:ilvl w:val="0"/>
          <w:numId w:val="1003"/>
        </w:numPr>
        <w:pStyle w:val="Compact"/>
      </w:pPr>
      <w:r>
        <w:t xml:space="preserve">La fuente es un agregador privado, no un organismo oficial (el mayorista replica la referencia oficial).</w:t>
      </w:r>
    </w:p>
    <w:p>
      <w:pPr>
        <w:numPr>
          <w:ilvl w:val="0"/>
          <w:numId w:val="1003"/>
        </w:numPr>
        <w:pStyle w:val="Compact"/>
      </w:pPr>
      <w:r>
        <w:t xml:space="preserve">Mide el cepo por su precio (la brecha que paga quien no accede al mercado oficial), no el stock regulatorio de restricciones.</w:t>
      </w:r>
    </w:p>
    <w:p>
      <w:pPr>
        <w:numPr>
          <w:ilvl w:val="0"/>
          <w:numId w:val="1003"/>
        </w:numPr>
        <w:pStyle w:val="Compact"/>
      </w:pPr>
      <w:r>
        <w:t xml:space="preserve">El valor de la card es el spot del día; la serie usa promedios mensuales — difieren de forma inmaterial, declarado.</w:t>
      </w:r>
    </w:p>
    <w:bookmarkEnd w:id="31"/>
    <w:bookmarkStart w:id="32" w:name="si-falta-el-dato-política-de-revisiones"/>
    <w:p>
      <w:pPr>
        <w:pStyle w:val="Heading2"/>
        <w:keepNext/>
      </w:pPr>
      <w:r>
        <w:t xml:space="preserve">Si falta el dato / Política de revisiones</w:t>
      </w:r>
    </w:p>
    <w:p>
      <w:pPr>
        <w:numPr>
          <w:ilvl w:val="0"/>
          <w:numId w:val="1004"/>
        </w:numPr>
      </w:pPr>
      <w:r>
        <w:rPr>
          <w:bCs/>
          <w:b/>
        </w:rPr>
        <w:t xml:space="preserve">Si falta el dato:</w:t>
      </w:r>
      <w:r>
        <w:t xml:space="preserve"> </w:t>
      </w:r>
      <w:r>
        <w:t xml:space="preserve">Si la API falla, se mantiene el último valor disponible, señalado como desactualizado; sin dato, los pesos de la dimensión se renormalizan.</w:t>
      </w:r>
    </w:p>
    <w:p>
      <w:pPr>
        <w:numPr>
          <w:ilvl w:val="0"/>
          <w:numId w:val="1004"/>
        </w:numPr>
      </w:pPr>
      <w:r>
        <w:rPr>
          <w:bCs/>
          <w:b/>
        </w:rPr>
        <w:t xml:space="preserve">Política de revisiones:</w:t>
      </w:r>
      <w:r>
        <w:t xml:space="preserve"> </w:t>
      </w:r>
      <w:r>
        <w:t xml:space="preserve">Cotizaciones cerradas, sin revisión; el punto del mes corriente se recalcula a diario.</w:t>
      </w:r>
    </w:p>
    <w:bookmarkEnd w:id="32"/>
    <w:bookmarkStart w:id="33" w:name="Xa4c99cad3d412932a0237e958bf70f8f0cdbe7e"/>
    <w:p>
      <w:pPr>
        <w:pStyle w:val="Heading2"/>
        <w:keepNext/>
      </w:pPr>
      <w:r>
        <w:t xml:space="preserve">Historial — cambios metodológicos documentados</w:t>
      </w:r>
    </w:p>
    <w:p>
      <w:pPr>
        <w:pStyle w:val="FirstParagraph"/>
      </w:pPr>
      <w:r>
        <w:rPr>
          <w:bCs/>
          <w:b/>
        </w:rPr>
        <w:t xml:space="preserve">2026-05</w:t>
      </w:r>
      <w:r>
        <w:t xml:space="preserve"> </w:t>
      </w:r>
      <w:r>
        <w:t xml:space="preserve">— Versión inicial del indicador sobre la brecha CCL/oficial minorista, en la escala de avance del cinturón anterior.</w:t>
      </w:r>
    </w:p>
    <w:p>
      <w:pPr>
        <w:pStyle w:val="BodyText"/>
      </w:pPr>
      <w:r>
        <w:rPr>
          <w:bCs/>
          <w:b/>
        </w:rPr>
        <w:t xml:space="preserve">2026-07-02</w:t>
      </w:r>
      <w:r>
        <w:t xml:space="preserve"> </w:t>
      </w:r>
      <w:r>
        <w:t xml:space="preserve">— Entra al ITCG con umbrales institucionales sobre la brecha CCL/mayorista.</w:t>
      </w:r>
    </w:p>
    <w:p>
      <w:pPr>
        <w:pStyle w:val="BodyText"/>
      </w:pPr>
      <w:r>
        <w:rPr>
          <w:bCs/>
          <w:b/>
        </w:rPr>
        <w:t xml:space="preserve">2026-07-03</w:t>
      </w:r>
      <w:r>
        <w:t xml:space="preserve"> </w:t>
      </w:r>
      <w:r>
        <w:t xml:space="preserve">— Puntaje interpolado entre anclas. Además, la brecha deja de puntuar una segunda vez dentro del compuesto de apertura comercial: puntúa una sola vez, acá.</w:t>
      </w:r>
    </w:p>
    <w:p>
      <w:r>
        <w:br w:type="page"/>
      </w:r>
    </w:p>
    <w:p>
      <w:pPr>
        <w:pStyle w:val="BodyText"/>
      </w:pPr>
      <w:r>
        <w:rPr>
          <w:bCs/>
          <w:b/>
        </w:rPr>
        <w:t xml:space="preserve">CIGOB · INFORME DE COYUNTURA</w:t>
      </w:r>
    </w:p>
    <w:p>
      <w:pPr>
        <w:pStyle w:val="BodyText"/>
      </w:pPr>
      <w:r>
        <w:rPr>
          <w:iCs/>
          <w:i/>
        </w:rPr>
        <w:t xml:space="preserve">Ficha metodológica · Cinturón Gestión · Capa de semáforo (4 colores)</w:t>
      </w:r>
    </w:p>
    <w:bookmarkEnd w:id="33"/>
    <w:bookmarkEnd w:id="34"/>
    <w:bookmarkStart w:id="44" w:name="apertura-comercial-alícuota"/>
    <w:p>
      <w:pPr>
        <w:pStyle w:val="Heading1"/>
        <w:keepNext/>
      </w:pPr>
      <w:r>
        <w:t xml:space="preserve">Apertura comercial (alícuota)</w:t>
      </w:r>
    </w:p>
    <w:p>
      <w:pPr>
        <w:pStyle w:val="FirstParagraph"/>
      </w:pPr>
      <w:r>
        <w:t xml:space="preserve">La alícuota efectiva del comercio exterior: cuántos impuestos (derechos de importación + exportación, ARCA) paga en promedio cada dólar de intercambio (expo+impo del ICA). 0% = comercio libre de fricción arancelaria; 15% o más = cierre de hecho.</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6,18 % del intercambio (alícuota efectiva)</w:t>
            </w:r>
            <w:r>
              <w:rPr>
                <w:sz w:val="18"/>
              </w:rPr>
              <w:t xml:space="preserve"> </w:t>
            </w:r>
            <w:r>
              <w:rPr>
                <w:sz w:val="18"/>
              </w:rPr>
              <w:t xml:space="preserve">(2026-06)</w:t>
            </w:r>
          </w:p>
        </w:tc>
        <w:tc>
          <w:tcPr>
            <w:shd w:val="clear" w:color="auto" w:fill="FEF3C7"/>
          </w:tcPr>
          <w:p>
            <w:pPr>
              <w:pStyle w:val="Compact"/>
              <w:jc w:val="center"/>
            </w:pPr>
            <w:r>
              <w:rPr>
                <w:bCs/>
                <w:b/>
                <w:sz w:val="18"/>
                <w:color w:val="713F12"/>
              </w:rPr>
              <w:t xml:space="preserve">AMARILLO</w:t>
            </w:r>
          </w:p>
        </w:tc>
        <w:tc>
          <w:p>
            <w:pPr>
              <w:pStyle w:val="Compact"/>
              <w:jc w:val="left"/>
            </w:pPr>
            <w:r>
              <w:rPr>
                <w:sz w:val="18"/>
              </w:rPr>
              <w:t xml:space="preserve">Peso efectivo 14 % del ITCG</w:t>
            </w:r>
          </w:p>
        </w:tc>
        <w:tc>
          <w:p>
            <w:pPr>
              <w:pStyle w:val="Compact"/>
              <w:jc w:val="left"/>
            </w:pPr>
            <w:r>
              <w:rPr>
                <w:sz w:val="18"/>
              </w:rPr>
              <w:t xml:space="preserve">Cinturón Gestión</w:t>
            </w:r>
          </w:p>
        </w:tc>
      </w:tr>
    </w:tbl>
    <w:bookmarkStart w:id="35" w:name="identificación-1"/>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apertura_comercial</w:t>
            </w:r>
          </w:p>
        </w:tc>
        <w:tc>
          <w:p>
            <w:pPr>
              <w:pStyle w:val="Compact"/>
              <w:jc w:val="left"/>
            </w:pPr>
            <w:r>
              <w:rPr>
                <w:bCs/>
                <w:b/>
                <w:sz w:val="18"/>
              </w:rPr>
              <w:t xml:space="preserve">CINTURÓN</w:t>
            </w:r>
          </w:p>
        </w:tc>
        <w:tc>
          <w:p>
            <w:pPr>
              <w:pStyle w:val="Compact"/>
              <w:jc w:val="left"/>
            </w:pPr>
            <w:r>
              <w:rPr>
                <w:sz w:val="18"/>
              </w:rPr>
              <w:t xml:space="preserve">Gestión</w:t>
            </w:r>
          </w:p>
        </w:tc>
      </w:tr>
      <w:tr>
        <w:trPr>
          <w:cantSplit/>
        </w:trPr>
        <w:tc>
          <w:p>
            <w:pPr>
              <w:pStyle w:val="Compact"/>
              <w:jc w:val="left"/>
            </w:pPr>
            <w:r>
              <w:rPr>
                <w:bCs/>
                <w:b/>
                <w:sz w:val="18"/>
              </w:rPr>
              <w:t xml:space="preserve">DIMENSIÓN EN EL ITCG</w:t>
            </w:r>
          </w:p>
        </w:tc>
        <w:tc>
          <w:p>
            <w:pPr>
              <w:pStyle w:val="Compact"/>
              <w:jc w:val="left"/>
            </w:pPr>
            <w:r>
              <w:rPr>
                <w:sz w:val="18"/>
              </w:rPr>
              <w:t xml:space="preserve">Reformas económicas fundamentales</w:t>
            </w:r>
          </w:p>
        </w:tc>
        <w:tc>
          <w:p>
            <w:pPr>
              <w:pStyle w:val="Compact"/>
              <w:jc w:val="left"/>
            </w:pPr>
            <w:r>
              <w:rPr>
                <w:bCs/>
                <w:b/>
                <w:sz w:val="18"/>
              </w:rPr>
              <w:t xml:space="preserve">UNIDAD DE MEDIDA</w:t>
            </w:r>
          </w:p>
        </w:tc>
        <w:tc>
          <w:p>
            <w:pPr>
              <w:pStyle w:val="Compact"/>
              <w:jc w:val="left"/>
            </w:pPr>
            <w:r>
              <w:rPr>
                <w:sz w:val="18"/>
              </w:rPr>
              <w:t xml:space="preserve">% del intercambio (alícuota efectiva)</w:t>
            </w:r>
          </w:p>
        </w:tc>
      </w:tr>
      <w:tr>
        <w:trPr>
          <w:cantSplit/>
        </w:trPr>
        <w:tc>
          <w:p>
            <w:pPr>
              <w:pStyle w:val="Compact"/>
              <w:jc w:val="left"/>
            </w:pPr>
            <w:r>
              <w:rPr>
                <w:bCs/>
                <w:b/>
                <w:sz w:val="18"/>
              </w:rPr>
              <w:t xml:space="preserve">SERIE DISPONIBLE</w:t>
            </w:r>
          </w:p>
        </w:tc>
        <w:tc>
          <w:p>
            <w:pPr>
              <w:pStyle w:val="Compact"/>
              <w:jc w:val="left"/>
            </w:pPr>
            <w:r>
              <w:rPr>
                <w:sz w:val="18"/>
              </w:rPr>
              <w:t xml:space="preserve">2023-12 → 2026-06 (31 puntos)</w:t>
            </w:r>
          </w:p>
        </w:tc>
        <w:tc>
          <w:p>
            <w:pPr>
              <w:pStyle w:val="Compact"/>
              <w:jc w:val="left"/>
            </w:pPr>
            <w:r>
              <w:rPr>
                <w:bCs/>
                <w:b/>
                <w:sz w:val="18"/>
              </w:rPr>
              <w:t xml:space="preserve">REZAGO DE PUBLICACIÓN</w:t>
            </w:r>
          </w:p>
        </w:tc>
        <w:tc>
          <w:p>
            <w:pPr>
              <w:pStyle w:val="Compact"/>
              <w:jc w:val="left"/>
            </w:pPr>
            <w:r>
              <w:rPr>
                <w:sz w:val="18"/>
              </w:rPr>
              <w:t xml:space="preserve">El titular usa el último mes común entre cinco series oficiales con rezagos distintos: ~2 meses.</w:t>
            </w:r>
          </w:p>
        </w:tc>
      </w:tr>
      <w:tr>
        <w:trPr>
          <w:cantSplit/>
        </w:trPr>
        <w:tc>
          <w:p>
            <w:pPr>
              <w:pStyle w:val="Compact"/>
              <w:jc w:val="left"/>
            </w:pPr>
            <w:r>
              <w:rPr>
                <w:bCs/>
                <w:b/>
                <w:sz w:val="18"/>
              </w:rPr>
              <w:t xml:space="preserve">PRODUCTOR DEL DATO</w:t>
            </w:r>
          </w:p>
        </w:tc>
        <w:tc>
          <w:p>
            <w:pPr>
              <w:pStyle w:val="Compact"/>
              <w:jc w:val="left"/>
            </w:pPr>
            <w:r>
              <w:rPr>
                <w:sz w:val="18"/>
              </w:rPr>
              <w:t xml:space="preserve">ARCA (recaudación de derechos) + INDEC (intercambio comercial) + BCRA (tipo de cambio)</w:t>
            </w:r>
          </w:p>
        </w:tc>
        <w:tc>
          <w:p>
            <w:pPr>
              <w:pStyle w:val="Compact"/>
              <w:jc w:val="left"/>
            </w:pPr>
            <w:r>
              <w:rPr>
                <w:bCs/>
                <w:b/>
                <w:sz w:val="18"/>
              </w:rPr>
              <w:t xml:space="preserve">OPERACIÓN ESTADÍSTICA</w:t>
            </w:r>
          </w:p>
        </w:tc>
        <w:tc>
          <w:p>
            <w:pPr>
              <w:pStyle w:val="Compact"/>
              <w:jc w:val="left"/>
            </w:pPr>
            <w:r>
              <w:rPr>
                <w:sz w:val="18"/>
              </w:rPr>
              <w:t xml:space="preserve">Alícuota efectiva del comercio exterior: derechos de exportación e importación recaudados sobre el intercambio total</w:t>
            </w:r>
          </w:p>
        </w:tc>
      </w:tr>
      <w:tr>
        <w:trPr>
          <w:cantSplit/>
        </w:trPr>
        <w:tc>
          <w:p>
            <w:pPr>
              <w:pStyle w:val="Compact"/>
              <w:jc w:val="left"/>
            </w:pPr>
            <w:r>
              <w:rPr>
                <w:bCs/>
                <w:b/>
                <w:sz w:val="18"/>
              </w:rPr>
              <w:t xml:space="preserve">MODO DE ACCESO</w:t>
            </w:r>
          </w:p>
        </w:tc>
        <w:tc>
          <w:p>
            <w:pPr>
              <w:pStyle w:val="Compact"/>
              <w:jc w:val="left"/>
            </w:pPr>
            <w:r>
              <w:rPr>
                <w:sz w:val="18"/>
              </w:rPr>
              <w:t xml:space="preserve">Automático: APIs públicas de series de tiempo y del BCRA.</w:t>
            </w:r>
          </w:p>
        </w:tc>
        <w:tc>
          <w:p>
            <w:pPr>
              <w:pStyle w:val="Compact"/>
              <w:jc w:val="left"/>
            </w:pPr>
            <w:r>
              <w:rPr>
                <w:bCs/>
                <w:b/>
                <w:sz w:val="18"/>
              </w:rPr>
              <w:t xml:space="preserve">ÚLTIMA ACTUALIZACIÓN</w:t>
            </w:r>
          </w:p>
        </w:tc>
        <w:tc>
          <w:p>
            <w:pPr>
              <w:pStyle w:val="Compact"/>
              <w:jc w:val="left"/>
            </w:pPr>
            <w:r>
              <w:rPr>
                <w:sz w:val="18"/>
              </w:rPr>
              <w:t xml:space="preserve">Dato a 2026-06 · informe generado el 2026-08-09</w:t>
            </w:r>
          </w:p>
        </w:tc>
      </w:tr>
    </w:tbl>
    <w:bookmarkEnd w:id="35"/>
    <w:bookmarkStart w:id="36" w:name="definición-qué-mide-y-por-qué-importa-1"/>
    <w:p>
      <w:pPr>
        <w:pStyle w:val="Heading2"/>
        <w:keepNext/>
      </w:pPr>
      <w:r>
        <w:t xml:space="preserve">Definición — qué mide y por qué importa</w:t>
      </w:r>
    </w:p>
    <w:p>
      <w:pPr>
        <w:pStyle w:val="FirstParagraph"/>
      </w:pPr>
      <w:r>
        <w:t xml:space="preserve">La alícuota efectiva del comercio exterior: cuántos impuestos (derechos de importación + exportación, ARCA) paga en promedio cada dólar de intercambio (expo+impo del ICA). 0% = comercio libre de fricción arancelaria; 15% o más = cierre de hecho.</w:t>
      </w:r>
    </w:p>
    <w:p>
      <w:pPr>
        <w:pStyle w:val="BodyText"/>
      </w:pPr>
      <w:r>
        <w:t xml:space="preserve">No mide cuántos dólares entran o salen (eso puede ser una buena cosecha): mide si el Estado desmantela la fricción impositiva que encarece el comercio. La brecha cambiaria puntúa aparte, en su propio indicador.</w:t>
      </w:r>
    </w:p>
    <w:p>
      <w:pPr>
        <w:pStyle w:val="BodyText"/>
      </w:pPr>
      <w:r>
        <w:rPr>
          <w:bCs/>
          <w:b/>
        </w:rPr>
        <w:t xml:space="preserve">Dimensión que integra — Reformas económicas fundamentales.</w:t>
      </w:r>
      <w:r>
        <w:t xml:space="preserve"> </w:t>
      </w:r>
      <w:r>
        <w:t xml:space="preserve">El corazón de la promesa económica: cepo desarmado (brecha cambiaria), comercio exterior abierto (alícuota efectiva) y desregulación normativa.</w:t>
      </w:r>
    </w:p>
    <w:bookmarkEnd w:id="36"/>
    <w:bookmarkStart w:id="37" w:name="método-de-cómputo-1"/>
    <w:p>
      <w:pPr>
        <w:pStyle w:val="Heading2"/>
        <w:keepNext/>
      </w:pPr>
      <w:r>
        <w:t xml:space="preserve">Método de cómputo</w:t>
      </w:r>
    </w:p>
    <w:p>
      <w:pPr>
        <w:numPr>
          <w:ilvl w:val="0"/>
          <w:numId w:val="1005"/>
        </w:numPr>
        <w:pStyle w:val="Compact"/>
      </w:pPr>
      <w:r>
        <w:t xml:space="preserve">Alícuota = derechos de exportación + importación (convertidos a dólares por el tipo de cambio oficial promedio del mes) sobre el intercambio total (exportaciones + importaciones).</w:t>
      </w:r>
    </w:p>
    <w:p>
      <w:pPr>
        <w:numPr>
          <w:ilvl w:val="0"/>
          <w:numId w:val="1005"/>
        </w:numPr>
        <w:pStyle w:val="Compact"/>
      </w:pPr>
      <w:r>
        <w:t xml:space="preserve">Lectura llana: cuántos centavos de impuesto paga cada dólar comerciado. 0% = libre comercio; 15% del intercambio ≈ cierre comercial de hecho.</w:t>
      </w:r>
    </w:p>
    <w:bookmarkEnd w:id="37"/>
    <w:bookmarkStart w:id="38" w:name="Xb12ddc46376972206f8477b880174f9cd0b3196"/>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pPr>
      <w:r>
        <w:rPr>
          <w:bCs/>
          <w:b/>
        </w:rPr>
        <w:t xml:space="preserve">Valores que definen cada color</w:t>
      </w:r>
    </w:p>
    <w:tbl>
      <w:tblPr>
        <w:tblStyle w:val="Table"/>
        <w:tblW w:type="pct" w:w="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tr>
        <w:trPr>
          <w:cantSplit/>
          <w:tblHeader/>
        </w:trPr>
        <w:tc>
          <w:tcPr>
            <w:shd w:val="clear" w:color="auto" w:fill="1F3A34"/>
          </w:tcPr>
          <w:p>
            <w:pPr>
              <w:pStyle w:val="Compact"/>
              <w:jc w:val="left"/>
            </w:pPr>
            <w:r>
              <w:rPr>
                <w:b/>
                <w:sz w:val="18"/>
                <w:color w:val="FFFFFF"/>
              </w:rPr>
              <w:t xml:space="preserve">Rango (% del intercambio (alícuota efectiva))</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 6</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6 – 9</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9 – 10,33</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 10,33</w:t>
            </w:r>
          </w:p>
        </w:tc>
        <w:tc>
          <w:tcPr>
            <w:shd w:val="clear" w:color="auto" w:fill="FEE2E2"/>
          </w:tcPr>
          <w:p>
            <w:pPr>
              <w:pStyle w:val="Compact"/>
              <w:jc w:val="center"/>
            </w:pPr>
            <w:r>
              <w:rPr>
                <w:b/>
                <w:sz w:val="18"/>
                <w:color w:val="7F1D1D"/>
              </w:rPr>
              <w:t xml:space="preserve">ROJO</w:t>
            </w:r>
          </w:p>
        </w:tc>
      </w:tr>
    </w:tbl>
    <w:bookmarkEnd w:id="38"/>
    <w:bookmarkStart w:id="39" w:name="datos-concretos-detrás-del-valor-1"/>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06"/>
        </w:numPr>
        <w:pStyle w:val="Compact"/>
      </w:pPr>
      <w:r>
        <w:t xml:space="preserve">US$ 984 M recaudados por derechos de impo+expo sobre US$ 15.916 M de intercambio (2026-06) · canal aduanero sin fuente pública</w:t>
      </w:r>
    </w:p>
    <w:bookmarkEnd w:id="39"/>
    <w:bookmarkStart w:id="40" w:name="color-vigente-y-por-qué-1"/>
    <w:p>
      <w:pPr>
        <w:pStyle w:val="Heading2"/>
        <w:keepNext/>
      </w:pPr>
      <w:r>
        <w:t xml:space="preserve">Color vigente y por qué</w:t>
      </w:r>
    </w:p>
    <w:p>
      <w:pPr>
        <w:pStyle w:val="FirstParagraph"/>
      </w:pPr>
      <w:r>
        <w:t xml:space="preserve">Dato vigente: 6,18 % del intercambio (alícuota efectiva) (2026-06).</w:t>
      </w:r>
    </w:p>
    <w:p>
      <w:pPr>
        <w:pStyle w:val="BodyText"/>
      </w:pPr>
      <w:r>
        <w:t xml:space="preserve">6,18 % del intercambio (alícuota efectiva) cae en el tramo que corresponde a Amarillo, a 0,18 del corte más cercano.</w:t>
      </w:r>
    </w:p>
    <w:p>
      <w:pPr>
        <w:pStyle w:val="BodyText"/>
      </w:pPr>
      <w:r>
        <w:rPr>
          <w:bCs/>
          <w:b/>
        </w:rPr>
        <w:t xml:space="preserve">Color vigente: AMARILLO</w:t>
      </w:r>
    </w:p>
    <w:p>
      <w:pPr>
        <w:pStyle w:val="BodyText"/>
      </w:pPr>
      <w:r>
        <w:t xml:space="preserve">Ponderación vigente en el ITCG: 14 % efectivo. El color es una lectura adicional — no reemplaza ni cambia esta ponderación.</w:t>
      </w:r>
    </w:p>
    <w:bookmarkEnd w:id="40"/>
    <w:bookmarkStart w:id="41" w:name="transparencia-limitaciones-declaradas-1"/>
    <w:p>
      <w:pPr>
        <w:pStyle w:val="Heading2"/>
        <w:keepNext/>
      </w:pPr>
      <w:r>
        <w:t xml:space="preserve">Transparencia — limitaciones declaradas</w:t>
      </w:r>
    </w:p>
    <w:p>
      <w:pPr>
        <w:numPr>
          <w:ilvl w:val="0"/>
          <w:numId w:val="1007"/>
        </w:numPr>
        <w:pStyle w:val="Compact"/>
      </w:pPr>
      <w:r>
        <w:t xml:space="preserve">Mide la fricción arancelaria efectiva, no las barreras no arancelarias.</w:t>
      </w:r>
    </w:p>
    <w:p>
      <w:pPr>
        <w:numPr>
          <w:ilvl w:val="0"/>
          <w:numId w:val="1007"/>
        </w:numPr>
        <w:pStyle w:val="Compact"/>
      </w:pPr>
      <w:r>
        <w:t xml:space="preserve">El «canal verde» aduanero (parte del diseño institucional original) sigue sin fuente pública estructurada y no se mide.</w:t>
      </w:r>
    </w:p>
    <w:p>
      <w:pPr>
        <w:numPr>
          <w:ilvl w:val="0"/>
          <w:numId w:val="1007"/>
        </w:numPr>
        <w:pStyle w:val="Compact"/>
      </w:pPr>
      <w:r>
        <w:t xml:space="preserve">Depende del mes común entre cinco series con rezagos distintos.</w:t>
      </w:r>
    </w:p>
    <w:bookmarkEnd w:id="41"/>
    <w:bookmarkStart w:id="42" w:name="X5bd7fb7e3de0539204b5af8f15d14927966600e"/>
    <w:p>
      <w:pPr>
        <w:pStyle w:val="Heading2"/>
        <w:keepNext/>
      </w:pPr>
      <w:r>
        <w:t xml:space="preserve">Si falta el dato / Política de revisiones</w:t>
      </w:r>
    </w:p>
    <w:p>
      <w:pPr>
        <w:numPr>
          <w:ilvl w:val="0"/>
          <w:numId w:val="1008"/>
        </w:numPr>
      </w:pPr>
      <w:r>
        <w:rPr>
          <w:bCs/>
          <w:b/>
        </w:rPr>
        <w:t xml:space="preserve">Si falta el dato:</w:t>
      </w:r>
      <w:r>
        <w:t xml:space="preserve"> </w:t>
      </w:r>
      <w:r>
        <w:t xml:space="preserve">Si falta un insumo, se mantiene el último valor disponible, señalado como desactualizado; sin dato, los pesos de la dimensión se renormalizan.</w:t>
      </w:r>
    </w:p>
    <w:p>
      <w:pPr>
        <w:numPr>
          <w:ilvl w:val="0"/>
          <w:numId w:val="1008"/>
        </w:numPr>
      </w:pPr>
      <w:r>
        <w:rPr>
          <w:bCs/>
          <w:b/>
        </w:rPr>
        <w:t xml:space="preserve">Política de revisiones:</w:t>
      </w:r>
      <w:r>
        <w:t xml:space="preserve"> </w:t>
      </w:r>
      <w:r>
        <w:t xml:space="preserve">Las series oficiales pueden revisarse; la serie propia se recalcula completa en cada actualización.</w:t>
      </w:r>
    </w:p>
    <w:bookmarkEnd w:id="42"/>
    <w:bookmarkStart w:id="43" w:name="X96d65d75de98372a532c7c1fba300d7558b9e4c"/>
    <w:p>
      <w:pPr>
        <w:pStyle w:val="Heading2"/>
        <w:keepNext/>
      </w:pPr>
      <w:r>
        <w:t xml:space="preserve">Historial — cambios metodológicos documentados</w:t>
      </w:r>
    </w:p>
    <w:p>
      <w:pPr>
        <w:pStyle w:val="FirstParagraph"/>
      </w:pPr>
      <w:r>
        <w:rPr>
          <w:bCs/>
          <w:b/>
        </w:rPr>
        <w:t xml:space="preserve">2026-05</w:t>
      </w:r>
      <w:r>
        <w:t xml:space="preserve"> </w:t>
      </w:r>
      <w:r>
        <w:t xml:space="preserve">— Versión inicial como variación interanual de importaciones (aproximación de apertura).</w:t>
      </w:r>
    </w:p>
    <w:p>
      <w:pPr>
        <w:pStyle w:val="BodyText"/>
      </w:pPr>
      <w:r>
        <w:rPr>
          <w:bCs/>
          <w:b/>
        </w:rPr>
        <w:t xml:space="preserve">2026-07-02</w:t>
      </w:r>
      <w:r>
        <w:t xml:space="preserve"> </w:t>
      </w:r>
      <w:r>
        <w:t xml:space="preserve">— Pasa a un compuesto de liberalización (brecha cambiaria + alícuota) con el ITCG.</w:t>
      </w:r>
    </w:p>
    <w:p>
      <w:pPr>
        <w:pStyle w:val="BodyText"/>
      </w:pPr>
      <w:r>
        <w:rPr>
          <w:bCs/>
          <w:b/>
        </w:rPr>
        <w:t xml:space="preserve">2026-07-03</w:t>
      </w:r>
      <w:r>
        <w:t xml:space="preserve"> </w:t>
      </w:r>
      <w:r>
        <w:t xml:space="preserve">— Queda la alícuota efectiva sola: la brecha cambiaria ya puntuaba como indicador propio y el compuesto la hacía pesar dos veces en la dimensión. Las anclas se eligieron sobre la recta del documento (0% → 100 · 15% → 0).</w:t>
      </w:r>
    </w:p>
    <w:p>
      <w:r>
        <w:br w:type="page"/>
      </w:r>
    </w:p>
    <w:p>
      <w:pPr>
        <w:pStyle w:val="BodyText"/>
      </w:pPr>
      <w:r>
        <w:rPr>
          <w:bCs/>
          <w:b/>
        </w:rPr>
        <w:t xml:space="preserve">CIGOB · INFORME DE COYUNTURA</w:t>
      </w:r>
    </w:p>
    <w:p>
      <w:pPr>
        <w:pStyle w:val="BodyText"/>
      </w:pPr>
      <w:r>
        <w:rPr>
          <w:iCs/>
          <w:i/>
        </w:rPr>
        <w:t xml:space="preserve">Ficha metodológica · Cinturón Gestión · Capa de semáforo (4 colores)</w:t>
      </w:r>
    </w:p>
    <w:bookmarkEnd w:id="43"/>
    <w:bookmarkEnd w:id="44"/>
    <w:bookmarkStart w:id="54" w:name="desregulación-normativa"/>
    <w:p>
      <w:pPr>
        <w:pStyle w:val="Heading1"/>
        <w:keepNext/>
      </w:pPr>
      <w:r>
        <w:t xml:space="preserve">Desregulación normativa</w:t>
      </w:r>
    </w:p>
    <w:p>
      <w:pPr>
        <w:pStyle w:val="FirstParagraph"/>
      </w:pPr>
      <w:r>
        <w:t xml:space="preserve">Cuántos artículos de normas quedaron modificados o eliminados por el programa desregulador desde el 10 de diciembre de 2023, según el conteo oficial del Ministerio de Desregulación y Transformación del Estado.</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16.178 artículos de normas modificados o eliminados, acumulados desde dic-2023</w:t>
            </w:r>
            <w:r>
              <w:rPr>
                <w:sz w:val="18"/>
              </w:rPr>
              <w:t xml:space="preserve"> </w:t>
            </w:r>
            <w:r>
              <w:rPr>
                <w:sz w:val="18"/>
              </w:rPr>
              <w:t xml:space="preserve">(2026-06)</w:t>
            </w:r>
          </w:p>
        </w:tc>
        <w:tc>
          <w:tcPr>
            <w:shd w:val="clear" w:color="auto" w:fill="DCFCE7"/>
          </w:tcPr>
          <w:p>
            <w:pPr>
              <w:pStyle w:val="Compact"/>
              <w:jc w:val="center"/>
            </w:pPr>
            <w:r>
              <w:rPr>
                <w:bCs/>
                <w:b/>
                <w:sz w:val="18"/>
                <w:color w:val="14532D"/>
              </w:rPr>
              <w:t xml:space="preserve">VERDE</w:t>
            </w:r>
          </w:p>
        </w:tc>
        <w:tc>
          <w:p>
            <w:pPr>
              <w:pStyle w:val="Compact"/>
              <w:jc w:val="left"/>
            </w:pPr>
            <w:r>
              <w:rPr>
                <w:sz w:val="18"/>
              </w:rPr>
              <w:t xml:space="preserve">Peso efectivo 7 % del ITCG</w:t>
            </w:r>
          </w:p>
        </w:tc>
        <w:tc>
          <w:p>
            <w:pPr>
              <w:pStyle w:val="Compact"/>
              <w:jc w:val="left"/>
            </w:pPr>
            <w:r>
              <w:rPr>
                <w:sz w:val="18"/>
              </w:rPr>
              <w:t xml:space="preserve">Cinturón Gestión</w:t>
            </w:r>
          </w:p>
        </w:tc>
      </w:tr>
    </w:tbl>
    <w:bookmarkStart w:id="45" w:name="identificación-2"/>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desregulacion_normativa</w:t>
            </w:r>
          </w:p>
        </w:tc>
        <w:tc>
          <w:p>
            <w:pPr>
              <w:pStyle w:val="Compact"/>
              <w:jc w:val="left"/>
            </w:pPr>
            <w:r>
              <w:rPr>
                <w:bCs/>
                <w:b/>
                <w:sz w:val="18"/>
              </w:rPr>
              <w:t xml:space="preserve">CINTURÓN</w:t>
            </w:r>
          </w:p>
        </w:tc>
        <w:tc>
          <w:p>
            <w:pPr>
              <w:pStyle w:val="Compact"/>
              <w:jc w:val="left"/>
            </w:pPr>
            <w:r>
              <w:rPr>
                <w:sz w:val="18"/>
              </w:rPr>
              <w:t xml:space="preserve">Gestión</w:t>
            </w:r>
          </w:p>
        </w:tc>
      </w:tr>
      <w:tr>
        <w:trPr>
          <w:cantSplit/>
        </w:trPr>
        <w:tc>
          <w:p>
            <w:pPr>
              <w:pStyle w:val="Compact"/>
              <w:jc w:val="left"/>
            </w:pPr>
            <w:r>
              <w:rPr>
                <w:bCs/>
                <w:b/>
                <w:sz w:val="18"/>
              </w:rPr>
              <w:t xml:space="preserve">DIMENSIÓN EN EL ITCG</w:t>
            </w:r>
          </w:p>
        </w:tc>
        <w:tc>
          <w:p>
            <w:pPr>
              <w:pStyle w:val="Compact"/>
              <w:jc w:val="left"/>
            </w:pPr>
            <w:r>
              <w:rPr>
                <w:sz w:val="18"/>
              </w:rPr>
              <w:t xml:space="preserve">Reformas económicas fundamentales</w:t>
            </w:r>
          </w:p>
        </w:tc>
        <w:tc>
          <w:p>
            <w:pPr>
              <w:pStyle w:val="Compact"/>
              <w:jc w:val="left"/>
            </w:pPr>
            <w:r>
              <w:rPr>
                <w:bCs/>
                <w:b/>
                <w:sz w:val="18"/>
              </w:rPr>
              <w:t xml:space="preserve">UNIDAD DE MEDIDA</w:t>
            </w:r>
          </w:p>
        </w:tc>
        <w:tc>
          <w:p>
            <w:pPr>
              <w:pStyle w:val="Compact"/>
              <w:jc w:val="left"/>
            </w:pPr>
            <w:r>
              <w:rPr>
                <w:sz w:val="18"/>
              </w:rPr>
              <w:t xml:space="preserve">artículos de normas modificados o eliminados, acumulados desde dic-2023</w:t>
            </w:r>
          </w:p>
        </w:tc>
      </w:tr>
      <w:tr>
        <w:trPr>
          <w:cantSplit/>
        </w:trPr>
        <w:tc>
          <w:p>
            <w:pPr>
              <w:pStyle w:val="Compact"/>
              <w:jc w:val="left"/>
            </w:pPr>
            <w:r>
              <w:rPr>
                <w:bCs/>
                <w:b/>
                <w:sz w:val="18"/>
              </w:rPr>
              <w:t xml:space="preserve">SERIE DISPONIBLE</w:t>
            </w:r>
          </w:p>
        </w:tc>
        <w:tc>
          <w:p>
            <w:pPr>
              <w:pStyle w:val="Compact"/>
              <w:jc w:val="left"/>
            </w:pPr>
            <w:r>
              <w:rPr>
                <w:sz w:val="18"/>
              </w:rPr>
              <w:t xml:space="preserve">2023-12 → 2026-06 (31 puntos)</w:t>
            </w:r>
          </w:p>
        </w:tc>
        <w:tc>
          <w:p>
            <w:pPr>
              <w:pStyle w:val="Compact"/>
              <w:jc w:val="left"/>
            </w:pPr>
            <w:r>
              <w:rPr>
                <w:bCs/>
                <w:b/>
                <w:sz w:val="18"/>
              </w:rPr>
              <w:t xml:space="preserve">REZAGO DE PUBLICACIÓN</w:t>
            </w:r>
          </w:p>
        </w:tc>
        <w:tc>
          <w:p>
            <w:pPr>
              <w:pStyle w:val="Compact"/>
              <w:jc w:val="left"/>
            </w:pPr>
            <w:r>
              <w:rPr>
                <w:sz w:val="18"/>
              </w:rPr>
              <w:t xml:space="preserve">El ministerio publica el informe de cada mes durante las primeras semanas del siguiente (~1 mes).</w:t>
            </w:r>
          </w:p>
        </w:tc>
      </w:tr>
      <w:tr>
        <w:trPr>
          <w:cantSplit/>
        </w:trPr>
        <w:tc>
          <w:p>
            <w:pPr>
              <w:pStyle w:val="Compact"/>
              <w:jc w:val="left"/>
            </w:pPr>
            <w:r>
              <w:rPr>
                <w:bCs/>
                <w:b/>
                <w:sz w:val="18"/>
              </w:rPr>
              <w:t xml:space="preserve">PRODUCTOR DEL DATO</w:t>
            </w:r>
          </w:p>
        </w:tc>
        <w:tc>
          <w:p>
            <w:pPr>
              <w:pStyle w:val="Compact"/>
              <w:jc w:val="left"/>
            </w:pPr>
            <w:r>
              <w:rPr>
                <w:sz w:val="18"/>
              </w:rPr>
              <w:t xml:space="preserve">Ministerio de Desregulación y Transformación del Estado — Unidad de Evaluación de Impacto</w:t>
            </w:r>
          </w:p>
        </w:tc>
        <w:tc>
          <w:p>
            <w:pPr>
              <w:pStyle w:val="Compact"/>
              <w:jc w:val="left"/>
            </w:pPr>
            <w:r>
              <w:rPr>
                <w:bCs/>
                <w:b/>
                <w:sz w:val="18"/>
              </w:rPr>
              <w:t xml:space="preserve">OPERACIÓN ESTADÍSTICA</w:t>
            </w:r>
          </w:p>
        </w:tc>
        <w:tc>
          <w:p>
            <w:pPr>
              <w:pStyle w:val="Compact"/>
              <w:jc w:val="left"/>
            </w:pPr>
            <w:r>
              <w:rPr>
                <w:sz w:val="18"/>
              </w:rPr>
              <w:t xml:space="preserve">Análisis de la desregulación implementada, informe mensual — artículos de normas modificados o eliminados, acumulados desde el 10 de diciembre de 2023</w:t>
            </w:r>
          </w:p>
        </w:tc>
      </w:tr>
      <w:tr>
        <w:trPr>
          <w:cantSplit/>
        </w:trPr>
        <w:tc>
          <w:p>
            <w:pPr>
              <w:pStyle w:val="Compact"/>
              <w:jc w:val="left"/>
            </w:pPr>
            <w:r>
              <w:rPr>
                <w:bCs/>
                <w:b/>
                <w:sz w:val="18"/>
              </w:rPr>
              <w:t xml:space="preserve">MODO DE ACCESO</w:t>
            </w:r>
          </w:p>
        </w:tc>
        <w:tc>
          <w:p>
            <w:pPr>
              <w:pStyle w:val="Compact"/>
              <w:jc w:val="left"/>
            </w:pPr>
            <w:r>
              <w:rPr>
                <w:sz w:val="18"/>
              </w:rPr>
              <w:t xml:space="preserve">Automático: se leen los enlaces de la página oficial y se extrae la cifra de portada de cada informe en PDF. Los nombres de archivo son irregulares, de modo que los enlaces se resuelven leyendo la página y nunca se arman a mano. Cada informe publicado se conserva, porque su contenido no cambia.</w:t>
            </w:r>
          </w:p>
        </w:tc>
        <w:tc>
          <w:p>
            <w:pPr>
              <w:pStyle w:val="Compact"/>
              <w:jc w:val="left"/>
            </w:pPr>
            <w:r>
              <w:rPr>
                <w:bCs/>
                <w:b/>
                <w:sz w:val="18"/>
              </w:rPr>
              <w:t xml:space="preserve">ÚLTIMA ACTUALIZACIÓN</w:t>
            </w:r>
          </w:p>
        </w:tc>
        <w:tc>
          <w:p>
            <w:pPr>
              <w:pStyle w:val="Compact"/>
              <w:jc w:val="left"/>
            </w:pPr>
            <w:r>
              <w:rPr>
                <w:sz w:val="18"/>
              </w:rPr>
              <w:t xml:space="preserve">Dato a 2026-06 · informe generado el 2026-08-09</w:t>
            </w:r>
          </w:p>
        </w:tc>
      </w:tr>
    </w:tbl>
    <w:bookmarkEnd w:id="45"/>
    <w:bookmarkStart w:id="46" w:name="definición-qué-mide-y-por-qué-importa-2"/>
    <w:p>
      <w:pPr>
        <w:pStyle w:val="Heading2"/>
        <w:keepNext/>
      </w:pPr>
      <w:r>
        <w:t xml:space="preserve">Definición — qué mide y por qué importa</w:t>
      </w:r>
    </w:p>
    <w:p>
      <w:pPr>
        <w:pStyle w:val="FirstParagraph"/>
      </w:pPr>
      <w:r>
        <w:t xml:space="preserve">Cuántos artículos de normas quedaron modificados o eliminados por el programa desregulador desde el 10 de diciembre de 2023, según el conteo oficial del Ministerio de Desregulación y Transformación del Estado.</w:t>
      </w:r>
    </w:p>
    <w:p>
      <w:pPr>
        <w:pStyle w:val="BodyText"/>
      </w:pPr>
      <w:r>
        <w:t xml:space="preserve">Mide el volumen de texto regulatorio efectivamente removido, no la cantidad de actos administrativos firmados. La diferencia importa: un decreto que reescribe quinientos artículos y una resolución que toca uno pesan igual si se cuentan normas, y muy distinto si se cuentan artículos. Muestra además la forma del programa en el tiempo, que es muy desigual: un arranque acotado, un salto marcado a partir de la Ley Bases y la creación del ministerio, y una aceleración durante 2026. La card publica también las otras dos cifras del mismo informe: cuántas normas de desregulación se dictaron y cuántas normas anteriores alcanzaron.</w:t>
      </w:r>
    </w:p>
    <w:p>
      <w:pPr>
        <w:pStyle w:val="BodyText"/>
      </w:pPr>
      <w:r>
        <w:rPr>
          <w:bCs/>
          <w:b/>
        </w:rPr>
        <w:t xml:space="preserve">Dimensión que integra — Reformas económicas fundamentales.</w:t>
      </w:r>
      <w:r>
        <w:t xml:space="preserve"> </w:t>
      </w:r>
      <w:r>
        <w:t xml:space="preserve">El corazón de la promesa económica: cepo desarmado (brecha cambiaria), comercio exterior abierto (alícuota efectiva) y desregulación normativa.</w:t>
      </w:r>
    </w:p>
    <w:bookmarkEnd w:id="46"/>
    <w:bookmarkStart w:id="47" w:name="método-de-cómputo-2"/>
    <w:p>
      <w:pPr>
        <w:pStyle w:val="Heading2"/>
        <w:keepNext/>
      </w:pPr>
      <w:r>
        <w:t xml:space="preserve">Método de cómputo</w:t>
      </w:r>
    </w:p>
    <w:p>
      <w:pPr>
        <w:numPr>
          <w:ilvl w:val="0"/>
          <w:numId w:val="1009"/>
        </w:numPr>
        <w:pStyle w:val="Compact"/>
      </w:pPr>
      <w:r>
        <w:t xml:space="preserve">El informe publica tres cifras: cuántas normas de desregulación se dictaron, cuántas normas anteriores alcanzaron y cuántos artículos quedaron modificados o eliminados. El indicador usa la tercera; las otras dos se muestran en la card como contexto.</w:t>
      </w:r>
    </w:p>
    <w:p>
      <w:pPr>
        <w:numPr>
          <w:ilvl w:val="0"/>
          <w:numId w:val="1009"/>
        </w:numPr>
        <w:pStyle w:val="Compact"/>
      </w:pPr>
      <w:r>
        <w:t xml:space="preserve">Se eligió el recuento de artículos porque las normas no son equivalentes entre sí: un decreto que reescribe quinientos artículos y una resolución que toca uno cuentan igual si se cuentan normas, y muy distinto si se cuentan artículos. Es la misma objeción que señaló la revisión externa del cinturón.</w:t>
      </w:r>
    </w:p>
    <w:p>
      <w:pPr>
        <w:numPr>
          <w:ilvl w:val="0"/>
          <w:numId w:val="1009"/>
        </w:numPr>
        <w:pStyle w:val="Compact"/>
      </w:pPr>
      <w:r>
        <w:t xml:space="preserve">El valor del mes es la cifra que el propio informe publica; no hay recálculo del proyecto.</w:t>
      </w:r>
    </w:p>
    <w:p>
      <w:pPr>
        <w:numPr>
          <w:ilvl w:val="0"/>
          <w:numId w:val="1009"/>
        </w:numPr>
        <w:pStyle w:val="Compact"/>
      </w:pPr>
      <w:r>
        <w:t xml:space="preserve">El período se toma de la fecha de corte del informe («al 31 de octubre de 2025»), no del mes de su tapa: hay informes cuya portada dice un mes y cuyo corte cae en el siguiente.</w:t>
      </w:r>
    </w:p>
    <w:p>
      <w:pPr>
        <w:numPr>
          <w:ilvl w:val="0"/>
          <w:numId w:val="1009"/>
        </w:numPr>
        <w:pStyle w:val="Compact"/>
      </w:pPr>
      <w:r>
        <w:t xml:space="preserve">La serie histórica hasta abril de 2026 se reconstruyó midiendo las barras del gráfico de artículos acumulados que publica el informe, porque ese gráfico es la única fuente oficial con detalle mes a mes desde diciembre de 2023. La medición se calibró con la cifra del mismo informe y se contrastó contra los otros nueve informes, que son independientes de ese gráfico.</w:t>
      </w:r>
    </w:p>
    <w:bookmarkEnd w:id="47"/>
    <w:bookmarkStart w:id="48" w:name="Xeaceac25dc22f621ad8bee78d29eedd39b8dc62"/>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pPr>
      <w:r>
        <w:rPr>
          <w:bCs/>
          <w:b/>
        </w:rPr>
        <w:t xml:space="preserve">Valores que definen cada color</w:t>
      </w:r>
    </w:p>
    <w:tbl>
      <w:tblPr>
        <w:tblStyle w:val="Table"/>
        <w:tblW w:type="pct" w:w="500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3960"/>
        <w:gridCol w:w="3960"/>
      </w:tblGrid>
      <w:tr>
        <w:trPr>
          <w:cantSplit/>
          <w:tblHeader/>
        </w:trPr>
        <w:tc>
          <w:tcPr>
            <w:shd w:val="clear" w:color="auto" w:fill="1F3A34"/>
          </w:tcPr>
          <w:p>
            <w:pPr>
              <w:pStyle w:val="Compact"/>
              <w:jc w:val="left"/>
            </w:pPr>
            <w:r>
              <w:rPr>
                <w:b/>
                <w:sz w:val="18"/>
                <w:color w:val="FFFFFF"/>
              </w:rPr>
              <w:t xml:space="preserve">Rango (artículos de normas modificados o eliminados, acumulados desde dic-2023)</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 11.000</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6.000 – 11.000</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 6.000</w:t>
            </w:r>
          </w:p>
        </w:tc>
        <w:tc>
          <w:tcPr>
            <w:shd w:val="clear" w:color="auto" w:fill="FFEDD5"/>
          </w:tcPr>
          <w:p>
            <w:pPr>
              <w:pStyle w:val="Compact"/>
              <w:jc w:val="center"/>
            </w:pPr>
            <w:r>
              <w:rPr>
                <w:b/>
                <w:sz w:val="18"/>
                <w:color w:val="7C2D12"/>
              </w:rPr>
              <w:t xml:space="preserve">NARANJA</w:t>
            </w:r>
          </w:p>
        </w:tc>
      </w:tr>
    </w:tbl>
    <w:bookmarkEnd w:id="48"/>
    <w:bookmarkStart w:id="49" w:name="datos-concretos-detrás-del-valor-2"/>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10"/>
        </w:numPr>
        <w:pStyle w:val="Compact"/>
      </w:pPr>
      <w:r>
        <w:t xml:space="preserve">16.178 artículos modificados o eliminados desde el 10 de diciembre de 2023 (+671 en el mes) · los produjeron 689 normas de desregulación, que modificaron o eliminaron 2699 normas anteriores</w:t>
      </w:r>
    </w:p>
    <w:bookmarkEnd w:id="49"/>
    <w:bookmarkStart w:id="50" w:name="color-vigente-y-por-qué-2"/>
    <w:p>
      <w:pPr>
        <w:pStyle w:val="Heading2"/>
        <w:keepNext/>
      </w:pPr>
      <w:r>
        <w:t xml:space="preserve">Color vigente y por qué</w:t>
      </w:r>
    </w:p>
    <w:p>
      <w:pPr>
        <w:pStyle w:val="FirstParagraph"/>
      </w:pPr>
      <w:r>
        <w:t xml:space="preserve">Dato vigente: 16.178 artículos de normas modificados o eliminados, acumulados desde dic-2023 (2026-06).</w:t>
      </w:r>
    </w:p>
    <w:p>
      <w:pPr>
        <w:pStyle w:val="BodyText"/>
      </w:pPr>
      <w:r>
        <w:t xml:space="preserve">16178,0 artículos de normas modificados o eliminados, acumulados desde dic-2023 cae en el tramo que corresponde a Verde, a 5178,0 del corte más cercano.</w:t>
      </w:r>
    </w:p>
    <w:p>
      <w:pPr>
        <w:pStyle w:val="BodyText"/>
      </w:pPr>
      <w:r>
        <w:rPr>
          <w:bCs/>
          <w:b/>
        </w:rPr>
        <w:t xml:space="preserve">Color vigente: VERDE</w:t>
      </w:r>
    </w:p>
    <w:p>
      <w:pPr>
        <w:pStyle w:val="BodyText"/>
      </w:pPr>
      <w:r>
        <w:t xml:space="preserve">Ponderación vigente en el ITCG: 7 % efectivo. El color es una lectura adicional — no reemplaza ni cambia esta ponderación.</w:t>
      </w:r>
    </w:p>
    <w:bookmarkEnd w:id="50"/>
    <w:bookmarkStart w:id="51" w:name="transparencia-limitaciones-declaradas-2"/>
    <w:p>
      <w:pPr>
        <w:pStyle w:val="Heading2"/>
        <w:keepNext/>
      </w:pPr>
      <w:r>
        <w:t xml:space="preserve">Transparencia — limitaciones declaradas</w:t>
      </w:r>
    </w:p>
    <w:p>
      <w:pPr>
        <w:numPr>
          <w:ilvl w:val="0"/>
          <w:numId w:val="1011"/>
        </w:numPr>
        <w:pStyle w:val="Compact"/>
      </w:pPr>
      <w:r>
        <w:t xml:space="preserve">Es el Gobierno midiendo su propio programa. El criterio de qué norma cuenta como «de desregulación», y por lo tanto qué artículos se computan, lo fija el ministerio responsable, y no hay un tercero que lo audite. Es la contrapartida de usar la cifra oficial en lugar de una reconstrucción propia.</w:t>
      </w:r>
    </w:p>
    <w:p>
      <w:pPr>
        <w:numPr>
          <w:ilvl w:val="0"/>
          <w:numId w:val="1011"/>
        </w:numPr>
        <w:pStyle w:val="Compact"/>
      </w:pPr>
      <w:r>
        <w:t xml:space="preserve">La escala de referencia es una convención del proyecto. El ministerio publica el recuento pero no declara ninguna meta, así que el punto en que la desregulación se considera completa lo fijamos nosotros. Conviene leer el indicador por su evolución más que por su nivel absoluto. Se evaluó reemplazar esa convención por una división contra el stock de normas vigentes, y se descartó: el recuento del ministerio incluye resoluciones, mientras que el stock disponible de normas nacionales vigentes de alcance general está compuesto sólo por leyes y decretos, de modo que los dos universos no son comparables.</w:t>
      </w:r>
    </w:p>
    <w:p>
      <w:pPr>
        <w:numPr>
          <w:ilvl w:val="0"/>
          <w:numId w:val="1011"/>
        </w:numPr>
        <w:pStyle w:val="Compact"/>
      </w:pPr>
      <w:r>
        <w:t xml:space="preserve">Contar artículos corrige la equivalencia entre normas de peso muy distinto, pero no la resuelve del todo: un artículo que libera un mercado entero sigue contando igual que uno que ajusta una definición.</w:t>
      </w:r>
    </w:p>
    <w:p>
      <w:pPr>
        <w:numPr>
          <w:ilvl w:val="0"/>
          <w:numId w:val="1011"/>
        </w:numPr>
        <w:pStyle w:val="Compact"/>
      </w:pPr>
      <w:r>
        <w:t xml:space="preserve">El ministerio revisa su serie hacia atrás, y lo ha hecho de forma sustantiva. El informe publica la versión corregida y es la que se usa, del mismo modo que se usa la última revisión de una serie estadística.</w:t>
      </w:r>
    </w:p>
    <w:p>
      <w:pPr>
        <w:numPr>
          <w:ilvl w:val="0"/>
          <w:numId w:val="1011"/>
        </w:numPr>
        <w:pStyle w:val="Compact"/>
      </w:pPr>
      <w:r>
        <w:t xml:space="preserve">La serie anterior a abril de 2026 proviene de la medición de un gráfico y no de cifras publicadas como texto. El contraste contra los nueve informes que publican su total arroja coincidencia exacta en cinco casos y una diferencia máxima de cuarenta y cinco artículos sobre una serie que supera los dieciséis mil, es decir alrededor de tres décimas de punto porcentual.</w:t>
      </w:r>
    </w:p>
    <w:p>
      <w:pPr>
        <w:numPr>
          <w:ilvl w:val="0"/>
          <w:numId w:val="1011"/>
        </w:numPr>
        <w:pStyle w:val="Compact"/>
      </w:pPr>
      <w:r>
        <w:t xml:space="preserve">Es un recuento normativo, no una auditoría del efecto económico de lo desregulado.</w:t>
      </w:r>
    </w:p>
    <w:bookmarkEnd w:id="51"/>
    <w:bookmarkStart w:id="52" w:name="Xef0254494c8cbb948c0e61c654d5e9b1983623c"/>
    <w:p>
      <w:pPr>
        <w:pStyle w:val="Heading2"/>
        <w:keepNext/>
      </w:pPr>
      <w:r>
        <w:t xml:space="preserve">Si falta el dato / Política de revisiones</w:t>
      </w:r>
    </w:p>
    <w:p>
      <w:pPr>
        <w:numPr>
          <w:ilvl w:val="0"/>
          <w:numId w:val="1012"/>
        </w:numPr>
      </w:pPr>
      <w:r>
        <w:rPr>
          <w:bCs/>
          <w:b/>
        </w:rPr>
        <w:t xml:space="preserve">Si falta el dato:</w:t>
      </w:r>
      <w:r>
        <w:t xml:space="preserve"> </w:t>
      </w:r>
      <w:r>
        <w:t xml:space="preserve">Si el informe del mes todavía no salió o el PDF no se puede leer, se mantiene el último valor disponible, señalado como desactualizado; sin ningún valor previo, el peso se redistribuye entre los otros indicadores de la dimensión.</w:t>
      </w:r>
    </w:p>
    <w:p>
      <w:pPr>
        <w:numPr>
          <w:ilvl w:val="0"/>
          <w:numId w:val="1012"/>
        </w:numPr>
      </w:pPr>
      <w:r>
        <w:rPr>
          <w:bCs/>
          <w:b/>
        </w:rPr>
        <w:t xml:space="preserve">Política de revisiones:</w:t>
      </w:r>
      <w:r>
        <w:t xml:space="preserve"> </w:t>
      </w:r>
      <w:r>
        <w:t xml:space="preserve">El ministerio revisa su serie hacia atrás. El informe conserva cada publicación y toma siempre la última cifra oficial de cada mes.</w:t>
      </w:r>
    </w:p>
    <w:bookmarkEnd w:id="52"/>
    <w:bookmarkStart w:id="53" w:name="X26b91c30c62ddbbdbd672bb193ae636df8c7ae1"/>
    <w:p>
      <w:pPr>
        <w:pStyle w:val="Heading2"/>
        <w:keepNext/>
      </w:pPr>
      <w:r>
        <w:t xml:space="preserve">Historial — cambios metodológicos documentados</w:t>
      </w:r>
    </w:p>
    <w:p>
      <w:pPr>
        <w:pStyle w:val="FirstParagraph"/>
      </w:pPr>
      <w:r>
        <w:rPr>
          <w:bCs/>
          <w:b/>
        </w:rPr>
        <w:t xml:space="preserve">2026-05</w:t>
      </w:r>
      <w:r>
        <w:t xml:space="preserve"> </w:t>
      </w:r>
      <w:r>
        <w:t xml:space="preserve">— Automatizado desde el inicio del cinturón con la misma búsqueda, en escala lineal.</w:t>
      </w:r>
    </w:p>
    <w:p>
      <w:pPr>
        <w:pStyle w:val="BodyText"/>
      </w:pPr>
      <w:r>
        <w:rPr>
          <w:bCs/>
          <w:b/>
        </w:rPr>
        <w:t xml:space="preserve">2026-07-02</w:t>
      </w:r>
      <w:r>
        <w:t xml:space="preserve"> </w:t>
      </w:r>
      <w:r>
        <w:t xml:space="preserve">— Umbrales institucionales del ITCG.</w:t>
      </w:r>
    </w:p>
    <w:p>
      <w:pPr>
        <w:pStyle w:val="BodyText"/>
      </w:pPr>
      <w:r>
        <w:rPr>
          <w:bCs/>
          <w:b/>
        </w:rPr>
        <w:t xml:space="preserve">2026-07-03</w:t>
      </w:r>
      <w:r>
        <w:t xml:space="preserve"> </w:t>
      </w:r>
      <w:r>
        <w:t xml:space="preserve">— Puntaje interpolado entre anclas.</w:t>
      </w:r>
    </w:p>
    <w:p>
      <w:pPr>
        <w:pStyle w:val="BodyText"/>
      </w:pPr>
      <w:r>
        <w:rPr>
          <w:bCs/>
          <w:b/>
        </w:rPr>
        <w:t xml:space="preserve">2026-07-20</w:t>
      </w:r>
      <w:r>
        <w:t xml:space="preserve"> </w:t>
      </w:r>
      <w:r>
        <w:t xml:space="preserve">— Cambio de unidad, a partir de una revisión externa del cinturón. El indicador contaba las normas cuyo texto mencionaba una derogación en cualquier parte del documento, y cerca de la mitad de lo contado no derogaba nada: eran normas que en sus considerandos referían la derogación hecha por otra. Ahora se lee la parte dispositiva y se cuentan las normas efectivamente derogadas. Se corrigió además una afirmación equivocada de esta misma ficha, que sostenía que el decreto de necesidad y urgencia de diciembre de 2023 no figuraba en la fuente: sí figura, y siempre estuvo contado, aunque pesaba como una sola norma pese a derogar treinta y ocho.</w:t>
      </w:r>
    </w:p>
    <w:p>
      <w:pPr>
        <w:pStyle w:val="BodyText"/>
      </w:pPr>
      <w:r>
        <w:rPr>
          <w:bCs/>
          <w:b/>
        </w:rPr>
        <w:t xml:space="preserve">2026-07-25</w:t>
      </w:r>
      <w:r>
        <w:t xml:space="preserve"> </w:t>
      </w:r>
      <w:r>
        <w:t xml:space="preserve">— Cambio de fuente, a propuesta de la revisión externa del cinturón. El indicador dejó de construirse con un conteo propio sobre la base de legislación y pasó a publicar la cifra oficial del Ministerio de Desregulación y Transformación del Estado, que es el organismo que conduce el programa. La serie histórica se reconstruyó completa desde diciembre de 2023. El puntaje se movió de setenta y dos a setenta y tres: cambió de dónde sale el número, no el resultado.</w:t>
      </w:r>
    </w:p>
    <w:p>
      <w:r>
        <w:br w:type="page"/>
      </w:r>
    </w:p>
    <w:p>
      <w:pPr>
        <w:pStyle w:val="BodyText"/>
      </w:pPr>
      <w:r>
        <w:rPr>
          <w:bCs/>
          <w:b/>
        </w:rPr>
        <w:t xml:space="preserve">CIGOB · INFORME DE COYUNTURA</w:t>
      </w:r>
    </w:p>
    <w:p>
      <w:pPr>
        <w:pStyle w:val="BodyText"/>
      </w:pPr>
      <w:r>
        <w:rPr>
          <w:iCs/>
          <w:i/>
        </w:rPr>
        <w:t xml:space="preserve">Ficha metodológica · Cinturón Gestión · Capa de semáforo (4 colores)</w:t>
      </w:r>
    </w:p>
    <w:bookmarkEnd w:id="53"/>
    <w:bookmarkEnd w:id="54"/>
    <w:bookmarkStart w:id="64" w:name="dotación-del-estado-apn"/>
    <w:p>
      <w:pPr>
        <w:pStyle w:val="Heading1"/>
        <w:keepNext/>
      </w:pPr>
      <w:r>
        <w:t xml:space="preserve">Dotación del Estado (APN)</w:t>
      </w:r>
    </w:p>
    <w:p>
      <w:pPr>
        <w:pStyle w:val="FirstParagraph"/>
      </w:pPr>
      <w:r>
        <w:t xml:space="preserve">Cuánto varía la dotación de personal de la Administración Pública Nacional respecto de diciembre de 2023 (inicio del mandato), según la serie mensual oficial del INDEC.</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−20,36 % de variación vs dic-2023 (dotación APN)</w:t>
            </w:r>
            <w:r>
              <w:rPr>
                <w:sz w:val="18"/>
              </w:rPr>
              <w:t xml:space="preserve"> </w:t>
            </w:r>
            <w:r>
              <w:rPr>
                <w:sz w:val="18"/>
              </w:rPr>
              <w:t xml:space="preserve">(2026-06)</w:t>
            </w:r>
          </w:p>
        </w:tc>
        <w:tc>
          <w:tcPr>
            <w:shd w:val="clear" w:color="auto" w:fill="DCFCE7"/>
          </w:tcPr>
          <w:p>
            <w:pPr>
              <w:pStyle w:val="Compact"/>
              <w:jc w:val="center"/>
            </w:pPr>
            <w:r>
              <w:rPr>
                <w:bCs/>
                <w:b/>
                <w:sz w:val="18"/>
                <w:color w:val="14532D"/>
              </w:rPr>
              <w:t xml:space="preserve">VERDE</w:t>
            </w:r>
          </w:p>
        </w:tc>
        <w:tc>
          <w:p>
            <w:pPr>
              <w:pStyle w:val="Compact"/>
              <w:jc w:val="left"/>
            </w:pPr>
            <w:r>
              <w:rPr>
                <w:sz w:val="18"/>
              </w:rPr>
              <w:t xml:space="preserve">Peso efectivo 10,9 % del ITCG</w:t>
            </w:r>
          </w:p>
        </w:tc>
        <w:tc>
          <w:p>
            <w:pPr>
              <w:pStyle w:val="Compact"/>
              <w:jc w:val="left"/>
            </w:pPr>
            <w:r>
              <w:rPr>
                <w:sz w:val="18"/>
              </w:rPr>
              <w:t xml:space="preserve">Cinturón Gestión</w:t>
            </w:r>
          </w:p>
        </w:tc>
      </w:tr>
    </w:tbl>
    <w:bookmarkStart w:id="55" w:name="identificación-3"/>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reduccion_estado</w:t>
            </w:r>
          </w:p>
        </w:tc>
        <w:tc>
          <w:p>
            <w:pPr>
              <w:pStyle w:val="Compact"/>
              <w:jc w:val="left"/>
            </w:pPr>
            <w:r>
              <w:rPr>
                <w:bCs/>
                <w:b/>
                <w:sz w:val="18"/>
              </w:rPr>
              <w:t xml:space="preserve">CINTURÓN</w:t>
            </w:r>
          </w:p>
        </w:tc>
        <w:tc>
          <w:p>
            <w:pPr>
              <w:pStyle w:val="Compact"/>
              <w:jc w:val="left"/>
            </w:pPr>
            <w:r>
              <w:rPr>
                <w:sz w:val="18"/>
              </w:rPr>
              <w:t xml:space="preserve">Gestión</w:t>
            </w:r>
          </w:p>
        </w:tc>
      </w:tr>
      <w:tr>
        <w:trPr>
          <w:cantSplit/>
        </w:trPr>
        <w:tc>
          <w:p>
            <w:pPr>
              <w:pStyle w:val="Compact"/>
              <w:jc w:val="left"/>
            </w:pPr>
            <w:r>
              <w:rPr>
                <w:bCs/>
                <w:b/>
                <w:sz w:val="18"/>
              </w:rPr>
              <w:t xml:space="preserve">DIMENSIÓN EN EL ITCG</w:t>
            </w:r>
          </w:p>
        </w:tc>
        <w:tc>
          <w:p>
            <w:pPr>
              <w:pStyle w:val="Compact"/>
              <w:jc w:val="left"/>
            </w:pPr>
            <w:r>
              <w:rPr>
                <w:sz w:val="18"/>
              </w:rPr>
              <w:t xml:space="preserve">Reforma del Estado</w:t>
            </w:r>
          </w:p>
        </w:tc>
        <w:tc>
          <w:p>
            <w:pPr>
              <w:pStyle w:val="Compact"/>
              <w:jc w:val="left"/>
            </w:pPr>
            <w:r>
              <w:rPr>
                <w:bCs/>
                <w:b/>
                <w:sz w:val="18"/>
              </w:rPr>
              <w:t xml:space="preserve">UNIDAD DE MEDIDA</w:t>
            </w:r>
          </w:p>
        </w:tc>
        <w:tc>
          <w:p>
            <w:pPr>
              <w:pStyle w:val="Compact"/>
              <w:jc w:val="left"/>
            </w:pPr>
            <w:r>
              <w:rPr>
                <w:sz w:val="18"/>
              </w:rPr>
              <w:t xml:space="preserve">% de variación vs dic-2023 (dotación APN)</w:t>
            </w:r>
          </w:p>
        </w:tc>
      </w:tr>
      <w:tr>
        <w:trPr>
          <w:cantSplit/>
        </w:trPr>
        <w:tc>
          <w:p>
            <w:pPr>
              <w:pStyle w:val="Compact"/>
              <w:jc w:val="left"/>
            </w:pPr>
            <w:r>
              <w:rPr>
                <w:bCs/>
                <w:b/>
                <w:sz w:val="18"/>
              </w:rPr>
              <w:t xml:space="preserve">SERIE DISPONIBLE</w:t>
            </w:r>
          </w:p>
        </w:tc>
        <w:tc>
          <w:p>
            <w:pPr>
              <w:pStyle w:val="Compact"/>
              <w:jc w:val="left"/>
            </w:pPr>
            <w:r>
              <w:rPr>
                <w:sz w:val="18"/>
              </w:rPr>
              <w:t xml:space="preserve">2023-12 → 2026-06 (31 puntos)</w:t>
            </w:r>
          </w:p>
        </w:tc>
        <w:tc>
          <w:p>
            <w:pPr>
              <w:pStyle w:val="Compact"/>
              <w:jc w:val="left"/>
            </w:pPr>
            <w:r>
              <w:rPr>
                <w:bCs/>
                <w:b/>
                <w:sz w:val="18"/>
              </w:rPr>
              <w:t xml:space="preserve">REZAGO DE PUBLICACIÓN</w:t>
            </w:r>
          </w:p>
        </w:tc>
        <w:tc>
          <w:p>
            <w:pPr>
              <w:pStyle w:val="Compact"/>
              <w:jc w:val="left"/>
            </w:pPr>
            <w:r>
              <w:rPr>
                <w:sz w:val="18"/>
              </w:rPr>
              <w:t xml:space="preserve">La serie de dotación se publica con ~2 meses de rezago; los últimos meses aparecen imputados y se revisan.</w:t>
            </w:r>
          </w:p>
        </w:tc>
      </w:tr>
      <w:tr>
        <w:trPr>
          <w:cantSplit/>
        </w:trPr>
        <w:tc>
          <w:p>
            <w:pPr>
              <w:pStyle w:val="Compact"/>
              <w:jc w:val="left"/>
            </w:pPr>
            <w:r>
              <w:rPr>
                <w:bCs/>
                <w:b/>
                <w:sz w:val="18"/>
              </w:rPr>
              <w:t xml:space="preserve">PRODUCTOR DEL DATO</w:t>
            </w:r>
          </w:p>
        </w:tc>
        <w:tc>
          <w:p>
            <w:pPr>
              <w:pStyle w:val="Compact"/>
              <w:jc w:val="left"/>
            </w:pPr>
            <w:r>
              <w:rPr>
                <w:sz w:val="18"/>
              </w:rPr>
              <w:t xml:space="preserve">INDEC + Secretaría de Transformación del Estado</w:t>
            </w:r>
          </w:p>
        </w:tc>
        <w:tc>
          <w:p>
            <w:pPr>
              <w:pStyle w:val="Compact"/>
              <w:jc w:val="left"/>
            </w:pPr>
            <w:r>
              <w:rPr>
                <w:bCs/>
                <w:b/>
                <w:sz w:val="18"/>
              </w:rPr>
              <w:t xml:space="preserve">OPERACIÓN ESTADÍSTICA</w:t>
            </w:r>
          </w:p>
        </w:tc>
        <w:tc>
          <w:p>
            <w:pPr>
              <w:pStyle w:val="Compact"/>
              <w:jc w:val="left"/>
            </w:pPr>
            <w:r>
              <w:rPr>
                <w:sz w:val="18"/>
              </w:rPr>
              <w:t xml:space="preserve">Dotación de personal del Estado nacional (serie mensual). La planilla abre el total en dos universos: la Administración Pública Nacional y las empresas y sociedades del Estado; este indicador usa el primero</w:t>
            </w:r>
          </w:p>
        </w:tc>
      </w:tr>
      <w:tr>
        <w:trPr>
          <w:cantSplit/>
        </w:trPr>
        <w:tc>
          <w:p>
            <w:pPr>
              <w:pStyle w:val="Compact"/>
              <w:jc w:val="left"/>
            </w:pPr>
            <w:r>
              <w:rPr>
                <w:bCs/>
                <w:b/>
                <w:sz w:val="18"/>
              </w:rPr>
              <w:t xml:space="preserve">MODO DE ACCESO</w:t>
            </w:r>
          </w:p>
        </w:tc>
        <w:tc>
          <w:p>
            <w:pPr>
              <w:pStyle w:val="Compact"/>
              <w:jc w:val="left"/>
            </w:pPr>
            <w:r>
              <w:rPr>
                <w:sz w:val="18"/>
              </w:rPr>
              <w:t xml:space="preserve">Automático: lectura de la planilla oficial.</w:t>
            </w:r>
          </w:p>
        </w:tc>
        <w:tc>
          <w:p>
            <w:pPr>
              <w:pStyle w:val="Compact"/>
              <w:jc w:val="left"/>
            </w:pPr>
            <w:r>
              <w:rPr>
                <w:bCs/>
                <w:b/>
                <w:sz w:val="18"/>
              </w:rPr>
              <w:t xml:space="preserve">ÚLTIMA ACTUALIZACIÓN</w:t>
            </w:r>
          </w:p>
        </w:tc>
        <w:tc>
          <w:p>
            <w:pPr>
              <w:pStyle w:val="Compact"/>
              <w:jc w:val="left"/>
            </w:pPr>
            <w:r>
              <w:rPr>
                <w:sz w:val="18"/>
              </w:rPr>
              <w:t xml:space="preserve">Dato a 2026-06 · informe generado el 2026-08-09</w:t>
            </w:r>
          </w:p>
        </w:tc>
      </w:tr>
    </w:tbl>
    <w:bookmarkEnd w:id="55"/>
    <w:bookmarkStart w:id="56" w:name="definición-qué-mide-y-por-qué-importa-3"/>
    <w:p>
      <w:pPr>
        <w:pStyle w:val="Heading2"/>
        <w:keepNext/>
      </w:pPr>
      <w:r>
        <w:t xml:space="preserve">Definición — qué mide y por qué importa</w:t>
      </w:r>
    </w:p>
    <w:p>
      <w:pPr>
        <w:pStyle w:val="FirstParagraph"/>
      </w:pPr>
      <w:r>
        <w:t xml:space="preserve">Cuánto varía la dotación de personal de la Administración Pública Nacional respecto de diciembre de 2023 (inicio del mandato), según la serie mensual oficial del INDEC.</w:t>
      </w:r>
    </w:p>
    <w:p>
      <w:pPr>
        <w:pStyle w:val="BodyText"/>
      </w:pPr>
      <w:r>
        <w:t xml:space="preserve">La métrica insignia de la reforma del Estado: personas, no pesos. Universo: Administración Pública Nacional — incluye fuerzas armadas y de seguridad (~10% de la dotación) y no incluye empresas del Estado ni provincias/municipios.</w:t>
      </w:r>
    </w:p>
    <w:p>
      <w:pPr>
        <w:pStyle w:val="BodyText"/>
      </w:pPr>
      <w:r>
        <w:rPr>
          <w:bCs/>
          <w:b/>
        </w:rPr>
        <w:t xml:space="preserve">Dimensión que integra — Reforma del Estado.</w:t>
      </w:r>
      <w:r>
        <w:t xml:space="preserve"> </w:t>
      </w:r>
      <w:r>
        <w:t xml:space="preserve">El achicamiento del Estado en cuatro medidas que se controlan entre sí: dotación de personal, gasto de funcionamiento real, masa salarial real y reestructuración de organismos.</w:t>
      </w:r>
    </w:p>
    <w:bookmarkEnd w:id="56"/>
    <w:bookmarkStart w:id="57" w:name="método-de-cómputo-3"/>
    <w:p>
      <w:pPr>
        <w:pStyle w:val="Heading2"/>
        <w:keepNext/>
      </w:pPr>
      <w:r>
        <w:t xml:space="preserve">Método de cómputo</w:t>
      </w:r>
    </w:p>
    <w:p>
      <w:pPr>
        <w:numPr>
          <w:ilvl w:val="0"/>
          <w:numId w:val="1013"/>
        </w:numPr>
        <w:pStyle w:val="Compact"/>
      </w:pPr>
      <w:r>
        <w:t xml:space="preserve">Variación porcentual de la dotación contra la línea de base de diciembre de 2023 (231.305 agentes).</w:t>
      </w:r>
    </w:p>
    <w:p>
      <w:pPr>
        <w:numPr>
          <w:ilvl w:val="0"/>
          <w:numId w:val="1013"/>
        </w:numPr>
        <w:pStyle w:val="Compact"/>
      </w:pPr>
      <w:r>
        <w:t xml:space="preserve">A diferencia de las series previsionales, excluye provincias y municipios: es la métrica insignia de la reforma del Estado nacional.</w:t>
      </w:r>
    </w:p>
    <w:p>
      <w:pPr>
        <w:numPr>
          <w:ilvl w:val="0"/>
          <w:numId w:val="1013"/>
        </w:numPr>
        <w:pStyle w:val="Compact"/>
      </w:pPr>
      <w:r>
        <w:t xml:space="preserve">También excluye a las empresas y sociedades del Estado, que la planilla informa por separado. Se eligió la Administración Pública Nacional porque es el universo sobre el que el Poder Ejecutivo decide directamente su planta. La elección no cambia la lectura: al mes de mayo de 2026 la Administración Pública Nacional cae 19,8%, las empresas del Estado 20,2% y el universo completo 19,9%.</w:t>
      </w:r>
    </w:p>
    <w:p>
      <w:pPr>
        <w:numPr>
          <w:ilvl w:val="0"/>
          <w:numId w:val="1013"/>
        </w:numPr>
        <w:pStyle w:val="Compact"/>
      </w:pPr>
      <w:r>
        <w:t xml:space="preserve">Sí incluye a las fuerzas armadas y de seguridad. Siete entidades informan su dotación dentro de la Administración Pública Nacional: los estados mayores del Ejército, la Armada, la Fuerza Aérea y el Estado Mayor Conjunto, más Gendarmería, Prefectura y la Policía de Seguridad Aeroportuaria. Representan alrededor del diez por ciento del total y se redujeron menos que el resto, de modo que su presencia atenúa levemente el ajuste medido: a febrero de 2026 el conjunto cae 18,6% y la planta civil sola 19,0%. No se las descuenta —son parte del Estado y sostener sus dotaciones también es una decisión de gobierno—, pero el desglose se publica en la card para que cada lector pueda hacer la cuenta que prefiera.</w:t>
      </w:r>
    </w:p>
    <w:bookmarkEnd w:id="57"/>
    <w:bookmarkStart w:id="58" w:name="X884d325e79d6de86b403bfd00b9257f415af6f1"/>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pPr>
      <w:r>
        <w:rPr>
          <w:bCs/>
          <w:b/>
        </w:rPr>
        <w:t xml:space="preserve">Valores que definen cada color</w:t>
      </w:r>
    </w:p>
    <w:tbl>
      <w:tblPr>
        <w:tblStyle w:val="Table"/>
        <w:tblW w:type="pct" w:w="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tr>
        <w:trPr>
          <w:cantSplit/>
          <w:tblHeader/>
        </w:trPr>
        <w:tc>
          <w:tcPr>
            <w:shd w:val="clear" w:color="auto" w:fill="1F3A34"/>
          </w:tcPr>
          <w:p>
            <w:pPr>
              <w:pStyle w:val="Compact"/>
              <w:jc w:val="left"/>
            </w:pPr>
            <w:r>
              <w:rPr>
                <w:b/>
                <w:sz w:val="18"/>
                <w:color w:val="FFFFFF"/>
              </w:rPr>
              <w:t xml:space="preserve">Rango (% de variación vs dic-2023 (dotación APN))</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 −5,2</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−5,2 – −2</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−2 – −0,67</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 −0,67</w:t>
            </w:r>
          </w:p>
        </w:tc>
        <w:tc>
          <w:tcPr>
            <w:shd w:val="clear" w:color="auto" w:fill="FEE2E2"/>
          </w:tcPr>
          <w:p>
            <w:pPr>
              <w:pStyle w:val="Compact"/>
              <w:jc w:val="center"/>
            </w:pPr>
            <w:r>
              <w:rPr>
                <w:b/>
                <w:sz w:val="18"/>
                <w:color w:val="7F1D1D"/>
              </w:rPr>
              <w:t xml:space="preserve">ROJO</w:t>
            </w:r>
          </w:p>
        </w:tc>
      </w:tr>
    </w:tbl>
    <w:bookmarkEnd w:id="58"/>
    <w:bookmarkStart w:id="59" w:name="datos-concretos-detrás-del-valor-3"/>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14"/>
        </w:numPr>
        <w:pStyle w:val="Compact"/>
      </w:pPr>
      <w:r>
        <w:t xml:space="preserve">184.202 agentes (2026-06) vs 231.305 en dic-2023 · universo: Administración Pública Nacional, INCLUYE fuerzas armadas y de seguridad (~10% de la dotación), NO incluye empresas del Estado · fuerzas armadas y de seguridad se redujeron menos (-15,24%): sin ellas, la planta civil varía -19,0% (a 2026-02) · empresas del Estado varían -20,58% aparte; el universo completo varía -20,43%</w:t>
      </w:r>
    </w:p>
    <w:bookmarkEnd w:id="59"/>
    <w:bookmarkStart w:id="60" w:name="color-vigente-y-por-qué-3"/>
    <w:p>
      <w:pPr>
        <w:pStyle w:val="Heading2"/>
        <w:keepNext/>
      </w:pPr>
      <w:r>
        <w:t xml:space="preserve">Color vigente y por qué</w:t>
      </w:r>
    </w:p>
    <w:p>
      <w:pPr>
        <w:pStyle w:val="FirstParagraph"/>
      </w:pPr>
      <w:r>
        <w:t xml:space="preserve">Dato vigente: −20,36 % de variación vs dic-2023 (dotación APN) (2026-06).</w:t>
      </w:r>
    </w:p>
    <w:p>
      <w:pPr>
        <w:pStyle w:val="BodyText"/>
      </w:pPr>
      <w:r>
        <w:t xml:space="preserve">−20,36 % de variación vs dic-2023 (dotación APN) cae en el tramo que corresponde a Verde, a 15,16 del corte más cercano.</w:t>
      </w:r>
    </w:p>
    <w:p>
      <w:pPr>
        <w:pStyle w:val="BodyText"/>
      </w:pPr>
      <w:r>
        <w:rPr>
          <w:bCs/>
          <w:b/>
        </w:rPr>
        <w:t xml:space="preserve">Color vigente: VERDE</w:t>
      </w:r>
    </w:p>
    <w:p>
      <w:pPr>
        <w:pStyle w:val="BodyText"/>
      </w:pPr>
      <w:r>
        <w:t xml:space="preserve">Ponderación vigente en el ITCG: 10,9 % efectivo. El color es una lectura adicional — no reemplaza ni cambia esta ponderación.</w:t>
      </w:r>
    </w:p>
    <w:p>
      <w:pPr>
        <w:numPr>
          <w:ilvl w:val="0"/>
          <w:numId w:val="1015"/>
        </w:numPr>
        <w:pStyle w:val="Compact"/>
      </w:pPr>
      <w:r>
        <w:rPr>
          <w:bCs/>
          <w:b/>
        </w:rPr>
        <w:t xml:space="preserve">Participación en otros indicadores.</w:t>
      </w:r>
      <w:r>
        <w:t xml:space="preserve"> </w:t>
      </w:r>
      <w:r>
        <w:t xml:space="preserve">Mide personas; el costo de la nómina lo miden por separado el gasto de funcionamiento y la masa salarial — tres patas complementarias declaradas de la misma dimensión.</w:t>
      </w:r>
    </w:p>
    <w:bookmarkEnd w:id="60"/>
    <w:bookmarkStart w:id="61" w:name="transparencia-limitaciones-declaradas-3"/>
    <w:p>
      <w:pPr>
        <w:pStyle w:val="Heading2"/>
        <w:keepNext/>
      </w:pPr>
      <w:r>
        <w:t xml:space="preserve">Transparencia — limitaciones declaradas</w:t>
      </w:r>
    </w:p>
    <w:p>
      <w:pPr>
        <w:numPr>
          <w:ilvl w:val="0"/>
          <w:numId w:val="1016"/>
        </w:numPr>
        <w:pStyle w:val="Compact"/>
      </w:pPr>
      <w:r>
        <w:t xml:space="preserve">Los meses recientes vienen imputados y el INDEC los revisa hacia atrás.</w:t>
      </w:r>
    </w:p>
    <w:p>
      <w:pPr>
        <w:numPr>
          <w:ilvl w:val="0"/>
          <w:numId w:val="1016"/>
        </w:numPr>
        <w:pStyle w:val="Compact"/>
      </w:pPr>
      <w:r>
        <w:t xml:space="preserve">Las bandas se calibraron a mano contra el recorte observado (~10-12% → banda alta): es una convención propia del proyecto y no una meta oficial.</w:t>
      </w:r>
    </w:p>
    <w:p>
      <w:pPr>
        <w:numPr>
          <w:ilvl w:val="0"/>
          <w:numId w:val="1016"/>
        </w:numPr>
        <w:pStyle w:val="Compact"/>
      </w:pPr>
      <w:r>
        <w:t xml:space="preserve">Mide personas, no costo. La reducción de la planta puede convivir con un gasto salarial que no baje en la misma proporción, y por eso el cinturón sigue ambas cosas por separado.</w:t>
      </w:r>
    </w:p>
    <w:bookmarkEnd w:id="61"/>
    <w:bookmarkStart w:id="62" w:name="X70e697facfb18692fa01ac9fd893f095e78dfba"/>
    <w:p>
      <w:pPr>
        <w:pStyle w:val="Heading2"/>
        <w:keepNext/>
      </w:pPr>
      <w:r>
        <w:t xml:space="preserve">Si falta el dato / Política de revisiones</w:t>
      </w:r>
    </w:p>
    <w:p>
      <w:pPr>
        <w:numPr>
          <w:ilvl w:val="0"/>
          <w:numId w:val="1017"/>
        </w:numPr>
      </w:pPr>
      <w:r>
        <w:rPr>
          <w:bCs/>
          <w:b/>
        </w:rPr>
        <w:t xml:space="preserve">Si falta el dato:</w:t>
      </w:r>
      <w:r>
        <w:t xml:space="preserve"> </w:t>
      </w:r>
      <w:r>
        <w:t xml:space="preserve">Con la planilla caída, se mantiene el último valor disponible, señalado como desactualizado; sin dato, los pesos de la dimensión se renormalizan.</w:t>
      </w:r>
    </w:p>
    <w:p>
      <w:pPr>
        <w:numPr>
          <w:ilvl w:val="0"/>
          <w:numId w:val="1017"/>
        </w:numPr>
      </w:pPr>
      <w:r>
        <w:rPr>
          <w:bCs/>
          <w:b/>
        </w:rPr>
        <w:t xml:space="preserve">Política de revisiones:</w:t>
      </w:r>
      <w:r>
        <w:t xml:space="preserve"> </w:t>
      </w:r>
      <w:r>
        <w:t xml:space="preserve">La fuente revisa los meses imputados en cada publicación; la serie propia se relee completa en cada actualización.</w:t>
      </w:r>
    </w:p>
    <w:bookmarkEnd w:id="62"/>
    <w:bookmarkStart w:id="63" w:name="X57c472e6153e0a3a54ac23c7ee61d844b37a3be"/>
    <w:p>
      <w:pPr>
        <w:pStyle w:val="Heading2"/>
        <w:keepNext/>
      </w:pPr>
      <w:r>
        <w:t xml:space="preserve">Historial — cambios metodológicos documentados</w:t>
      </w:r>
    </w:p>
    <w:p>
      <w:pPr>
        <w:pStyle w:val="FirstParagraph"/>
      </w:pPr>
      <w:r>
        <w:rPr>
          <w:bCs/>
          <w:b/>
        </w:rPr>
        <w:t xml:space="preserve">2026-05</w:t>
      </w:r>
      <w:r>
        <w:t xml:space="preserve"> </w:t>
      </w:r>
      <w:r>
        <w:t xml:space="preserve">— Versión inicial sobre la serie previsional trimestral, con meta de largo plazo.</w:t>
      </w:r>
    </w:p>
    <w:p>
      <w:pPr>
        <w:pStyle w:val="BodyText"/>
      </w:pPr>
      <w:r>
        <w:rPr>
          <w:bCs/>
          <w:b/>
        </w:rPr>
        <w:t xml:space="preserve">2026-07-02</w:t>
      </w:r>
      <w:r>
        <w:t xml:space="preserve"> </w:t>
      </w:r>
      <w:r>
        <w:t xml:space="preserve">— Pasa a la planilla mensual de dotación APN contra diciembre de 2023, con umbrales del ITCG.</w:t>
      </w:r>
    </w:p>
    <w:p>
      <w:pPr>
        <w:pStyle w:val="BodyText"/>
      </w:pPr>
      <w:r>
        <w:rPr>
          <w:bCs/>
          <w:b/>
        </w:rPr>
        <w:t xml:space="preserve">2026-07-03</w:t>
      </w:r>
      <w:r>
        <w:t xml:space="preserve"> </w:t>
      </w:r>
      <w:r>
        <w:t xml:space="preserve">— Puntaje interpolado entre anclas.</w:t>
      </w:r>
    </w:p>
    <w:p>
      <w:r>
        <w:br w:type="page"/>
      </w:r>
    </w:p>
    <w:p>
      <w:pPr>
        <w:pStyle w:val="BodyText"/>
      </w:pPr>
      <w:r>
        <w:rPr>
          <w:bCs/>
          <w:b/>
        </w:rPr>
        <w:t xml:space="preserve">CIGOB · INFORME DE COYUNTURA</w:t>
      </w:r>
    </w:p>
    <w:p>
      <w:pPr>
        <w:pStyle w:val="BodyText"/>
      </w:pPr>
      <w:r>
        <w:rPr>
          <w:iCs/>
          <w:i/>
        </w:rPr>
        <w:t xml:space="preserve">Ficha metodológica · Cinturón Gestión · Capa de semáforo (4 colores)</w:t>
      </w:r>
    </w:p>
    <w:bookmarkEnd w:id="63"/>
    <w:bookmarkEnd w:id="64"/>
    <w:bookmarkStart w:id="74" w:name="gasto-de-funcionamiento"/>
    <w:p>
      <w:pPr>
        <w:pStyle w:val="Heading1"/>
        <w:keepNext/>
      </w:pPr>
      <w:r>
        <w:t xml:space="preserve">Gasto de funcionamiento</w:t>
      </w:r>
    </w:p>
    <w:p>
      <w:pPr>
        <w:pStyle w:val="FirstParagraph"/>
      </w:pPr>
      <w:r>
        <w:t xml:space="preserve">Cuánto varía en términos reales el gasto de funcionamiento del Estado nacional respecto de 2023.</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−31,37 % de variación real vs 2023-06 (IMIG funcionamiento)</w:t>
            </w:r>
            <w:r>
              <w:rPr>
                <w:sz w:val="18"/>
              </w:rPr>
              <w:t xml:space="preserve"> </w:t>
            </w:r>
            <w:r>
              <w:rPr>
                <w:sz w:val="18"/>
              </w:rPr>
              <w:t xml:space="preserve">(2026-06)</w:t>
            </w:r>
          </w:p>
        </w:tc>
        <w:tc>
          <w:tcPr>
            <w:shd w:val="clear" w:color="auto" w:fill="DCFCE7"/>
          </w:tcPr>
          <w:p>
            <w:pPr>
              <w:pStyle w:val="Compact"/>
              <w:jc w:val="center"/>
            </w:pPr>
            <w:r>
              <w:rPr>
                <w:bCs/>
                <w:b/>
                <w:sz w:val="18"/>
                <w:color w:val="14532D"/>
              </w:rPr>
              <w:t xml:space="preserve">VERDE</w:t>
            </w:r>
          </w:p>
        </w:tc>
        <w:tc>
          <w:p>
            <w:pPr>
              <w:pStyle w:val="Compact"/>
              <w:jc w:val="left"/>
            </w:pPr>
            <w:r>
              <w:rPr>
                <w:sz w:val="18"/>
              </w:rPr>
              <w:t xml:space="preserve">Peso efectivo 7,8 % del ITCG</w:t>
            </w:r>
          </w:p>
        </w:tc>
        <w:tc>
          <w:p>
            <w:pPr>
              <w:pStyle w:val="Compact"/>
              <w:jc w:val="left"/>
            </w:pPr>
            <w:r>
              <w:rPr>
                <w:sz w:val="18"/>
              </w:rPr>
              <w:t xml:space="preserve">Cinturón Gestión</w:t>
            </w:r>
          </w:p>
        </w:tc>
      </w:tr>
    </w:tbl>
    <w:bookmarkStart w:id="65" w:name="identificación-4"/>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gasto_funcionamiento</w:t>
            </w:r>
          </w:p>
        </w:tc>
        <w:tc>
          <w:p>
            <w:pPr>
              <w:pStyle w:val="Compact"/>
              <w:jc w:val="left"/>
            </w:pPr>
            <w:r>
              <w:rPr>
                <w:bCs/>
                <w:b/>
                <w:sz w:val="18"/>
              </w:rPr>
              <w:t xml:space="preserve">CINTURÓN</w:t>
            </w:r>
          </w:p>
        </w:tc>
        <w:tc>
          <w:p>
            <w:pPr>
              <w:pStyle w:val="Compact"/>
              <w:jc w:val="left"/>
            </w:pPr>
            <w:r>
              <w:rPr>
                <w:sz w:val="18"/>
              </w:rPr>
              <w:t xml:space="preserve">Gestión</w:t>
            </w:r>
          </w:p>
        </w:tc>
      </w:tr>
      <w:tr>
        <w:trPr>
          <w:cantSplit/>
        </w:trPr>
        <w:tc>
          <w:p>
            <w:pPr>
              <w:pStyle w:val="Compact"/>
              <w:jc w:val="left"/>
            </w:pPr>
            <w:r>
              <w:rPr>
                <w:bCs/>
                <w:b/>
                <w:sz w:val="18"/>
              </w:rPr>
              <w:t xml:space="preserve">DIMENSIÓN EN EL ITCG</w:t>
            </w:r>
          </w:p>
        </w:tc>
        <w:tc>
          <w:p>
            <w:pPr>
              <w:pStyle w:val="Compact"/>
              <w:jc w:val="left"/>
            </w:pPr>
            <w:r>
              <w:rPr>
                <w:sz w:val="18"/>
              </w:rPr>
              <w:t xml:space="preserve">Reforma del Estado</w:t>
            </w:r>
          </w:p>
        </w:tc>
        <w:tc>
          <w:p>
            <w:pPr>
              <w:pStyle w:val="Compact"/>
              <w:jc w:val="left"/>
            </w:pPr>
            <w:r>
              <w:rPr>
                <w:bCs/>
                <w:b/>
                <w:sz w:val="18"/>
              </w:rPr>
              <w:t xml:space="preserve">UNIDAD DE MEDIDA</w:t>
            </w:r>
          </w:p>
        </w:tc>
        <w:tc>
          <w:p>
            <w:pPr>
              <w:pStyle w:val="Compact"/>
              <w:jc w:val="left"/>
            </w:pPr>
            <w:r>
              <w:rPr>
                <w:sz w:val="18"/>
              </w:rPr>
              <w:t xml:space="preserve">% de variación real vs 2023-06 (IMIG funcionamiento)</w:t>
            </w:r>
          </w:p>
        </w:tc>
      </w:tr>
      <w:tr>
        <w:trPr>
          <w:cantSplit/>
        </w:trPr>
        <w:tc>
          <w:p>
            <w:pPr>
              <w:pStyle w:val="Compact"/>
              <w:jc w:val="left"/>
            </w:pPr>
            <w:r>
              <w:rPr>
                <w:bCs/>
                <w:b/>
                <w:sz w:val="18"/>
              </w:rPr>
              <w:t xml:space="preserve">SERIE DISPONIBLE</w:t>
            </w:r>
          </w:p>
        </w:tc>
        <w:tc>
          <w:p>
            <w:pPr>
              <w:pStyle w:val="Compact"/>
              <w:jc w:val="left"/>
            </w:pPr>
            <w:r>
              <w:rPr>
                <w:sz w:val="18"/>
              </w:rPr>
              <w:t xml:space="preserve">2024-01 → 2026-06 (30 puntos)</w:t>
            </w:r>
          </w:p>
        </w:tc>
        <w:tc>
          <w:p>
            <w:pPr>
              <w:pStyle w:val="Compact"/>
              <w:jc w:val="left"/>
            </w:pPr>
            <w:r>
              <w:rPr>
                <w:bCs/>
                <w:b/>
                <w:sz w:val="18"/>
              </w:rPr>
              <w:t xml:space="preserve">REZAGO DE PUBLICACIÓN</w:t>
            </w:r>
          </w:p>
        </w:tc>
        <w:tc>
          <w:p>
            <w:pPr>
              <w:pStyle w:val="Compact"/>
              <w:jc w:val="left"/>
            </w:pPr>
            <w:r>
              <w:rPr>
                <w:sz w:val="18"/>
              </w:rPr>
              <w:t xml:space="preserve">Las series de gasto se publican con ~2 meses de rezago.</w:t>
            </w:r>
          </w:p>
        </w:tc>
      </w:tr>
      <w:tr>
        <w:trPr>
          <w:cantSplit/>
        </w:trPr>
        <w:tc>
          <w:p>
            <w:pPr>
              <w:pStyle w:val="Compact"/>
              <w:jc w:val="left"/>
            </w:pPr>
            <w:r>
              <w:rPr>
                <w:bCs/>
                <w:b/>
                <w:sz w:val="18"/>
              </w:rPr>
              <w:t xml:space="preserve">PRODUCTOR DEL DATO</w:t>
            </w:r>
          </w:p>
        </w:tc>
        <w:tc>
          <w:p>
            <w:pPr>
              <w:pStyle w:val="Compact"/>
              <w:jc w:val="left"/>
            </w:pPr>
            <w:r>
              <w:rPr>
                <w:sz w:val="18"/>
              </w:rPr>
              <w:t xml:space="preserve">Secretaría de Hacienda; deflactor: INDEC</w:t>
            </w:r>
          </w:p>
        </w:tc>
        <w:tc>
          <w:p>
            <w:pPr>
              <w:pStyle w:val="Compact"/>
              <w:jc w:val="left"/>
            </w:pPr>
            <w:r>
              <w:rPr>
                <w:bCs/>
                <w:b/>
                <w:sz w:val="18"/>
              </w:rPr>
              <w:t xml:space="preserve">OPERACIÓN ESTADÍSTICA</w:t>
            </w:r>
          </w:p>
        </w:tc>
        <w:tc>
          <w:p>
            <w:pPr>
              <w:pStyle w:val="Compact"/>
              <w:jc w:val="left"/>
            </w:pPr>
            <w:r>
              <w:rPr>
                <w:sz w:val="18"/>
              </w:rPr>
              <w:t xml:space="preserve">Gastos de funcionamiento del Estado nacional (salarios + otros gastos), variación real contra el mismo mes de 2023</w:t>
            </w:r>
          </w:p>
        </w:tc>
      </w:tr>
      <w:tr>
        <w:trPr>
          <w:cantSplit/>
        </w:trPr>
        <w:tc>
          <w:p>
            <w:pPr>
              <w:pStyle w:val="Compact"/>
              <w:jc w:val="left"/>
            </w:pPr>
            <w:r>
              <w:rPr>
                <w:bCs/>
                <w:b/>
                <w:sz w:val="18"/>
              </w:rPr>
              <w:t xml:space="preserve">MODO DE ACCESO</w:t>
            </w:r>
          </w:p>
        </w:tc>
        <w:tc>
          <w:p>
            <w:pPr>
              <w:pStyle w:val="Compact"/>
              <w:jc w:val="left"/>
            </w:pPr>
            <w:r>
              <w:rPr>
                <w:sz w:val="18"/>
              </w:rPr>
              <w:t xml:space="preserve">Automático: API pública de series de tiempo.</w:t>
            </w:r>
          </w:p>
        </w:tc>
        <w:tc>
          <w:p>
            <w:pPr>
              <w:pStyle w:val="Compact"/>
              <w:jc w:val="left"/>
            </w:pPr>
            <w:r>
              <w:rPr>
                <w:bCs/>
                <w:b/>
                <w:sz w:val="18"/>
              </w:rPr>
              <w:t xml:space="preserve">ÚLTIMA ACTUALIZACIÓN</w:t>
            </w:r>
          </w:p>
        </w:tc>
        <w:tc>
          <w:p>
            <w:pPr>
              <w:pStyle w:val="Compact"/>
              <w:jc w:val="left"/>
            </w:pPr>
            <w:r>
              <w:rPr>
                <w:sz w:val="18"/>
              </w:rPr>
              <w:t xml:space="preserve">Dato a 2026-06 · informe generado el 2026-08-09</w:t>
            </w:r>
          </w:p>
        </w:tc>
      </w:tr>
    </w:tbl>
    <w:bookmarkEnd w:id="65"/>
    <w:bookmarkStart w:id="66" w:name="definición-qué-mide-y-por-qué-importa-4"/>
    <w:p>
      <w:pPr>
        <w:pStyle w:val="Heading2"/>
        <w:keepNext/>
      </w:pPr>
      <w:r>
        <w:t xml:space="preserve">Definición — qué mide y por qué importa</w:t>
      </w:r>
    </w:p>
    <w:p>
      <w:pPr>
        <w:pStyle w:val="FirstParagraph"/>
      </w:pPr>
      <w:r>
        <w:t xml:space="preserve">Cuánto varía en términos reales el gasto de funcionamiento del Estado nacional respecto de 2023.</w:t>
      </w:r>
    </w:p>
    <w:p>
      <w:pPr>
        <w:pStyle w:val="BodyText"/>
      </w:pPr>
      <w:r>
        <w:t xml:space="preserve">La magnitud fiscal del aparato administrativo, aislada de la inflación: distingue el achicamiento del Estado de la mera licuación nominal.</w:t>
      </w:r>
    </w:p>
    <w:p>
      <w:pPr>
        <w:pStyle w:val="BodyText"/>
      </w:pPr>
      <w:r>
        <w:rPr>
          <w:bCs/>
          <w:b/>
        </w:rPr>
        <w:t xml:space="preserve">Dimensión que integra — Reforma del Estado.</w:t>
      </w:r>
      <w:r>
        <w:t xml:space="preserve"> </w:t>
      </w:r>
      <w:r>
        <w:t xml:space="preserve">El achicamiento del Estado en cuatro medidas que se controlan entre sí: dotación de personal, gasto de funcionamiento real, masa salarial real y reestructuración de organismos.</w:t>
      </w:r>
    </w:p>
    <w:bookmarkEnd w:id="66"/>
    <w:bookmarkStart w:id="67" w:name="método-de-cómputo-4"/>
    <w:p>
      <w:pPr>
        <w:pStyle w:val="Heading2"/>
        <w:keepNext/>
      </w:pPr>
      <w:r>
        <w:t xml:space="preserve">Método de cómputo</w:t>
      </w:r>
    </w:p>
    <w:p>
      <w:pPr>
        <w:numPr>
          <w:ilvl w:val="0"/>
          <w:numId w:val="1018"/>
        </w:numPr>
        <w:pStyle w:val="Compact"/>
      </w:pPr>
      <w:r>
        <w:t xml:space="preserve">Total = salarios + otros gastos de funcionamiento.</w:t>
      </w:r>
    </w:p>
    <w:p>
      <w:pPr>
        <w:numPr>
          <w:ilvl w:val="0"/>
          <w:numId w:val="1018"/>
        </w:numPr>
        <w:pStyle w:val="Compact"/>
      </w:pPr>
      <w:r>
        <w:t xml:space="preserve">Variación real del último mes contra el mismo mes de 2023, deflactada por IPC: comparar el mismo mes aísla a la vez la inflación y la estacionalidad de los aguinaldos.</w:t>
      </w:r>
    </w:p>
    <w:bookmarkEnd w:id="67"/>
    <w:bookmarkStart w:id="68" w:name="X645ca3b02a92b2e30ea8c7e8d98b73de6b8b70c"/>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pPr>
      <w:r>
        <w:rPr>
          <w:bCs/>
          <w:b/>
        </w:rPr>
        <w:t xml:space="preserve">Valores que definen cada color</w:t>
      </w:r>
    </w:p>
    <w:tbl>
      <w:tblPr>
        <w:tblStyle w:val="Table"/>
        <w:tblW w:type="pct" w:w="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tr>
        <w:trPr>
          <w:cantSplit/>
          <w:tblHeader/>
        </w:trPr>
        <w:tc>
          <w:tcPr>
            <w:shd w:val="clear" w:color="auto" w:fill="1F3A34"/>
          </w:tcPr>
          <w:p>
            <w:pPr>
              <w:pStyle w:val="Compact"/>
              <w:jc w:val="left"/>
            </w:pPr>
            <w:r>
              <w:rPr>
                <w:b/>
                <w:sz w:val="18"/>
                <w:color w:val="FFFFFF"/>
              </w:rPr>
              <w:t xml:space="preserve">Rango (% de variación real vs 2023-06 (IMIG funcionamiento))</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 −8,5</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−8,5 – −2,5</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−2,5 – −0,83</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 −0,83</w:t>
            </w:r>
          </w:p>
        </w:tc>
        <w:tc>
          <w:tcPr>
            <w:shd w:val="clear" w:color="auto" w:fill="FEE2E2"/>
          </w:tcPr>
          <w:p>
            <w:pPr>
              <w:pStyle w:val="Compact"/>
              <w:jc w:val="center"/>
            </w:pPr>
            <w:r>
              <w:rPr>
                <w:b/>
                <w:sz w:val="18"/>
                <w:color w:val="7F1D1D"/>
              </w:rPr>
              <w:t xml:space="preserve">ROJO</w:t>
            </w:r>
          </w:p>
        </w:tc>
      </w:tr>
    </w:tbl>
    <w:bookmarkEnd w:id="68"/>
    <w:bookmarkStart w:id="69" w:name="datos-concretos-detrás-del-valor-4"/>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19"/>
        </w:numPr>
        <w:pStyle w:val="Compact"/>
      </w:pPr>
      <w:r>
        <w:t xml:space="preserve">$ 2,11 bn devengados (2026-06) vs $ 0,44 bn (2023-06) · inflación del período ×6,9</w:t>
      </w:r>
    </w:p>
    <w:bookmarkEnd w:id="69"/>
    <w:bookmarkStart w:id="70" w:name="color-vigente-y-por-qué-4"/>
    <w:p>
      <w:pPr>
        <w:pStyle w:val="Heading2"/>
        <w:keepNext/>
      </w:pPr>
      <w:r>
        <w:t xml:space="preserve">Color vigente y por qué</w:t>
      </w:r>
    </w:p>
    <w:p>
      <w:pPr>
        <w:pStyle w:val="FirstParagraph"/>
      </w:pPr>
      <w:r>
        <w:t xml:space="preserve">Dato vigente: −31,37 % de variación real vs 2023-06 (IMIG funcionamiento) (2026-06).</w:t>
      </w:r>
    </w:p>
    <w:p>
      <w:pPr>
        <w:pStyle w:val="BodyText"/>
      </w:pPr>
      <w:r>
        <w:t xml:space="preserve">−31,37 % de variación real vs 2023-06 (IMIG funcionamiento) cae en el tramo que corresponde a Verde, a 22,87 del corte más cercano.</w:t>
      </w:r>
    </w:p>
    <w:p>
      <w:pPr>
        <w:pStyle w:val="BodyText"/>
      </w:pPr>
      <w:r>
        <w:rPr>
          <w:bCs/>
          <w:b/>
        </w:rPr>
        <w:t xml:space="preserve">Color vigente: VERDE</w:t>
      </w:r>
    </w:p>
    <w:p>
      <w:pPr>
        <w:pStyle w:val="BodyText"/>
      </w:pPr>
      <w:r>
        <w:t xml:space="preserve">Ponderación vigente en el ITCG: 7,8 % efectivo. El color es una lectura adicional — no reemplaza ni cambia esta ponderación.</w:t>
      </w:r>
    </w:p>
    <w:p>
      <w:pPr>
        <w:numPr>
          <w:ilvl w:val="0"/>
          <w:numId w:val="1020"/>
        </w:numPr>
        <w:pStyle w:val="Compact"/>
      </w:pPr>
      <w:r>
        <w:rPr>
          <w:bCs/>
          <w:b/>
        </w:rPr>
        <w:t xml:space="preserve">Participación en otros indicadores.</w:t>
      </w:r>
      <w:r>
        <w:t xml:space="preserve"> </w:t>
      </w:r>
      <w:r>
        <w:t xml:space="preserve">Su componente de salarios se solapa conceptualmente con la masa salarial (fuente distinta): el marco las trata como patas complementarias — ninguna sola alcanza.</w:t>
      </w:r>
    </w:p>
    <w:bookmarkEnd w:id="70"/>
    <w:bookmarkStart w:id="71" w:name="transparencia-limitaciones-declaradas-4"/>
    <w:p>
      <w:pPr>
        <w:pStyle w:val="Heading2"/>
        <w:keepNext/>
      </w:pPr>
      <w:r>
        <w:t xml:space="preserve">Transparencia — limitaciones declaradas</w:t>
      </w:r>
    </w:p>
    <w:p>
      <w:pPr>
        <w:numPr>
          <w:ilvl w:val="0"/>
          <w:numId w:val="1021"/>
        </w:numPr>
        <w:pStyle w:val="Compact"/>
      </w:pPr>
      <w:r>
        <w:t xml:space="preserve">Bandas calibradas a mano contra el ajuste 2024, un episodio históricamente atípico.</w:t>
      </w:r>
    </w:p>
    <w:p>
      <w:pPr>
        <w:numPr>
          <w:ilvl w:val="0"/>
          <w:numId w:val="1021"/>
        </w:numPr>
        <w:pStyle w:val="Compact"/>
      </w:pPr>
      <w:r>
        <w:t xml:space="preserve">La base caja/devengado de Hacienda está sujeta a reclasificaciones presupuestarias.</w:t>
      </w:r>
    </w:p>
    <w:bookmarkEnd w:id="71"/>
    <w:bookmarkStart w:id="72" w:name="X61b77bf27a7482596b8c47f1ea71e4d36077bf4"/>
    <w:p>
      <w:pPr>
        <w:pStyle w:val="Heading2"/>
        <w:keepNext/>
      </w:pPr>
      <w:r>
        <w:t xml:space="preserve">Si falta el dato / Política de revisiones</w:t>
      </w:r>
    </w:p>
    <w:p>
      <w:pPr>
        <w:numPr>
          <w:ilvl w:val="0"/>
          <w:numId w:val="1022"/>
        </w:numPr>
      </w:pPr>
      <w:r>
        <w:rPr>
          <w:bCs/>
          <w:b/>
        </w:rPr>
        <w:t xml:space="preserve">Si falta el dato:</w:t>
      </w:r>
      <w:r>
        <w:t xml:space="preserve"> </w:t>
      </w:r>
      <w:r>
        <w:t xml:space="preserve">Si falta un insumo, se mantiene el último valor disponible, señalado como desactualizado; sin dato, los pesos de la dimensión se renormalizan.</w:t>
      </w:r>
    </w:p>
    <w:p>
      <w:pPr>
        <w:numPr>
          <w:ilvl w:val="0"/>
          <w:numId w:val="1022"/>
        </w:numPr>
      </w:pPr>
      <w:r>
        <w:rPr>
          <w:bCs/>
          <w:b/>
        </w:rPr>
        <w:t xml:space="preserve">Política de revisiones:</w:t>
      </w:r>
      <w:r>
        <w:t xml:space="preserve"> </w:t>
      </w:r>
      <w:r>
        <w:t xml:space="preserve">Series revisables por el publicador; la serie propia se recalcula entera en cada actualización.</w:t>
      </w:r>
    </w:p>
    <w:bookmarkEnd w:id="72"/>
    <w:bookmarkStart w:id="73" w:name="X2689a8f17fd66d16ab78fd446a4f0208d24d005"/>
    <w:p>
      <w:pPr>
        <w:pStyle w:val="Heading2"/>
        <w:keepNext/>
      </w:pPr>
      <w:r>
        <w:t xml:space="preserve">Historial — cambios metodológicos documentados</w:t>
      </w:r>
    </w:p>
    <w:p>
      <w:pPr>
        <w:pStyle w:val="FirstParagraph"/>
      </w:pPr>
      <w:r>
        <w:rPr>
          <w:bCs/>
          <w:b/>
        </w:rPr>
        <w:t xml:space="preserve">2026-07-02</w:t>
      </w:r>
      <w:r>
        <w:t xml:space="preserve"> </w:t>
      </w:r>
      <w:r>
        <w:t xml:space="preserve">— Indicador nuevo, creado con el ITCG.</w:t>
      </w:r>
    </w:p>
    <w:p>
      <w:pPr>
        <w:pStyle w:val="BodyText"/>
      </w:pPr>
      <w:r>
        <w:rPr>
          <w:bCs/>
          <w:b/>
        </w:rPr>
        <w:t xml:space="preserve">2026-07-03</w:t>
      </w:r>
      <w:r>
        <w:t xml:space="preserve"> </w:t>
      </w:r>
      <w:r>
        <w:t xml:space="preserve">— Puntaje interpolado entre anclas.</w:t>
      </w:r>
    </w:p>
    <w:p>
      <w:r>
        <w:br w:type="page"/>
      </w:r>
    </w:p>
    <w:p>
      <w:pPr>
        <w:pStyle w:val="BodyText"/>
      </w:pPr>
      <w:r>
        <w:rPr>
          <w:bCs/>
          <w:b/>
        </w:rPr>
        <w:t xml:space="preserve">CIGOB · INFORME DE COYUNTURA</w:t>
      </w:r>
    </w:p>
    <w:p>
      <w:pPr>
        <w:pStyle w:val="BodyText"/>
      </w:pPr>
      <w:r>
        <w:rPr>
          <w:iCs/>
          <w:i/>
        </w:rPr>
        <w:t xml:space="preserve">Ficha metodológica · Cinturón Gestión · Capa de semáforo (4 colores)</w:t>
      </w:r>
    </w:p>
    <w:bookmarkEnd w:id="73"/>
    <w:bookmarkEnd w:id="74"/>
    <w:bookmarkStart w:id="84" w:name="reestructuración-de-organismos"/>
    <w:p>
      <w:pPr>
        <w:pStyle w:val="Heading1"/>
        <w:keepNext/>
      </w:pPr>
      <w:r>
        <w:t xml:space="preserve">Reestructuración de organismos</w:t>
      </w:r>
    </w:p>
    <w:p>
      <w:pPr>
        <w:pStyle w:val="FirstParagraph"/>
      </w:pPr>
      <w:r>
        <w:t xml:space="preserve">Cuántos organismos públicos se disolvieron o cerraron desde diciembre de 2023, con ese cierre todavía vigente.</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24,4 % de avance (proxy InfoLeg, caso por caso)</w:t>
            </w:r>
            <w:r>
              <w:rPr>
                <w:sz w:val="18"/>
              </w:rPr>
              <w:t xml:space="preserve"> </w:t>
            </w:r>
            <w:r>
              <w:rPr>
                <w:sz w:val="18"/>
              </w:rPr>
              <w:t xml:space="preserve">(2026-08)</w:t>
            </w:r>
          </w:p>
        </w:tc>
        <w:tc>
          <w:tcPr>
            <w:shd w:val="clear" w:color="auto" w:fill="FFEDD5"/>
          </w:tcPr>
          <w:p>
            <w:pPr>
              <w:pStyle w:val="Compact"/>
              <w:jc w:val="center"/>
            </w:pPr>
            <w:r>
              <w:rPr>
                <w:bCs/>
                <w:b/>
                <w:sz w:val="18"/>
                <w:color w:val="7C2D12"/>
              </w:rPr>
              <w:t xml:space="preserve">NARANJA</w:t>
            </w:r>
          </w:p>
        </w:tc>
        <w:tc>
          <w:p>
            <w:pPr>
              <w:pStyle w:val="Compact"/>
              <w:jc w:val="left"/>
            </w:pPr>
            <w:r>
              <w:rPr>
                <w:sz w:val="18"/>
              </w:rPr>
              <w:t xml:space="preserve">Peso efectivo 6,2 % del ITCG</w:t>
            </w:r>
          </w:p>
        </w:tc>
        <w:tc>
          <w:p>
            <w:pPr>
              <w:pStyle w:val="Compact"/>
              <w:jc w:val="left"/>
            </w:pPr>
            <w:r>
              <w:rPr>
                <w:sz w:val="18"/>
              </w:rPr>
              <w:t xml:space="preserve">Cinturón Gestión</w:t>
            </w:r>
          </w:p>
        </w:tc>
      </w:tr>
    </w:tbl>
    <w:bookmarkStart w:id="75" w:name="identificación-5"/>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reestructuracion_organismos</w:t>
            </w:r>
          </w:p>
        </w:tc>
        <w:tc>
          <w:p>
            <w:pPr>
              <w:pStyle w:val="Compact"/>
              <w:jc w:val="left"/>
            </w:pPr>
            <w:r>
              <w:rPr>
                <w:bCs/>
                <w:b/>
                <w:sz w:val="18"/>
              </w:rPr>
              <w:t xml:space="preserve">CINTURÓN</w:t>
            </w:r>
          </w:p>
        </w:tc>
        <w:tc>
          <w:p>
            <w:pPr>
              <w:pStyle w:val="Compact"/>
              <w:jc w:val="left"/>
            </w:pPr>
            <w:r>
              <w:rPr>
                <w:sz w:val="18"/>
              </w:rPr>
              <w:t xml:space="preserve">Gestión</w:t>
            </w:r>
          </w:p>
        </w:tc>
      </w:tr>
      <w:tr>
        <w:trPr>
          <w:cantSplit/>
        </w:trPr>
        <w:tc>
          <w:p>
            <w:pPr>
              <w:pStyle w:val="Compact"/>
              <w:jc w:val="left"/>
            </w:pPr>
            <w:r>
              <w:rPr>
                <w:bCs/>
                <w:b/>
                <w:sz w:val="18"/>
              </w:rPr>
              <w:t xml:space="preserve">DIMENSIÓN EN EL ITCG</w:t>
            </w:r>
          </w:p>
        </w:tc>
        <w:tc>
          <w:p>
            <w:pPr>
              <w:pStyle w:val="Compact"/>
              <w:jc w:val="left"/>
            </w:pPr>
            <w:r>
              <w:rPr>
                <w:sz w:val="18"/>
              </w:rPr>
              <w:t xml:space="preserve">Reforma del Estado</w:t>
            </w:r>
          </w:p>
        </w:tc>
        <w:tc>
          <w:p>
            <w:pPr>
              <w:pStyle w:val="Compact"/>
              <w:jc w:val="left"/>
            </w:pPr>
            <w:r>
              <w:rPr>
                <w:bCs/>
                <w:b/>
                <w:sz w:val="18"/>
              </w:rPr>
              <w:t xml:space="preserve">UNIDAD DE MEDIDA</w:t>
            </w:r>
          </w:p>
        </w:tc>
        <w:tc>
          <w:p>
            <w:pPr>
              <w:pStyle w:val="Compact"/>
              <w:jc w:val="left"/>
            </w:pPr>
            <w:r>
              <w:rPr>
                <w:sz w:val="18"/>
              </w:rPr>
              <w:t xml:space="preserve">% de avance (proxy InfoLeg, caso por caso)</w:t>
            </w:r>
          </w:p>
        </w:tc>
      </w:tr>
      <w:tr>
        <w:trPr>
          <w:cantSplit/>
        </w:trPr>
        <w:tc>
          <w:p>
            <w:pPr>
              <w:pStyle w:val="Compact"/>
              <w:jc w:val="left"/>
            </w:pPr>
            <w:r>
              <w:rPr>
                <w:bCs/>
                <w:b/>
                <w:sz w:val="18"/>
              </w:rPr>
              <w:t xml:space="preserve">SERIE DISPONIBLE</w:t>
            </w:r>
          </w:p>
        </w:tc>
        <w:tc>
          <w:p>
            <w:pPr>
              <w:pStyle w:val="Compact"/>
              <w:jc w:val="left"/>
            </w:pPr>
            <w:r>
              <w:rPr>
                <w:sz w:val="18"/>
              </w:rPr>
              <w:t xml:space="preserve">2023-12 → 2026-08 (33 puntos)</w:t>
            </w:r>
          </w:p>
        </w:tc>
        <w:tc>
          <w:p>
            <w:pPr>
              <w:pStyle w:val="Compact"/>
              <w:jc w:val="left"/>
            </w:pPr>
            <w:r>
              <w:rPr>
                <w:bCs/>
                <w:b/>
                <w:sz w:val="18"/>
              </w:rPr>
              <w:t xml:space="preserve">REZAGO DE PUBLICACIÓN</w:t>
            </w:r>
          </w:p>
        </w:tc>
        <w:tc>
          <w:p>
            <w:pPr>
              <w:pStyle w:val="Compact"/>
              <w:jc w:val="left"/>
            </w:pPr>
            <w:r>
              <w:rPr>
                <w:sz w:val="18"/>
              </w:rPr>
              <w:t xml:space="preserve">Sin rezago: conteo al día de la actualización.</w:t>
            </w:r>
          </w:p>
        </w:tc>
      </w:tr>
      <w:tr>
        <w:trPr>
          <w:cantSplit/>
        </w:trPr>
        <w:tc>
          <w:p>
            <w:pPr>
              <w:pStyle w:val="Compact"/>
              <w:jc w:val="left"/>
            </w:pPr>
            <w:r>
              <w:rPr>
                <w:bCs/>
                <w:b/>
                <w:sz w:val="18"/>
              </w:rPr>
              <w:t xml:space="preserve">PRODUCTOR DEL DATO</w:t>
            </w:r>
          </w:p>
        </w:tc>
        <w:tc>
          <w:p>
            <w:pPr>
              <w:pStyle w:val="Compact"/>
              <w:jc w:val="left"/>
            </w:pPr>
            <w:r>
              <w:rPr>
                <w:sz w:val="18"/>
              </w:rPr>
              <w:t xml:space="preserve">InfoLeg (Ministerio de Justicia)</w:t>
            </w:r>
          </w:p>
        </w:tc>
        <w:tc>
          <w:p>
            <w:pPr>
              <w:pStyle w:val="Compact"/>
              <w:jc w:val="left"/>
            </w:pPr>
            <w:r>
              <w:rPr>
                <w:bCs/>
                <w:b/>
                <w:sz w:val="18"/>
              </w:rPr>
              <w:t xml:space="preserve">OPERACIÓN ESTADÍSTICA</w:t>
            </w:r>
          </w:p>
        </w:tc>
        <w:tc>
          <w:p>
            <w:pPr>
              <w:pStyle w:val="Compact"/>
              <w:jc w:val="left"/>
            </w:pPr>
            <w:r>
              <w:rPr>
                <w:sz w:val="18"/>
              </w:rPr>
              <w:t xml:space="preserve">Conteo de normas nacionales publicadas desde diciembre de 2023 cuyo texto contiene «disolución», filtrado caso por caso contra un registro curado</w:t>
            </w:r>
          </w:p>
        </w:tc>
      </w:tr>
      <w:tr>
        <w:trPr>
          <w:cantSplit/>
        </w:trPr>
        <w:tc>
          <w:p>
            <w:pPr>
              <w:pStyle w:val="Compact"/>
              <w:jc w:val="left"/>
            </w:pPr>
            <w:r>
              <w:rPr>
                <w:bCs/>
                <w:b/>
                <w:sz w:val="18"/>
              </w:rPr>
              <w:t xml:space="preserve">MODO DE ACCESO</w:t>
            </w:r>
          </w:p>
        </w:tc>
        <w:tc>
          <w:p>
            <w:pPr>
              <w:pStyle w:val="Compact"/>
              <w:jc w:val="left"/>
            </w:pPr>
            <w:r>
              <w:rPr>
                <w:sz w:val="18"/>
              </w:rPr>
              <w:t xml:space="preserve">InfoLeg como descubrimiento (mismo mecanismo que la desregulación) + un registro curado que clasifica cada hallazgo: cuenta, no cuenta por ser ajeno a un organismo público, o no cuenta por haber sido revertido.</w:t>
            </w:r>
          </w:p>
        </w:tc>
        <w:tc>
          <w:p>
            <w:pPr>
              <w:pStyle w:val="Compact"/>
              <w:jc w:val="left"/>
            </w:pPr>
            <w:r>
              <w:rPr>
                <w:bCs/>
                <w:b/>
                <w:sz w:val="18"/>
              </w:rPr>
              <w:t xml:space="preserve">ÚLTIMA ACTUALIZACIÓN</w:t>
            </w:r>
          </w:p>
        </w:tc>
        <w:tc>
          <w:p>
            <w:pPr>
              <w:pStyle w:val="Compact"/>
              <w:jc w:val="left"/>
            </w:pPr>
            <w:r>
              <w:rPr>
                <w:sz w:val="18"/>
              </w:rPr>
              <w:t xml:space="preserve">Dato a 2026-08 · informe generado el 2026-08-09</w:t>
            </w:r>
          </w:p>
        </w:tc>
      </w:tr>
    </w:tbl>
    <w:bookmarkEnd w:id="75"/>
    <w:bookmarkStart w:id="76" w:name="definición-qué-mide-y-por-qué-importa-5"/>
    <w:p>
      <w:pPr>
        <w:pStyle w:val="Heading2"/>
        <w:keepNext/>
      </w:pPr>
      <w:r>
        <w:t xml:space="preserve">Definición — qué mide y por qué importa</w:t>
      </w:r>
    </w:p>
    <w:p>
      <w:pPr>
        <w:pStyle w:val="FirstParagraph"/>
      </w:pPr>
      <w:r>
        <w:t xml:space="preserve">Cuántos organismos públicos se disolvieron o cerraron desde diciembre de 2023, con ese cierre todavía vigente.</w:t>
      </w:r>
    </w:p>
    <w:p>
      <w:pPr>
        <w:pStyle w:val="BodyText"/>
      </w:pPr>
      <w:r>
        <w:t xml:space="preserve">Mide el avance concreto de la reforma del aparato estatal por la vía más dura y verificable: el cierre. No cuenta fusiones, transformaciones ni reorganizaciones que no impliquen disolver un organismo — esas son difíciles de verificar caso por caso y quedan fuera de lo que este indicador afirma medir. Tampoco cuenta un hallazgo de la búsqueda que, revisado caso por caso, resultó ajeno a un organismo público o fue revertido después: cada norma se contrasta contra un registro curado antes de sumar.</w:t>
      </w:r>
    </w:p>
    <w:p>
      <w:pPr>
        <w:pStyle w:val="BodyText"/>
      </w:pPr>
      <w:r>
        <w:rPr>
          <w:bCs/>
          <w:b/>
        </w:rPr>
        <w:t xml:space="preserve">Dimensión que integra — Reforma del Estado.</w:t>
      </w:r>
      <w:r>
        <w:t xml:space="preserve"> </w:t>
      </w:r>
      <w:r>
        <w:t xml:space="preserve">El achicamiento del Estado en cuatro medidas que se controlan entre sí: dotación de personal, gasto de funcionamiento real, masa salarial real y reestructuración de organismos.</w:t>
      </w:r>
    </w:p>
    <w:bookmarkEnd w:id="76"/>
    <w:bookmarkStart w:id="77" w:name="método-de-cómputo-5"/>
    <w:p>
      <w:pPr>
        <w:pStyle w:val="Heading2"/>
        <w:keepNext/>
      </w:pPr>
      <w:r>
        <w:t xml:space="preserve">Método de cómputo</w:t>
      </w:r>
    </w:p>
    <w:p>
      <w:pPr>
        <w:numPr>
          <w:ilvl w:val="0"/>
          <w:numId w:val="1023"/>
        </w:numPr>
        <w:pStyle w:val="Compact"/>
      </w:pPr>
      <w:r>
        <w:t xml:space="preserve">Avance = actos de disolución o cierre VIGENTES de organismos públicos, sobre un plan de 45 (calibración declarada). No cuenta fusiones, transformaciones ni centralizaciones —difíciles de verificar caso por caso, CIGOB pidió (ago-2026) hablar solo de disolución o cierre— y desde agosto de 2026 tampoco cuenta un hallazgo de texto que no sea, caso por caso, el cierre vigente de un organismo público (ADR-0188): de los 18 documentos que la búsqueda encontraba, 11 pasan el filtro (24,4% de avance); los otros 7 quedan excluidos con su motivo documentado.</w:t>
      </w:r>
    </w:p>
    <w:bookmarkEnd w:id="77"/>
    <w:bookmarkStart w:id="78" w:name="Xb1931c6abcbcf859f1adda48bf40e4d48635f98"/>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pPr>
      <w:r>
        <w:rPr>
          <w:bCs/>
          <w:b/>
        </w:rPr>
        <w:t xml:space="preserve">Valores que definen cada color</w:t>
      </w:r>
    </w:p>
    <w:tbl>
      <w:tblPr>
        <w:tblStyle w:val="Table"/>
        <w:tblW w:type="pct" w:w="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tr>
        <w:trPr>
          <w:cantSplit/>
          <w:tblHeader/>
        </w:trPr>
        <w:tc>
          <w:tcPr>
            <w:shd w:val="clear" w:color="auto" w:fill="1F3A34"/>
          </w:tcPr>
          <w:p>
            <w:pPr>
              <w:pStyle w:val="Compact"/>
              <w:jc w:val="left"/>
            </w:pPr>
            <w:r>
              <w:rPr>
                <w:b/>
                <w:sz w:val="18"/>
                <w:color w:val="FFFFFF"/>
              </w:rPr>
              <w:t xml:space="preserve">Rango (% de avance (proxy InfoLeg, caso por caso))</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 46</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30 – 46</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23,33 – 30</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 23,33</w:t>
            </w:r>
          </w:p>
        </w:tc>
        <w:tc>
          <w:tcPr>
            <w:shd w:val="clear" w:color="auto" w:fill="FEE2E2"/>
          </w:tcPr>
          <w:p>
            <w:pPr>
              <w:pStyle w:val="Compact"/>
              <w:jc w:val="center"/>
            </w:pPr>
            <w:r>
              <w:rPr>
                <w:b/>
                <w:sz w:val="18"/>
                <w:color w:val="7F1D1D"/>
              </w:rPr>
              <w:t xml:space="preserve">ROJO</w:t>
            </w:r>
          </w:p>
        </w:tc>
      </w:tr>
    </w:tbl>
    <w:bookmarkEnd w:id="78"/>
    <w:bookmarkStart w:id="79" w:name="datos-concretos-detrás-del-valor-5"/>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24"/>
        </w:numPr>
        <w:pStyle w:val="Compact"/>
      </w:pPr>
      <w:r>
        <w:t xml:space="preserve">11 actos de disolución o cierre de organismos desde dic-2023 (45 = plan completo) · 7 excluidos por falso positivo o por revertidos por el Congreso</w:t>
      </w:r>
    </w:p>
    <w:bookmarkEnd w:id="79"/>
    <w:bookmarkStart w:id="80" w:name="color-vigente-y-por-qué-5"/>
    <w:p>
      <w:pPr>
        <w:pStyle w:val="Heading2"/>
        <w:keepNext/>
      </w:pPr>
      <w:r>
        <w:t xml:space="preserve">Color vigente y por qué</w:t>
      </w:r>
    </w:p>
    <w:p>
      <w:pPr>
        <w:pStyle w:val="FirstParagraph"/>
      </w:pPr>
      <w:r>
        <w:t xml:space="preserve">Dato vigente: 24,4 % de avance (proxy InfoLeg, caso por caso) (2026-08).</w:t>
      </w:r>
    </w:p>
    <w:p>
      <w:pPr>
        <w:pStyle w:val="BodyText"/>
      </w:pPr>
      <w:r>
        <w:t xml:space="preserve">24,4 % de avance (proxy InfoLeg, caso por caso) cae en el tramo que corresponde a Naranja, a 1,07 del corte más cercano.</w:t>
      </w:r>
    </w:p>
    <w:p>
      <w:pPr>
        <w:pStyle w:val="BodyText"/>
      </w:pPr>
      <w:r>
        <w:rPr>
          <w:bCs/>
          <w:b/>
        </w:rPr>
        <w:t xml:space="preserve">Color vigente: NARANJA</w:t>
      </w:r>
    </w:p>
    <w:p>
      <w:pPr>
        <w:pStyle w:val="BodyText"/>
      </w:pPr>
      <w:r>
        <w:t xml:space="preserve">Ponderación vigente en el ITCG: 6,2 % efectivo. El color es una lectura adicional — no reemplaza ni cambia esta ponderación.</w:t>
      </w:r>
    </w:p>
    <w:bookmarkEnd w:id="80"/>
    <w:bookmarkStart w:id="81" w:name="transparencia-limitaciones-declaradas-5"/>
    <w:p>
      <w:pPr>
        <w:pStyle w:val="Heading2"/>
        <w:keepNext/>
      </w:pPr>
      <w:r>
        <w:t xml:space="preserve">Transparencia — limitaciones declaradas</w:t>
      </w:r>
    </w:p>
    <w:p>
      <w:pPr>
        <w:numPr>
          <w:ilvl w:val="0"/>
          <w:numId w:val="1025"/>
        </w:numPr>
        <w:pStyle w:val="Compact"/>
      </w:pPr>
      <w:r>
        <w:t xml:space="preserve">El megadecreto 70/2023 no aparece en la búsqueda de texto: solo captura los actos posteriores.</w:t>
      </w:r>
    </w:p>
    <w:p>
      <w:pPr>
        <w:numPr>
          <w:ilvl w:val="0"/>
          <w:numId w:val="1025"/>
        </w:numPr>
        <w:pStyle w:val="Compact"/>
      </w:pPr>
      <w:r>
        <w:t xml:space="preserve">La calibración (originalmente 18 = 40%, 45 = plan completo) es una decisión propia validada a mano y declarada; el 45 no cambió, el numerador sí (ver el cambio de agosto de 2026 abajo).</w:t>
      </w:r>
    </w:p>
    <w:p>
      <w:pPr>
        <w:numPr>
          <w:ilvl w:val="0"/>
          <w:numId w:val="1025"/>
        </w:numPr>
        <w:pStyle w:val="Compact"/>
      </w:pPr>
      <w:r>
        <w:t xml:space="preserve">El 45 (plan completo) se fijó en mayo de 2026 contra una estimación manual descripta en ese momento como</w:t>
      </w:r>
      <w:r>
        <w:t xml:space="preserve"> </w:t>
      </w:r>
      <w:r>
        <w:t xml:space="preserve">“</w:t>
      </w:r>
      <w:r>
        <w:t xml:space="preserve">decretos de disolución/fusión de organismos</w:t>
      </w:r>
      <w:r>
        <w:t xml:space="preserve">”</w:t>
      </w:r>
      <w:r>
        <w:t xml:space="preserve"> </w:t>
      </w:r>
      <w:r>
        <w:t xml:space="preserve">— un universo más amplio que el que la etiqueta de este indicador afirma medir desde agosto de 2026. Se revisó (agosto de 2026) si había una cifra mejor: ni la Ley Bases, ni el Ministerio de Desregulación, ni la prensa publican un objetivo de organismos a cerrar en la misma unidad que este indicador mide (normas, no organismos), así que el 45 se mantiene como convención declarada, no corregida — el detalle de la búsqueda está en ADR-0185.</w:t>
      </w:r>
    </w:p>
    <w:p>
      <w:pPr>
        <w:numPr>
          <w:ilvl w:val="0"/>
          <w:numId w:val="1025"/>
        </w:numPr>
        <w:pStyle w:val="Compact"/>
      </w:pPr>
      <w:r>
        <w:t xml:space="preserve">Una búsqueda de texto por sí sola no distingue de qué habla la norma: de los 18 documentos que</w:t>
      </w:r>
      <w:r>
        <w:t xml:space="preserve"> </w:t>
      </w:r>
      <w:r>
        <w:t xml:space="preserve">“</w:t>
      </w:r>
      <w:r>
        <w:t xml:space="preserve">disolución</w:t>
      </w:r>
      <w:r>
        <w:t xml:space="preserve">”</w:t>
      </w:r>
      <w:r>
        <w:t xml:space="preserve"> </w:t>
      </w:r>
      <w:r>
        <w:t xml:space="preserve">encontraba, 3 eran ajenos a un organismo público (el procedimiento de disolución de sociedades y asociaciones civiles privadas, la disolución de una obra social sindical privada, y un producto de limpieza llamado</w:t>
      </w:r>
      <w:r>
        <w:t xml:space="preserve"> </w:t>
      </w:r>
      <w:r>
        <w:t xml:space="preserve">“</w:t>
      </w:r>
      <w:r>
        <w:t xml:space="preserve">Cloro Granulado Disolución Rápida</w:t>
      </w:r>
      <w:r>
        <w:t xml:space="preserve">”</w:t>
      </w:r>
      <w:r>
        <w:t xml:space="preserve">) y 4 eran actos de un paquete de decretos (461/2025 y 462/2025) que el Congreso rechazó en agosto de 2025 y quedaron abrogados — esos organismos siguen existiendo. Los 7 se excluyen, cada uno con su motivo y su norma (ADR-0188).</w:t>
      </w:r>
    </w:p>
    <w:p>
      <w:pPr>
        <w:numPr>
          <w:ilvl w:val="0"/>
          <w:numId w:val="1025"/>
        </w:numPr>
        <w:pStyle w:val="Compact"/>
      </w:pPr>
      <w:r>
        <w:t xml:space="preserve">Si InfoLeg indexa una norma nueva con</w:t>
      </w:r>
      <w:r>
        <w:t xml:space="preserve"> </w:t>
      </w:r>
      <w:r>
        <w:t xml:space="preserve">“</w:t>
      </w:r>
      <w:r>
        <w:t xml:space="preserve">disolución</w:t>
      </w:r>
      <w:r>
        <w:t xml:space="preserve">”</w:t>
      </w:r>
      <w:r>
        <w:t xml:space="preserve"> </w:t>
      </w:r>
      <w:r>
        <w:t xml:space="preserve">que todavía nadie clasificó caso por caso, esa norma NO se suma al avance: la corrida la deja afuera y lo avisa, en vez de contarla sin revisar (que es exactamente el defecto que corrigió agosto de 2026) o descartarla en silencio.</w:t>
      </w:r>
    </w:p>
    <w:bookmarkEnd w:id="81"/>
    <w:bookmarkStart w:id="82" w:name="Xc57e4cc3a18d396728e74304c5ee81f44a4293b"/>
    <w:p>
      <w:pPr>
        <w:pStyle w:val="Heading2"/>
        <w:keepNext/>
      </w:pPr>
      <w:r>
        <w:t xml:space="preserve">Si falta el dato / Política de revisiones</w:t>
      </w:r>
    </w:p>
    <w:p>
      <w:pPr>
        <w:numPr>
          <w:ilvl w:val="0"/>
          <w:numId w:val="1026"/>
        </w:numPr>
      </w:pPr>
      <w:r>
        <w:rPr>
          <w:bCs/>
          <w:b/>
        </w:rPr>
        <w:t xml:space="preserve">Si falta el dato:</w:t>
      </w:r>
      <w:r>
        <w:t xml:space="preserve"> </w:t>
      </w:r>
      <w:r>
        <w:t xml:space="preserve">Con el buscador caído, se mantiene el último valor disponible, señalado como desactualizado; sin dato, los pesos de la dimensión se renormalizan.</w:t>
      </w:r>
    </w:p>
    <w:p>
      <w:pPr>
        <w:numPr>
          <w:ilvl w:val="0"/>
          <w:numId w:val="1026"/>
        </w:numPr>
      </w:pPr>
      <w:r>
        <w:rPr>
          <w:bCs/>
          <w:b/>
        </w:rPr>
        <w:t xml:space="preserve">Política de revisiones:</w:t>
      </w:r>
      <w:r>
        <w:t xml:space="preserve"> </w:t>
      </w:r>
      <w:r>
        <w:t xml:space="preserve">El acumulado se reevalúa completo en cada actualización.</w:t>
      </w:r>
    </w:p>
    <w:bookmarkEnd w:id="82"/>
    <w:bookmarkStart w:id="83" w:name="X01eece54c25544211d0d4e1d54c663892ca44aa"/>
    <w:p>
      <w:pPr>
        <w:pStyle w:val="Heading2"/>
        <w:keepNext/>
      </w:pPr>
      <w:r>
        <w:t xml:space="preserve">Historial — cambios metodológicos documentados</w:t>
      </w:r>
    </w:p>
    <w:p>
      <w:pPr>
        <w:pStyle w:val="FirstParagraph"/>
      </w:pPr>
      <w:r>
        <w:rPr>
          <w:bCs/>
          <w:b/>
        </w:rPr>
        <w:t xml:space="preserve">2026-05</w:t>
      </w:r>
      <w:r>
        <w:t xml:space="preserve"> </w:t>
      </w:r>
      <w:r>
        <w:t xml:space="preserve">— Automatizado desde el inicio del cinturón con la misma búsqueda.</w:t>
      </w:r>
    </w:p>
    <w:p>
      <w:pPr>
        <w:pStyle w:val="BodyText"/>
      </w:pPr>
      <w:r>
        <w:rPr>
          <w:bCs/>
          <w:b/>
        </w:rPr>
        <w:t xml:space="preserve">2026-07-02</w:t>
      </w:r>
      <w:r>
        <w:t xml:space="preserve"> </w:t>
      </w:r>
      <w:r>
        <w:t xml:space="preserve">— Umbrales institucionales del ITCG.</w:t>
      </w:r>
    </w:p>
    <w:p>
      <w:pPr>
        <w:pStyle w:val="BodyText"/>
      </w:pPr>
      <w:r>
        <w:rPr>
          <w:bCs/>
          <w:b/>
        </w:rPr>
        <w:t xml:space="preserve">2026-07-03</w:t>
      </w:r>
      <w:r>
        <w:t xml:space="preserve"> </w:t>
      </w:r>
      <w:r>
        <w:t xml:space="preserve">— Puntaje interpolado entre anclas.</w:t>
      </w:r>
    </w:p>
    <w:p>
      <w:pPr>
        <w:pStyle w:val="BodyText"/>
      </w:pPr>
      <w:r>
        <w:rPr>
          <w:bCs/>
          <w:b/>
        </w:rPr>
        <w:t xml:space="preserve">2026-08-09</w:t>
      </w:r>
      <w:r>
        <w:t xml:space="preserve"> </w:t>
      </w:r>
      <w:r>
        <w:t xml:space="preserve">— Etiqueta y descripción precisadas a pedido de CIGOB: se habla solo de disolución o cierre, no de fusión/transformación/centralización. El cálculo no cambió — la búsqueda en InfoLeg siempre fue solo «disolución». Ver ADR-0185.</w:t>
      </w:r>
    </w:p>
    <w:p>
      <w:pPr>
        <w:pStyle w:val="BodyText"/>
      </w:pPr>
      <w:r>
        <w:rPr>
          <w:bCs/>
          <w:b/>
        </w:rPr>
        <w:t xml:space="preserve">2026-08-09</w:t>
      </w:r>
      <w:r>
        <w:t xml:space="preserve"> </w:t>
      </w:r>
      <w:r>
        <w:t xml:space="preserve">— Se buscó una cifra mejor que 45 para el denominador (Ley Bases, Ministerio de Desregulación, prensa) y ninguna resultó viable; el 45 se mantiene, ahora documentado en detalle. Ver ADR-0185.</w:t>
      </w:r>
    </w:p>
    <w:p>
      <w:pPr>
        <w:pStyle w:val="BodyText"/>
      </w:pPr>
      <w:r>
        <w:rPr>
          <w:bCs/>
          <w:b/>
        </w:rPr>
        <w:t xml:space="preserve">2026-08-09</w:t>
      </w:r>
      <w:r>
        <w:t xml:space="preserve"> </w:t>
      </w:r>
      <w:r>
        <w:t xml:space="preserve">— El conteo pasa de 18 a 11 (avance de 40,0% a 24,4%; ITCG de 78,7 a 76,8): la lectura caso por caso que pidió CIGOB encontró que 3 de los 18 documentos no hablaban de un organismo público y 4 eran actos de un paquete de decretos que el Congreso rechazó y quedaron sin efecto. InfoLeg sigue siendo la fuente de descubrimiento, pero cada hallazgo se contrasta ahora contra un registro curado con motivo y norma; lo que todavía nadie clasificó no cuenta y la corrida lo avisa. Ver ADR-0188.</w:t>
      </w:r>
    </w:p>
    <w:p>
      <w:r>
        <w:br w:type="page"/>
      </w:r>
    </w:p>
    <w:p>
      <w:pPr>
        <w:pStyle w:val="BodyText"/>
      </w:pPr>
      <w:r>
        <w:rPr>
          <w:bCs/>
          <w:b/>
        </w:rPr>
        <w:t xml:space="preserve">CIGOB · INFORME DE COYUNTURA</w:t>
      </w:r>
    </w:p>
    <w:p>
      <w:pPr>
        <w:pStyle w:val="BodyText"/>
      </w:pPr>
      <w:r>
        <w:rPr>
          <w:iCs/>
          <w:i/>
        </w:rPr>
        <w:t xml:space="preserve">Ficha metodológica · Cinturón Gestión · Capa de semáforo (4 colores)</w:t>
      </w:r>
    </w:p>
    <w:bookmarkEnd w:id="83"/>
    <w:bookmarkEnd w:id="84"/>
    <w:bookmarkStart w:id="94" w:name="fondo-de-asistencia-laboral"/>
    <w:p>
      <w:pPr>
        <w:pStyle w:val="Heading1"/>
        <w:keepNext/>
      </w:pPr>
      <w:r>
        <w:t xml:space="preserve">Fondo de Asistencia Laboral</w:t>
      </w:r>
    </w:p>
    <w:p>
      <w:pPr>
        <w:pStyle w:val="FirstParagraph"/>
      </w:pPr>
      <w:r>
        <w:t xml:space="preserve">Si están dados los dos actos que ponen en pie al Fondo de Asistencia Laboral, el mecanismo para financiar las indemnizaciones por despido que creó la Ley de Modernización Laboral: la sanción de la Ley 27.802 por el Congreso y su reglamentación por el Poder Ejecutivo mediante el Decreto 408/2026. Cada uno vale la mitad del indicador.</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100 Índice 0–100 (actos fundamentales del FAL: ley + reglamentación)</w:t>
            </w:r>
            <w:r>
              <w:rPr>
                <w:sz w:val="18"/>
              </w:rPr>
              <w:t xml:space="preserve"> </w:t>
            </w:r>
            <w:r>
              <w:rPr>
                <w:sz w:val="18"/>
              </w:rPr>
              <w:t xml:space="preserve">(2026-08)</w:t>
            </w:r>
          </w:p>
        </w:tc>
        <w:tc>
          <w:tcPr>
            <w:shd w:val="clear" w:color="auto" w:fill="DCFCE7"/>
          </w:tcPr>
          <w:p>
            <w:pPr>
              <w:pStyle w:val="Compact"/>
              <w:jc w:val="center"/>
            </w:pPr>
            <w:r>
              <w:rPr>
                <w:bCs/>
                <w:b/>
                <w:sz w:val="18"/>
                <w:color w:val="14532D"/>
              </w:rPr>
              <w:t xml:space="preserve">VERDE</w:t>
            </w:r>
          </w:p>
        </w:tc>
        <w:tc>
          <w:p>
            <w:pPr>
              <w:pStyle w:val="Compact"/>
              <w:jc w:val="left"/>
            </w:pPr>
            <w:r>
              <w:rPr>
                <w:sz w:val="18"/>
              </w:rPr>
              <w:t xml:space="preserve">Peso efectivo 7,5 % del ITCG</w:t>
            </w:r>
          </w:p>
        </w:tc>
        <w:tc>
          <w:p>
            <w:pPr>
              <w:pStyle w:val="Compact"/>
              <w:jc w:val="left"/>
            </w:pPr>
            <w:r>
              <w:rPr>
                <w:sz w:val="18"/>
              </w:rPr>
              <w:t xml:space="preserve">Cinturón Gestión</w:t>
            </w:r>
          </w:p>
        </w:tc>
      </w:tr>
    </w:tbl>
    <w:bookmarkStart w:id="85" w:name="identificación-6"/>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fal_modernizacion_laboral</w:t>
            </w:r>
          </w:p>
        </w:tc>
        <w:tc>
          <w:p>
            <w:pPr>
              <w:pStyle w:val="Compact"/>
              <w:jc w:val="left"/>
            </w:pPr>
            <w:r>
              <w:rPr>
                <w:bCs/>
                <w:b/>
                <w:sz w:val="18"/>
              </w:rPr>
              <w:t xml:space="preserve">CINTURÓN</w:t>
            </w:r>
          </w:p>
        </w:tc>
        <w:tc>
          <w:p>
            <w:pPr>
              <w:pStyle w:val="Compact"/>
              <w:jc w:val="left"/>
            </w:pPr>
            <w:r>
              <w:rPr>
                <w:sz w:val="18"/>
              </w:rPr>
              <w:t xml:space="preserve">Gestión</w:t>
            </w:r>
          </w:p>
        </w:tc>
      </w:tr>
      <w:tr>
        <w:trPr>
          <w:cantSplit/>
        </w:trPr>
        <w:tc>
          <w:p>
            <w:pPr>
              <w:pStyle w:val="Compact"/>
              <w:jc w:val="left"/>
            </w:pPr>
            <w:r>
              <w:rPr>
                <w:bCs/>
                <w:b/>
                <w:sz w:val="18"/>
              </w:rPr>
              <w:t xml:space="preserve">DIMENSIÓN EN EL ITCG</w:t>
            </w:r>
          </w:p>
        </w:tc>
        <w:tc>
          <w:p>
            <w:pPr>
              <w:pStyle w:val="Compact"/>
              <w:jc w:val="left"/>
            </w:pPr>
            <w:r>
              <w:rPr>
                <w:sz w:val="18"/>
              </w:rPr>
              <w:t xml:space="preserve">Reforma laboral</w:t>
            </w:r>
          </w:p>
        </w:tc>
        <w:tc>
          <w:p>
            <w:pPr>
              <w:pStyle w:val="Compact"/>
              <w:jc w:val="left"/>
            </w:pPr>
            <w:r>
              <w:rPr>
                <w:bCs/>
                <w:b/>
                <w:sz w:val="18"/>
              </w:rPr>
              <w:t xml:space="preserve">UNIDAD DE MEDIDA</w:t>
            </w:r>
          </w:p>
        </w:tc>
        <w:tc>
          <w:p>
            <w:pPr>
              <w:pStyle w:val="Compact"/>
              <w:jc w:val="left"/>
            </w:pPr>
            <w:r>
              <w:rPr>
                <w:sz w:val="18"/>
              </w:rPr>
              <w:t xml:space="preserve">Índice 0–100 (actos fundamentales del FAL: ley + reglamentación)</w:t>
            </w:r>
          </w:p>
        </w:tc>
      </w:tr>
      <w:tr>
        <w:trPr>
          <w:cantSplit/>
        </w:trPr>
        <w:tc>
          <w:p>
            <w:pPr>
              <w:pStyle w:val="Compact"/>
              <w:jc w:val="left"/>
            </w:pPr>
            <w:r>
              <w:rPr>
                <w:bCs/>
                <w:b/>
                <w:sz w:val="18"/>
              </w:rPr>
              <w:t xml:space="preserve">SERIE DISPONIBLE</w:t>
            </w:r>
          </w:p>
        </w:tc>
        <w:tc>
          <w:p>
            <w:pPr>
              <w:pStyle w:val="Compact"/>
              <w:jc w:val="left"/>
            </w:pPr>
            <w:r>
              <w:rPr>
                <w:sz w:val="18"/>
              </w:rPr>
              <w:t xml:space="preserve">2023-12 → 2026-07 (32 puntos)</w:t>
            </w:r>
          </w:p>
        </w:tc>
        <w:tc>
          <w:p>
            <w:pPr>
              <w:pStyle w:val="Compact"/>
              <w:jc w:val="left"/>
            </w:pPr>
            <w:r>
              <w:rPr>
                <w:bCs/>
                <w:b/>
                <w:sz w:val="18"/>
              </w:rPr>
              <w:t xml:space="preserve">REZAGO DE PUBLICACIÓN</w:t>
            </w:r>
          </w:p>
        </w:tc>
        <w:tc>
          <w:p>
            <w:pPr>
              <w:pStyle w:val="Compact"/>
              <w:jc w:val="left"/>
            </w:pPr>
            <w:r>
              <w:rPr>
                <w:sz w:val="18"/>
              </w:rPr>
              <w:t xml:space="preserve">Sin rezago: las dos normas están publicadas y fechadas.</w:t>
            </w:r>
          </w:p>
        </w:tc>
      </w:tr>
      <w:tr>
        <w:trPr>
          <w:cantSplit/>
        </w:trPr>
        <w:tc>
          <w:p>
            <w:pPr>
              <w:pStyle w:val="Compact"/>
              <w:jc w:val="left"/>
            </w:pPr>
            <w:r>
              <w:rPr>
                <w:bCs/>
                <w:b/>
                <w:sz w:val="18"/>
              </w:rPr>
              <w:t xml:space="preserve">PRODUCTOR DEL DATO</w:t>
            </w:r>
          </w:p>
        </w:tc>
        <w:tc>
          <w:p>
            <w:pPr>
              <w:pStyle w:val="Compact"/>
              <w:jc w:val="left"/>
            </w:pPr>
            <w:r>
              <w:rPr>
                <w:sz w:val="18"/>
              </w:rPr>
              <w:t xml:space="preserve">InfoLeg — Ley 27.802 y Decreto 408/2026</w:t>
            </w:r>
          </w:p>
        </w:tc>
        <w:tc>
          <w:p>
            <w:pPr>
              <w:pStyle w:val="Compact"/>
              <w:jc w:val="left"/>
            </w:pPr>
            <w:r>
              <w:rPr>
                <w:bCs/>
                <w:b/>
                <w:sz w:val="18"/>
              </w:rPr>
              <w:t xml:space="preserve">OPERACIÓN ESTADÍSTICA</w:t>
            </w:r>
          </w:p>
        </w:tc>
        <w:tc>
          <w:p>
            <w:pPr>
              <w:pStyle w:val="Compact"/>
              <w:jc w:val="left"/>
            </w:pPr>
            <w:r>
              <w:rPr>
                <w:sz w:val="18"/>
              </w:rPr>
              <w:t xml:space="preserve">Actos fundamentales del Fondo de Asistencia Laboral: sanción de la ley (50%) + reglamentación del Poder Ejecutivo (50%)</w:t>
            </w:r>
          </w:p>
        </w:tc>
      </w:tr>
      <w:tr>
        <w:trPr>
          <w:cantSplit/>
        </w:trPr>
        <w:tc>
          <w:p>
            <w:pPr>
              <w:pStyle w:val="Compact"/>
              <w:jc w:val="left"/>
            </w:pPr>
            <w:r>
              <w:rPr>
                <w:bCs/>
                <w:b/>
                <w:sz w:val="18"/>
              </w:rPr>
              <w:t xml:space="preserve">MODO DE ACCESO</w:t>
            </w:r>
          </w:p>
        </w:tc>
        <w:tc>
          <w:p>
            <w:pPr>
              <w:pStyle w:val="Compact"/>
              <w:jc w:val="left"/>
            </w:pPr>
            <w:r>
              <w:rPr>
                <w:sz w:val="18"/>
              </w:rPr>
              <w:t xml:space="preserve">Registro versionado de hitos normativos, cada uno fechado y respaldado por una norma publicada, verificable por número en InfoLeg. Los fondos registrados en la Comisión Nacional de Valores y las menciones del instrumento en el Boletín Oficial se siguen relevando automáticamente y se muestran como contexto de la ficha, pero no inciden en el puntaje.</w:t>
            </w:r>
          </w:p>
        </w:tc>
        <w:tc>
          <w:p>
            <w:pPr>
              <w:pStyle w:val="Compact"/>
              <w:jc w:val="left"/>
            </w:pPr>
            <w:r>
              <w:rPr>
                <w:bCs/>
                <w:b/>
                <w:sz w:val="18"/>
              </w:rPr>
              <w:t xml:space="preserve">ÚLTIMA ACTUALIZACIÓN</w:t>
            </w:r>
          </w:p>
        </w:tc>
        <w:tc>
          <w:p>
            <w:pPr>
              <w:pStyle w:val="Compact"/>
              <w:jc w:val="left"/>
            </w:pPr>
            <w:r>
              <w:rPr>
                <w:sz w:val="18"/>
              </w:rPr>
              <w:t xml:space="preserve">Dato a 2026-08 · informe generado el 2026-08-09</w:t>
            </w:r>
          </w:p>
        </w:tc>
      </w:tr>
    </w:tbl>
    <w:bookmarkEnd w:id="85"/>
    <w:bookmarkStart w:id="86" w:name="definición-qué-mide-y-por-qué-importa-6"/>
    <w:p>
      <w:pPr>
        <w:pStyle w:val="Heading2"/>
        <w:keepNext/>
      </w:pPr>
      <w:r>
        <w:t xml:space="preserve">Definición — qué mide y por qué importa</w:t>
      </w:r>
    </w:p>
    <w:p>
      <w:pPr>
        <w:pStyle w:val="FirstParagraph"/>
      </w:pPr>
      <w:r>
        <w:t xml:space="preserve">Si están dados los dos actos que ponen en pie al Fondo de Asistencia Laboral, el mecanismo para financiar las indemnizaciones por despido que creó la Ley de Modernización Laboral: la sanción de la Ley 27.802 por el Congreso y su reglamentación por el Poder Ejecutivo mediante el Decreto 408/2026. Cada uno vale la mitad del indicador.</w:t>
      </w:r>
    </w:p>
    <w:p>
      <w:pPr>
        <w:pStyle w:val="BodyText"/>
      </w:pPr>
      <w:r>
        <w:t xml:space="preserve">Es el indicador bisagra de la reforma laboral: el Gobierno lo presenta como su herramienta central contra la litigiosidad. Medirlo por sus actos fundamentales evita confundir el calendario legal con la gestión, porque el régimen recién entra en vigencia el 1 de noviembre de 2026 y hasta esa fecha no puede haber aportes ni convenios que lo incorporen, por más empeño que se ponga. Los dos actos están cumplidos: la ley se sancionó en marzo de 2026 y el Poder Ejecutivo la reglamentó en junio. Conviene leerlo sabiendo qué mide y qué no: dice que las bases quedaron puestas, no que el Fondo funcione. Eso se sabrá recién cuando el régimen rija, y para entonces el indicador tendrá que rediseñarse, porque los dos actos ya no pueden deshacerse y el valor queda fijo en cien.</w:t>
      </w:r>
    </w:p>
    <w:p>
      <w:pPr>
        <w:pStyle w:val="BodyText"/>
      </w:pPr>
      <w:r>
        <w:rPr>
          <w:bCs/>
          <w:b/>
        </w:rPr>
        <w:t xml:space="preserve">Dimensión que integra — Reforma laboral.</w:t>
      </w:r>
      <w:r>
        <w:t xml:space="preserve"> </w:t>
      </w:r>
      <w:r>
        <w:t xml:space="preserve">Instrumento y resultado: la adopción del Fondo de Asistencia Laboral (el reemplazo del canal indemnizatorio) y la litigiosidad laboral (la industria del juicio que la reforma promete enfriar).</w:t>
      </w:r>
    </w:p>
    <w:bookmarkEnd w:id="86"/>
    <w:bookmarkStart w:id="87" w:name="método-de-cómputo-6"/>
    <w:p>
      <w:pPr>
        <w:pStyle w:val="Heading2"/>
        <w:keepNext/>
      </w:pPr>
      <w:r>
        <w:t xml:space="preserve">Método de cómputo</w:t>
      </w:r>
    </w:p>
    <w:p>
      <w:pPr>
        <w:numPr>
          <w:ilvl w:val="0"/>
          <w:numId w:val="1027"/>
        </w:numPr>
        <w:pStyle w:val="Compact"/>
      </w:pPr>
      <w:r>
        <w:t xml:space="preserve">El indicador mide los dos actos que ponen en pie al Fondo, cincuenta puntos cada uno: la Ley 27.802 de Modernización Laboral, con la que el Congreso instauró el Fondo (publicada el 6 de marzo de 2026), y el Decreto 408/2026, con el que el Poder Ejecutivo reglamentó el Título II (publicado el 1 de junio de 2026). Los dos están cumplidos.</w:t>
      </w:r>
    </w:p>
    <w:p>
      <w:pPr>
        <w:numPr>
          <w:ilvl w:val="0"/>
          <w:numId w:val="1027"/>
        </w:numPr>
        <w:pStyle w:val="Compact"/>
      </w:pPr>
      <w:r>
        <w:t xml:space="preserve">El criterio es que, con la ley sancionada y reglamentada, el Gobierno agotó lo que podía cumplir de la promesa hasta que el régimen entre en vigencia el 1 de noviembre de 2026, fecha fijada por el artículo 27 del decreto reglamentario.</w:t>
      </w:r>
    </w:p>
    <w:p>
      <w:pPr>
        <w:numPr>
          <w:ilvl w:val="0"/>
          <w:numId w:val="1027"/>
        </w:numPr>
        <w:pStyle w:val="Compact"/>
      </w:pPr>
      <w:r>
        <w:t xml:space="preserve">La serie mensual se reconstruye con la misma regla desde diciembre de 2023: cero hasta febrero de 2026, cincuenta desde marzo cuando se sanciona la ley, cien desde junio cuando se publica la reglamentación.</w:t>
      </w:r>
    </w:p>
    <w:bookmarkEnd w:id="87"/>
    <w:bookmarkStart w:id="88" w:name="X6f1889a6c9c1eaefb3e4c5719eab82ff8c71647"/>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pPr>
      <w:r>
        <w:rPr>
          <w:bCs/>
          <w:b/>
        </w:rPr>
        <w:t xml:space="preserve">Valores que definen cada color</w:t>
      </w:r>
    </w:p>
    <w:tbl>
      <w:tblPr>
        <w:tblStyle w:val="Table"/>
        <w:tblW w:type="pct" w:w="500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3960"/>
        <w:gridCol w:w="3960"/>
      </w:tblGrid>
      <w:tr>
        <w:trPr>
          <w:cantSplit/>
          <w:tblHeader/>
        </w:trPr>
        <w:tc>
          <w:tcPr>
            <w:shd w:val="clear" w:color="auto" w:fill="1F3A34"/>
          </w:tcPr>
          <w:p>
            <w:pPr>
              <w:pStyle w:val="Compact"/>
              <w:jc w:val="left"/>
            </w:pPr>
            <w:r>
              <w:rPr>
                <w:b/>
                <w:sz w:val="18"/>
                <w:color w:val="FFFFFF"/>
              </w:rPr>
              <w:t xml:space="preserve">Rango (Índice 0–100 (actos fundamentales del FAL: ley + reglamentación))</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 55</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43,75 – 55</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31,25 – 43,75</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 31,25</w:t>
            </w:r>
          </w:p>
        </w:tc>
        <w:tc>
          <w:tcPr>
            <w:shd w:val="clear" w:color="auto" w:fill="FEE2E2"/>
          </w:tcPr>
          <w:p>
            <w:pPr>
              <w:pStyle w:val="Compact"/>
              <w:jc w:val="center"/>
            </w:pPr>
            <w:r>
              <w:rPr>
                <w:b/>
                <w:sz w:val="18"/>
                <w:color w:val="7F1D1D"/>
              </w:rPr>
              <w:t xml:space="preserve">ROJO</w:t>
            </w:r>
          </w:p>
        </w:tc>
      </w:tr>
    </w:tbl>
    <w:bookmarkEnd w:id="88"/>
    <w:bookmarkStart w:id="89" w:name="datos-concretos-detrás-del-valor-6"/>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28"/>
        </w:numPr>
        <w:pStyle w:val="Compact"/>
      </w:pPr>
      <w:r>
        <w:t xml:space="preserve">2 de 2 actos fundamentales cumplidos (Ley 27.802 2026-03-06 · Decreto 408/2026 2026-06-01) · el régimen entra en vigencia el 2026-11-01 · contexto: 0 fondos registrados en CNV · 3 menciones del FAL en el BO desde mar-2026</w:t>
      </w:r>
    </w:p>
    <w:bookmarkEnd w:id="89"/>
    <w:bookmarkStart w:id="90" w:name="color-vigente-y-por-qué-6"/>
    <w:p>
      <w:pPr>
        <w:pStyle w:val="Heading2"/>
        <w:keepNext/>
      </w:pPr>
      <w:r>
        <w:t xml:space="preserve">Color vigente y por qué</w:t>
      </w:r>
    </w:p>
    <w:p>
      <w:pPr>
        <w:pStyle w:val="FirstParagraph"/>
      </w:pPr>
      <w:r>
        <w:t xml:space="preserve">Dato vigente: 100 Índice 0–100 (actos fundamentales del FAL: ley + reglamentación) (2026-08).</w:t>
      </w:r>
    </w:p>
    <w:p>
      <w:pPr>
        <w:pStyle w:val="BodyText"/>
      </w:pPr>
      <w:r>
        <w:t xml:space="preserve">100,0 Índice 0–100 (actos fundamentales del FAL: ley + reglamentación) cae en el tramo que corresponde a Verde, a 45,0 del corte más cercano.</w:t>
      </w:r>
    </w:p>
    <w:p>
      <w:pPr>
        <w:pStyle w:val="BodyText"/>
      </w:pPr>
      <w:r>
        <w:rPr>
          <w:bCs/>
          <w:b/>
        </w:rPr>
        <w:t xml:space="preserve">Color vigente: VERDE</w:t>
      </w:r>
    </w:p>
    <w:p>
      <w:pPr>
        <w:pStyle w:val="BodyText"/>
      </w:pPr>
      <w:r>
        <w:t xml:space="preserve">Ponderación vigente en el ITCG: 7,5 % efectivo. El color es una lectura adicional — no reemplaza ni cambia esta ponderación.</w:t>
      </w:r>
    </w:p>
    <w:p>
      <w:pPr>
        <w:numPr>
          <w:ilvl w:val="0"/>
          <w:numId w:val="1029"/>
        </w:numPr>
        <w:pStyle w:val="Compact"/>
      </w:pPr>
      <w:r>
        <w:rPr>
          <w:bCs/>
          <w:b/>
        </w:rPr>
        <w:t xml:space="preserve">Participación en otros indicadores.</w:t>
      </w:r>
      <w:r>
        <w:t xml:space="preserve"> </w:t>
      </w:r>
      <w:r>
        <w:t xml:space="preserve">La litigiosidad laboral puntúa como indicador aparte de la misma dimensión: par instrumento (este) / resultado (aquella), sin doble conteo.</w:t>
      </w:r>
    </w:p>
    <w:bookmarkEnd w:id="90"/>
    <w:bookmarkStart w:id="91" w:name="transparencia-limitaciones-declaradas-6"/>
    <w:p>
      <w:pPr>
        <w:pStyle w:val="Heading2"/>
        <w:keepNext/>
      </w:pPr>
      <w:r>
        <w:t xml:space="preserve">Transparencia — limitaciones declaradas</w:t>
      </w:r>
    </w:p>
    <w:p>
      <w:pPr>
        <w:numPr>
          <w:ilvl w:val="0"/>
          <w:numId w:val="1030"/>
        </w:numPr>
        <w:pStyle w:val="Compact"/>
      </w:pPr>
      <w:r>
        <w:t xml:space="preserve">El indicador dice que las bases quedaron puestas, no que el Fondo funcione. Son cosas distintas y conviene no leerlas como si fueran la misma: un Gobierno puede sancionar y reglamentar una ley que después nadie use. Por eso la dimensión de reforma laboral mide además el resultado —la litigiosidad— con un indicador aparte y del mismo peso.</w:t>
      </w:r>
    </w:p>
    <w:p>
      <w:pPr>
        <w:numPr>
          <w:ilvl w:val="0"/>
          <w:numId w:val="1030"/>
        </w:numPr>
        <w:pStyle w:val="Compact"/>
      </w:pPr>
      <w:r>
        <w:t xml:space="preserve">Los dos actos ya ocurrieron y no pueden deshacerse, de modo que el valor queda fijo en cien y ningún hecho futuro lo mueve: ni la entrada en vigencia del régimen ni que el instrumento se use o no. Es una limitación seria y asumida —el indicador dejó de discriminar— y obliga a rediseñarlo cuando el régimen empiece a regir.</w:t>
      </w:r>
    </w:p>
    <w:p>
      <w:pPr>
        <w:numPr>
          <w:ilvl w:val="0"/>
          <w:numId w:val="1030"/>
        </w:numPr>
        <w:pStyle w:val="Compact"/>
      </w:pPr>
      <w:r>
        <w:t xml:space="preserve">Es una medida de cumplimiento formal de la promesa, no de su efecto. La versión anterior componía construcción, vigencia y adopción para mantener recorrido; se reemplazó por decisión editorial, a propuesta de la revisión externa del cinturón, y el cambio mejoró el puntaje del indicador. Queda dicho para que se pueda discutir.</w:t>
      </w:r>
    </w:p>
    <w:bookmarkEnd w:id="91"/>
    <w:bookmarkStart w:id="92" w:name="Xda21666f7a2dd83c88faf8de956a46075edab32"/>
    <w:p>
      <w:pPr>
        <w:pStyle w:val="Heading2"/>
        <w:keepNext/>
      </w:pPr>
      <w:r>
        <w:t xml:space="preserve">Si falta el dato / Política de revisiones</w:t>
      </w:r>
    </w:p>
    <w:p>
      <w:pPr>
        <w:numPr>
          <w:ilvl w:val="0"/>
          <w:numId w:val="1031"/>
        </w:numPr>
      </w:pPr>
      <w:r>
        <w:rPr>
          <w:bCs/>
          <w:b/>
        </w:rPr>
        <w:t xml:space="preserve">Si falta el dato:</w:t>
      </w:r>
      <w:r>
        <w:t xml:space="preserve"> </w:t>
      </w:r>
      <w:r>
        <w:t xml:space="preserve">No aplica: las dos normas están publicadas y el registro es local. El contexto que viene de la Comisión Nacional de Valores y del Boletín Oficial puede faltar sin afectar el puntaje.</w:t>
      </w:r>
    </w:p>
    <w:p>
      <w:pPr>
        <w:numPr>
          <w:ilvl w:val="0"/>
          <w:numId w:val="1031"/>
        </w:numPr>
      </w:pPr>
      <w:r>
        <w:rPr>
          <w:bCs/>
          <w:b/>
        </w:rPr>
        <w:t xml:space="preserve">Política de revisiones:</w:t>
      </w:r>
      <w:r>
        <w:t xml:space="preserve"> </w:t>
      </w:r>
      <w:r>
        <w:t xml:space="preserve">El registro de hitos se reverifica contra InfoLeg por número de norma; la serie se reconstruye entera en cada corrida.</w:t>
      </w:r>
    </w:p>
    <w:bookmarkEnd w:id="92"/>
    <w:bookmarkStart w:id="93" w:name="X78b6541d61e709752066d9872c28a219573eb10"/>
    <w:p>
      <w:pPr>
        <w:pStyle w:val="Heading2"/>
        <w:keepNext/>
      </w:pPr>
      <w:r>
        <w:t xml:space="preserve">Historial — cambios metodológicos documentados</w:t>
      </w:r>
    </w:p>
    <w:p>
      <w:pPr>
        <w:pStyle w:val="FirstParagraph"/>
      </w:pPr>
      <w:r>
        <w:rPr>
          <w:bCs/>
          <w:b/>
        </w:rPr>
        <w:t xml:space="preserve">2026-07-20</w:t>
      </w:r>
      <w:r>
        <w:t xml:space="preserve"> </w:t>
      </w:r>
      <w:r>
        <w:t xml:space="preserve">— Pasa a medirse en tres etapas —construcción normativa, vigencia y adopción— a partir de una revisión externa del cinturón, que observó que el indicador informaba un valor cercano a cero por una razón de cronograma legal y no de gestión: medía la adopción de un instrumento que todavía no podía adoptarse. Con la escala anterior el valor era 0,4 sobre 100; con la nueva es 40,2, que corresponde a un instrumento íntegramente construido y en espera de entrar en vigencia. Las bandas se recalibraron porque cambió lo que la escala mide, no para mover el puntaje: sobre la escala nueva, las anclas viejas habrían dado 75 a un instrumento que nadie usa.</w:t>
      </w:r>
    </w:p>
    <w:p>
      <w:pPr>
        <w:pStyle w:val="BodyText"/>
      </w:pPr>
      <w:r>
        <w:rPr>
          <w:bCs/>
          <w:b/>
        </w:rPr>
        <w:t xml:space="preserve">2026-05</w:t>
      </w:r>
      <w:r>
        <w:t xml:space="preserve"> </w:t>
      </w:r>
      <w:r>
        <w:t xml:space="preserve">— Versión inicial como carga manual de etapas implementadas.</w:t>
      </w:r>
    </w:p>
    <w:p>
      <w:pPr>
        <w:pStyle w:val="BodyText"/>
      </w:pPr>
      <w:r>
        <w:rPr>
          <w:bCs/>
          <w:b/>
        </w:rPr>
        <w:t xml:space="preserve">2026-07-02</w:t>
      </w:r>
      <w:r>
        <w:t xml:space="preserve"> </w:t>
      </w:r>
      <w:r>
        <w:t xml:space="preserve">— Compuesto del documento institucional renormalizado a lo medible, con el registro CNV automático.</w:t>
      </w:r>
    </w:p>
    <w:p>
      <w:pPr>
        <w:pStyle w:val="BodyText"/>
      </w:pPr>
      <w:r>
        <w:rPr>
          <w:bCs/>
          <w:b/>
        </w:rPr>
        <w:t xml:space="preserve">2026-07-03</w:t>
      </w:r>
      <w:r>
        <w:t xml:space="preserve"> </w:t>
      </w:r>
      <w:r>
        <w:t xml:space="preserve">— La litigiosidad se separa como indicador propio de la dimensión. Después, la cobertura se automatizó vía menciones del Boletín Oficial con calibración anclada.</w:t>
      </w:r>
    </w:p>
    <w:p>
      <w:pPr>
        <w:pStyle w:val="BodyText"/>
      </w:pPr>
      <w:r>
        <w:rPr>
          <w:bCs/>
          <w:b/>
        </w:rPr>
        <w:t xml:space="preserve">2026-07-15</w:t>
      </w:r>
      <w:r>
        <w:t xml:space="preserve"> </w:t>
      </w:r>
      <w:r>
        <w:t xml:space="preserve">— La cobertura pasa a contar las menciones del Fondo de Asistencia Laboral (Ley 27.802) desde marzo de 2026, distinguiéndolo del régimen homónimo de la construcción. La serie histórica arranca en cero con la creación del régimen.</w:t>
      </w:r>
    </w:p>
    <w:p>
      <w:pPr>
        <w:pStyle w:val="BodyText"/>
      </w:pPr>
      <w:r>
        <w:rPr>
          <w:bCs/>
          <w:b/>
        </w:rPr>
        <w:t xml:space="preserve">2026-07-25</w:t>
      </w:r>
      <w:r>
        <w:t xml:space="preserve"> </w:t>
      </w:r>
      <w:r>
        <w:t xml:space="preserve">— Su peso dentro de la dimensión baja del setenta al cincuenta por ciento, a propuesta de una revisión externa: la dimensión mide un instrumento y su resultado, y no había razón para que el instrumento pesara más del doble que el resultado. El cambio mejora el puntaje de la dimensión, porque la litigiosidad venía puntuando más alto que el fondo; se deja dicho para que la decisión pueda discutirse por su argumento y no por su efecto.</w:t>
      </w:r>
    </w:p>
    <w:p>
      <w:r>
        <w:br w:type="page"/>
      </w:r>
    </w:p>
    <w:p>
      <w:pPr>
        <w:pStyle w:val="BodyText"/>
      </w:pPr>
      <w:r>
        <w:rPr>
          <w:bCs/>
          <w:b/>
        </w:rPr>
        <w:t xml:space="preserve">CIGOB · INFORME DE COYUNTURA</w:t>
      </w:r>
    </w:p>
    <w:p>
      <w:pPr>
        <w:pStyle w:val="BodyText"/>
      </w:pPr>
      <w:r>
        <w:rPr>
          <w:iCs/>
          <w:i/>
        </w:rPr>
        <w:t xml:space="preserve">Ficha metodológica · Cinturón Gestión · Capa de semáforo (4 colores)</w:t>
      </w:r>
    </w:p>
    <w:bookmarkEnd w:id="93"/>
    <w:bookmarkEnd w:id="94"/>
    <w:bookmarkStart w:id="104" w:name="litigiosidad-laboral-srt"/>
    <w:p>
      <w:pPr>
        <w:pStyle w:val="Heading1"/>
        <w:keepNext/>
      </w:pPr>
      <w:r>
        <w:t xml:space="preserve">Litigiosidad laboral (SRT)</w:t>
      </w:r>
    </w:p>
    <w:p>
      <w:pPr>
        <w:pStyle w:val="FirstParagraph"/>
      </w:pPr>
      <w:r>
        <w:t xml:space="preserve">Cuánto varían los juicios laborales del sistema de riesgos del trabajo (SRT): acumulado de los últimos 12 meses contra los 12 previos.</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2,8 % variación juicios SRT (12m vs 12m previos)</w:t>
            </w:r>
            <w:r>
              <w:rPr>
                <w:sz w:val="18"/>
              </w:rPr>
              <w:t xml:space="preserve"> </w:t>
            </w:r>
            <w:r>
              <w:rPr>
                <w:sz w:val="18"/>
              </w:rPr>
              <w:t xml:space="preserve">(2026-04)</w:t>
            </w:r>
          </w:p>
        </w:tc>
        <w:tc>
          <w:tcPr>
            <w:shd w:val="clear" w:color="auto" w:fill="FEF3C7"/>
          </w:tcPr>
          <w:p>
            <w:pPr>
              <w:pStyle w:val="Compact"/>
              <w:jc w:val="center"/>
            </w:pPr>
            <w:r>
              <w:rPr>
                <w:bCs/>
                <w:b/>
                <w:sz w:val="18"/>
                <w:color w:val="713F12"/>
              </w:rPr>
              <w:t xml:space="preserve">AMARILLO</w:t>
            </w:r>
          </w:p>
        </w:tc>
        <w:tc>
          <w:p>
            <w:pPr>
              <w:pStyle w:val="Compact"/>
              <w:jc w:val="left"/>
            </w:pPr>
            <w:r>
              <w:rPr>
                <w:sz w:val="18"/>
              </w:rPr>
              <w:t xml:space="preserve">Peso efectivo 7,5 % del ITCG</w:t>
            </w:r>
          </w:p>
        </w:tc>
        <w:tc>
          <w:p>
            <w:pPr>
              <w:pStyle w:val="Compact"/>
              <w:jc w:val="left"/>
            </w:pPr>
            <w:r>
              <w:rPr>
                <w:sz w:val="18"/>
              </w:rPr>
              <w:t xml:space="preserve">Cinturón Gestión</w:t>
            </w:r>
          </w:p>
        </w:tc>
      </w:tr>
    </w:tbl>
    <w:bookmarkStart w:id="95" w:name="identificación-7"/>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litigiosidad_laboral</w:t>
            </w:r>
          </w:p>
        </w:tc>
        <w:tc>
          <w:p>
            <w:pPr>
              <w:pStyle w:val="Compact"/>
              <w:jc w:val="left"/>
            </w:pPr>
            <w:r>
              <w:rPr>
                <w:bCs/>
                <w:b/>
                <w:sz w:val="18"/>
              </w:rPr>
              <w:t xml:space="preserve">CINTURÓN</w:t>
            </w:r>
          </w:p>
        </w:tc>
        <w:tc>
          <w:p>
            <w:pPr>
              <w:pStyle w:val="Compact"/>
              <w:jc w:val="left"/>
            </w:pPr>
            <w:r>
              <w:rPr>
                <w:sz w:val="18"/>
              </w:rPr>
              <w:t xml:space="preserve">Gestión</w:t>
            </w:r>
          </w:p>
        </w:tc>
      </w:tr>
      <w:tr>
        <w:trPr>
          <w:cantSplit/>
        </w:trPr>
        <w:tc>
          <w:p>
            <w:pPr>
              <w:pStyle w:val="Compact"/>
              <w:jc w:val="left"/>
            </w:pPr>
            <w:r>
              <w:rPr>
                <w:bCs/>
                <w:b/>
                <w:sz w:val="18"/>
              </w:rPr>
              <w:t xml:space="preserve">DIMENSIÓN EN EL ITCG</w:t>
            </w:r>
          </w:p>
        </w:tc>
        <w:tc>
          <w:p>
            <w:pPr>
              <w:pStyle w:val="Compact"/>
              <w:jc w:val="left"/>
            </w:pPr>
            <w:r>
              <w:rPr>
                <w:sz w:val="18"/>
              </w:rPr>
              <w:t xml:space="preserve">Reforma laboral</w:t>
            </w:r>
          </w:p>
        </w:tc>
        <w:tc>
          <w:p>
            <w:pPr>
              <w:pStyle w:val="Compact"/>
              <w:jc w:val="left"/>
            </w:pPr>
            <w:r>
              <w:rPr>
                <w:bCs/>
                <w:b/>
                <w:sz w:val="18"/>
              </w:rPr>
              <w:t xml:space="preserve">UNIDAD DE MEDIDA</w:t>
            </w:r>
          </w:p>
        </w:tc>
        <w:tc>
          <w:p>
            <w:pPr>
              <w:pStyle w:val="Compact"/>
              <w:jc w:val="left"/>
            </w:pPr>
            <w:r>
              <w:rPr>
                <w:sz w:val="18"/>
              </w:rPr>
              <w:t xml:space="preserve">% variación juicios SRT (12m vs 12m previos)</w:t>
            </w:r>
          </w:p>
        </w:tc>
      </w:tr>
      <w:tr>
        <w:trPr>
          <w:cantSplit/>
        </w:trPr>
        <w:tc>
          <w:p>
            <w:pPr>
              <w:pStyle w:val="Compact"/>
              <w:jc w:val="left"/>
            </w:pPr>
            <w:r>
              <w:rPr>
                <w:bCs/>
                <w:b/>
                <w:sz w:val="18"/>
              </w:rPr>
              <w:t xml:space="preserve">SERIE DISPONIBLE</w:t>
            </w:r>
          </w:p>
        </w:tc>
        <w:tc>
          <w:p>
            <w:pPr>
              <w:pStyle w:val="Compact"/>
              <w:jc w:val="left"/>
            </w:pPr>
            <w:r>
              <w:rPr>
                <w:sz w:val="18"/>
              </w:rPr>
              <w:t xml:space="preserve">2021-05 → 2026-04 (60 puntos)</w:t>
            </w:r>
          </w:p>
        </w:tc>
        <w:tc>
          <w:p>
            <w:pPr>
              <w:pStyle w:val="Compact"/>
              <w:jc w:val="left"/>
            </w:pPr>
            <w:r>
              <w:rPr>
                <w:bCs/>
                <w:b/>
                <w:sz w:val="18"/>
              </w:rPr>
              <w:t xml:space="preserve">REZAGO DE PUBLICACIÓN</w:t>
            </w:r>
          </w:p>
        </w:tc>
        <w:tc>
          <w:p>
            <w:pPr>
              <w:pStyle w:val="Compact"/>
              <w:jc w:val="left"/>
            </w:pPr>
            <w:r>
              <w:rPr>
                <w:sz w:val="18"/>
              </w:rPr>
              <w:t xml:space="preserve">La serie oficial de juicios se publica con 3-4 meses de rezago.</w:t>
            </w:r>
          </w:p>
        </w:tc>
      </w:tr>
      <w:tr>
        <w:trPr>
          <w:cantSplit/>
        </w:trPr>
        <w:tc>
          <w:p>
            <w:pPr>
              <w:pStyle w:val="Compact"/>
              <w:jc w:val="left"/>
            </w:pPr>
            <w:r>
              <w:rPr>
                <w:bCs/>
                <w:b/>
                <w:sz w:val="18"/>
              </w:rPr>
              <w:t xml:space="preserve">PRODUCTOR DEL DATO</w:t>
            </w:r>
          </w:p>
        </w:tc>
        <w:tc>
          <w:p>
            <w:pPr>
              <w:pStyle w:val="Compact"/>
              <w:jc w:val="left"/>
            </w:pPr>
            <w:r>
              <w:rPr>
                <w:sz w:val="18"/>
              </w:rPr>
              <w:t xml:space="preserve">SRT — Superintendencia de Riesgos del Trabajo</w:t>
            </w:r>
          </w:p>
        </w:tc>
        <w:tc>
          <w:p>
            <w:pPr>
              <w:pStyle w:val="Compact"/>
              <w:jc w:val="left"/>
            </w:pPr>
            <w:r>
              <w:rPr>
                <w:bCs/>
                <w:b/>
                <w:sz w:val="18"/>
              </w:rPr>
              <w:t xml:space="preserve">OPERACIÓN ESTADÍSTICA</w:t>
            </w:r>
          </w:p>
        </w:tc>
        <w:tc>
          <w:p>
            <w:pPr>
              <w:pStyle w:val="Compact"/>
              <w:jc w:val="left"/>
            </w:pPr>
            <w:r>
              <w:rPr>
                <w:sz w:val="18"/>
              </w:rPr>
              <w:t xml:space="preserve">Serie histórica de litigiosidad: ingresos de juicios del sistema de riesgos del trabajo, total sistema</w:t>
            </w:r>
          </w:p>
        </w:tc>
      </w:tr>
      <w:tr>
        <w:trPr>
          <w:cantSplit/>
        </w:trPr>
        <w:tc>
          <w:p>
            <w:pPr>
              <w:pStyle w:val="Compact"/>
              <w:jc w:val="left"/>
            </w:pPr>
            <w:r>
              <w:rPr>
                <w:bCs/>
                <w:b/>
                <w:sz w:val="18"/>
              </w:rPr>
              <w:t xml:space="preserve">MODO DE ACCESO</w:t>
            </w:r>
          </w:p>
        </w:tc>
        <w:tc>
          <w:p>
            <w:pPr>
              <w:pStyle w:val="Compact"/>
              <w:jc w:val="left"/>
            </w:pPr>
            <w:r>
              <w:rPr>
                <w:sz w:val="18"/>
              </w:rPr>
              <w:t xml:space="preserve">Automático: lectura de la planilla oficial.</w:t>
            </w:r>
          </w:p>
        </w:tc>
        <w:tc>
          <w:p>
            <w:pPr>
              <w:pStyle w:val="Compact"/>
              <w:jc w:val="left"/>
            </w:pPr>
            <w:r>
              <w:rPr>
                <w:bCs/>
                <w:b/>
                <w:sz w:val="18"/>
              </w:rPr>
              <w:t xml:space="preserve">ÚLTIMA ACTUALIZACIÓN</w:t>
            </w:r>
          </w:p>
        </w:tc>
        <w:tc>
          <w:p>
            <w:pPr>
              <w:pStyle w:val="Compact"/>
              <w:jc w:val="left"/>
            </w:pPr>
            <w:r>
              <w:rPr>
                <w:sz w:val="18"/>
              </w:rPr>
              <w:t xml:space="preserve">Dato a 2026-04 · informe generado el 2026-08-09</w:t>
            </w:r>
          </w:p>
        </w:tc>
      </w:tr>
    </w:tbl>
    <w:bookmarkEnd w:id="95"/>
    <w:bookmarkStart w:id="96" w:name="definición-qué-mide-y-por-qué-importa-7"/>
    <w:p>
      <w:pPr>
        <w:pStyle w:val="Heading2"/>
        <w:keepNext/>
      </w:pPr>
      <w:r>
        <w:t xml:space="preserve">Definición — qué mide y por qué importa</w:t>
      </w:r>
    </w:p>
    <w:p>
      <w:pPr>
        <w:pStyle w:val="FirstParagraph"/>
      </w:pPr>
      <w:r>
        <w:t xml:space="preserve">Cuánto varían los juicios laborales del sistema de riesgos del trabajo (SRT): acumulado de los últimos 12 meses contra los 12 previos.</w:t>
      </w:r>
    </w:p>
    <w:p>
      <w:pPr>
        <w:pStyle w:val="BodyText"/>
      </w:pPr>
      <w:r>
        <w:t xml:space="preserve">Es el RESULTADO que la reforma laboral persigue: enfriar la industria del juicio. Complementa al Fondo de Asistencia Laboral (que mide la adopción del instrumento): si el instrumento no avanza pero la litigiosidad se enfría igual, la dimensión lo refleja. Proxy por juicios ART — la única serie nacional mensual pública.</w:t>
      </w:r>
    </w:p>
    <w:p>
      <w:pPr>
        <w:pStyle w:val="BodyText"/>
      </w:pPr>
      <w:r>
        <w:rPr>
          <w:bCs/>
          <w:b/>
        </w:rPr>
        <w:t xml:space="preserve">Dimensión que integra — Reforma laboral.</w:t>
      </w:r>
      <w:r>
        <w:t xml:space="preserve"> </w:t>
      </w:r>
      <w:r>
        <w:t xml:space="preserve">Instrumento y resultado: la adopción del Fondo de Asistencia Laboral (el reemplazo del canal indemnizatorio) y la litigiosidad laboral (la industria del juicio que la reforma promete enfriar).</w:t>
      </w:r>
    </w:p>
    <w:bookmarkEnd w:id="96"/>
    <w:bookmarkStart w:id="97" w:name="método-de-cómputo-7"/>
    <w:p>
      <w:pPr>
        <w:pStyle w:val="Heading2"/>
        <w:keepNext/>
      </w:pPr>
      <w:r>
        <w:t xml:space="preserve">Método de cómputo</w:t>
      </w:r>
    </w:p>
    <w:p>
      <w:pPr>
        <w:numPr>
          <w:ilvl w:val="0"/>
          <w:numId w:val="1032"/>
        </w:numPr>
        <w:pStyle w:val="Compact"/>
      </w:pPr>
      <w:r>
        <w:t xml:space="preserve">Variación porcentual del acumulado de 12 meses contra los 12 meses previos: si la industria del juicio se enfría, la variación se hace negativa.</w:t>
      </w:r>
    </w:p>
    <w:bookmarkEnd w:id="97"/>
    <w:bookmarkStart w:id="98" w:name="X580c6ce917b2a709ea8e3c85d9f137a942d26a4"/>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pPr>
      <w:r>
        <w:rPr>
          <w:bCs/>
          <w:b/>
        </w:rPr>
        <w:t xml:space="preserve">Valores que definen cada color</w:t>
      </w:r>
    </w:p>
    <w:tbl>
      <w:tblPr>
        <w:tblStyle w:val="Table"/>
        <w:tblW w:type="pct" w:w="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tr>
        <w:trPr>
          <w:cantSplit/>
          <w:tblHeader/>
        </w:trPr>
        <w:tc>
          <w:tcPr>
            <w:shd w:val="clear" w:color="auto" w:fill="1F3A34"/>
          </w:tcPr>
          <w:p>
            <w:pPr>
              <w:pStyle w:val="Compact"/>
              <w:jc w:val="left"/>
            </w:pPr>
            <w:r>
              <w:rPr>
                <w:b/>
                <w:sz w:val="18"/>
                <w:color w:val="FFFFFF"/>
              </w:rPr>
              <w:t xml:space="preserve">Rango (% variación juicios SRT (12m vs 12m previos))</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 2,5</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2,5 – 12,5</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12,5 – 17,5</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 17,5</w:t>
            </w:r>
          </w:p>
        </w:tc>
        <w:tc>
          <w:tcPr>
            <w:shd w:val="clear" w:color="auto" w:fill="FEE2E2"/>
          </w:tcPr>
          <w:p>
            <w:pPr>
              <w:pStyle w:val="Compact"/>
              <w:jc w:val="center"/>
            </w:pPr>
            <w:r>
              <w:rPr>
                <w:b/>
                <w:sz w:val="18"/>
                <w:color w:val="7F1D1D"/>
              </w:rPr>
              <w:t xml:space="preserve">ROJO</w:t>
            </w:r>
          </w:p>
        </w:tc>
      </w:tr>
    </w:tbl>
    <w:bookmarkEnd w:id="98"/>
    <w:bookmarkStart w:id="99" w:name="datos-concretos-detrás-del-valor-7"/>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33"/>
        </w:numPr>
        <w:pStyle w:val="Compact"/>
      </w:pPr>
      <w:r>
        <w:t xml:space="preserve">128.619 juicios en 12m (hasta 2026-04) vs 125.153 previos</w:t>
      </w:r>
    </w:p>
    <w:bookmarkEnd w:id="99"/>
    <w:bookmarkStart w:id="100" w:name="color-vigente-y-por-qué-7"/>
    <w:p>
      <w:pPr>
        <w:pStyle w:val="Heading2"/>
        <w:keepNext/>
      </w:pPr>
      <w:r>
        <w:t xml:space="preserve">Color vigente y por qué</w:t>
      </w:r>
    </w:p>
    <w:p>
      <w:pPr>
        <w:pStyle w:val="FirstParagraph"/>
      </w:pPr>
      <w:r>
        <w:t xml:space="preserve">Dato vigente: 2,8 % variación juicios SRT (12m vs 12m previos) (2026-04).</w:t>
      </w:r>
    </w:p>
    <w:p>
      <w:pPr>
        <w:pStyle w:val="BodyText"/>
      </w:pPr>
      <w:r>
        <w:t xml:space="preserve">2,8 % variación juicios SRT (12m vs 12m previos) cae en el tramo que corresponde a Amarillo, a 0,3 del corte más cercano.</w:t>
      </w:r>
    </w:p>
    <w:p>
      <w:pPr>
        <w:pStyle w:val="BodyText"/>
      </w:pPr>
      <w:r>
        <w:rPr>
          <w:bCs/>
          <w:b/>
        </w:rPr>
        <w:t xml:space="preserve">Color vigente: AMARILLO</w:t>
      </w:r>
    </w:p>
    <w:p>
      <w:pPr>
        <w:pStyle w:val="BodyText"/>
      </w:pPr>
      <w:r>
        <w:t xml:space="preserve">Ponderación vigente en el ITCG: 7,5 % efectivo. El color es una lectura adicional — no reemplaza ni cambia esta ponderación.</w:t>
      </w:r>
    </w:p>
    <w:p>
      <w:pPr>
        <w:numPr>
          <w:ilvl w:val="0"/>
          <w:numId w:val="1034"/>
        </w:numPr>
        <w:pStyle w:val="Compact"/>
      </w:pPr>
      <w:r>
        <w:rPr>
          <w:bCs/>
          <w:b/>
        </w:rPr>
        <w:t xml:space="preserve">Participación en otros indicadores.</w:t>
      </w:r>
      <w:r>
        <w:t xml:space="preserve"> </w:t>
      </w:r>
      <w:r>
        <w:t xml:space="preserve">Es el «resultado» que complementa al «instrumento» (Fondo de Asistencia Laboral) dentro de la dimensión de reforma laboral.</w:t>
      </w:r>
    </w:p>
    <w:bookmarkEnd w:id="100"/>
    <w:bookmarkStart w:id="101" w:name="transparencia-limitaciones-declaradas-7"/>
    <w:p>
      <w:pPr>
        <w:pStyle w:val="Heading2"/>
        <w:keepNext/>
      </w:pPr>
      <w:r>
        <w:t xml:space="preserve">Transparencia — limitaciones declaradas</w:t>
      </w:r>
    </w:p>
    <w:p>
      <w:pPr>
        <w:numPr>
          <w:ilvl w:val="0"/>
          <w:numId w:val="1035"/>
        </w:numPr>
        <w:pStyle w:val="Compact"/>
      </w:pPr>
      <w:r>
        <w:t xml:space="preserve">Aproximación declarada: son juicios del sistema de riesgos del trabajo, no el canal indemnizatorio que el Fondo de Asistencia Laboral reemplaza — pero es la única serie nacional mensual pública.</w:t>
      </w:r>
    </w:p>
    <w:p>
      <w:pPr>
        <w:numPr>
          <w:ilvl w:val="0"/>
          <w:numId w:val="1035"/>
        </w:numPr>
        <w:pStyle w:val="Compact"/>
      </w:pPr>
      <w:r>
        <w:t xml:space="preserve">La ventana de 12 contra 12 meses reacciona lento a los quiebres.</w:t>
      </w:r>
    </w:p>
    <w:bookmarkEnd w:id="101"/>
    <w:bookmarkStart w:id="102" w:name="X5157a7f3dd1b7c5618784c262e1db635d54cbee"/>
    <w:p>
      <w:pPr>
        <w:pStyle w:val="Heading2"/>
        <w:keepNext/>
      </w:pPr>
      <w:r>
        <w:t xml:space="preserve">Si falta el dato / Política de revisiones</w:t>
      </w:r>
    </w:p>
    <w:p>
      <w:pPr>
        <w:numPr>
          <w:ilvl w:val="0"/>
          <w:numId w:val="1036"/>
        </w:numPr>
      </w:pPr>
      <w:r>
        <w:rPr>
          <w:bCs/>
          <w:b/>
        </w:rPr>
        <w:t xml:space="preserve">Si falta el dato:</w:t>
      </w:r>
      <w:r>
        <w:t xml:space="preserve"> </w:t>
      </w:r>
      <w:r>
        <w:t xml:space="preserve">Con la planilla caída, se mantiene el último valor disponible, señalado como desactualizado; sin dato, los pesos de la dimensión se renormalizan.</w:t>
      </w:r>
    </w:p>
    <w:p>
      <w:pPr>
        <w:numPr>
          <w:ilvl w:val="0"/>
          <w:numId w:val="1036"/>
        </w:numPr>
      </w:pPr>
      <w:r>
        <w:rPr>
          <w:bCs/>
          <w:b/>
        </w:rPr>
        <w:t xml:space="preserve">Política de revisiones:</w:t>
      </w:r>
      <w:r>
        <w:t xml:space="preserve"> </w:t>
      </w:r>
      <w:r>
        <w:t xml:space="preserve">La fuente puede revisar meses; la planilla completa se relee en cada actualización.</w:t>
      </w:r>
    </w:p>
    <w:bookmarkEnd w:id="102"/>
    <w:bookmarkStart w:id="103" w:name="X132198e4afb37dac2ae05929110b05dce5f3da0"/>
    <w:p>
      <w:pPr>
        <w:pStyle w:val="Heading2"/>
        <w:keepNext/>
      </w:pPr>
      <w:r>
        <w:t xml:space="preserve">Historial — cambios metodológicos documentados</w:t>
      </w:r>
    </w:p>
    <w:p>
      <w:pPr>
        <w:pStyle w:val="FirstParagraph"/>
      </w:pPr>
      <w:r>
        <w:rPr>
          <w:bCs/>
          <w:b/>
        </w:rPr>
        <w:t xml:space="preserve">2026-07-02</w:t>
      </w:r>
      <w:r>
        <w:t xml:space="preserve"> </w:t>
      </w:r>
      <w:r>
        <w:t xml:space="preserve">— Alta como indicador de contexto, fuera del índice.</w:t>
      </w:r>
    </w:p>
    <w:p>
      <w:pPr>
        <w:pStyle w:val="BodyText"/>
      </w:pPr>
      <w:r>
        <w:rPr>
          <w:bCs/>
          <w:b/>
        </w:rPr>
        <w:t xml:space="preserve">2026-07-03</w:t>
      </w:r>
      <w:r>
        <w:t xml:space="preserve"> </w:t>
      </w:r>
      <w:r>
        <w:t xml:space="preserve">— Entra al ITCG (reforma laboral, 30% interno): es el resultado que la reforma persigue y complementa al instrumento.</w:t>
      </w:r>
    </w:p>
    <w:p>
      <w:r>
        <w:br w:type="page"/>
      </w:r>
    </w:p>
    <w:p>
      <w:pPr>
        <w:pStyle w:val="BodyText"/>
      </w:pPr>
      <w:r>
        <w:rPr>
          <w:bCs/>
          <w:b/>
        </w:rPr>
        <w:t xml:space="preserve">CIGOB · INFORME DE COYUNTURA</w:t>
      </w:r>
    </w:p>
    <w:p>
      <w:pPr>
        <w:pStyle w:val="BodyText"/>
      </w:pPr>
      <w:r>
        <w:rPr>
          <w:iCs/>
          <w:i/>
        </w:rPr>
        <w:t xml:space="preserve">Ficha metodológica · Cinturón Gestión · Capa de semáforo (4 colores)</w:t>
      </w:r>
    </w:p>
    <w:bookmarkEnd w:id="103"/>
    <w:bookmarkEnd w:id="104"/>
    <w:bookmarkStart w:id="114" w:name="privatizaciones-etapas"/>
    <w:p>
      <w:pPr>
        <w:pStyle w:val="Heading1"/>
        <w:keepNext/>
      </w:pPr>
      <w:r>
        <w:t xml:space="preserve">Privatizaciones (etapas)</w:t>
      </w:r>
    </w:p>
    <w:p>
      <w:pPr>
        <w:pStyle w:val="FirstParagraph"/>
      </w:pPr>
      <w:r>
        <w:t xml:space="preserve">Cuánto avanza la privatización de la cartera de empresas públicas habilitada por la Ley Bases, medida por etapas verificables: 0 sin definir · 1 preparatoria · 2 pliegos · 3 licitación/adjudicación · 4 operación cerrada.</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51,4 % de avance (etapas 0-4, cartera Ley Bases)</w:t>
            </w:r>
            <w:r>
              <w:rPr>
                <w:sz w:val="18"/>
              </w:rPr>
              <w:t xml:space="preserve"> </w:t>
            </w:r>
            <w:r>
              <w:rPr>
                <w:sz w:val="18"/>
              </w:rPr>
              <w:t xml:space="preserve">(2026-06)</w:t>
            </w:r>
          </w:p>
        </w:tc>
        <w:tc>
          <w:tcPr>
            <w:shd w:val="clear" w:color="auto" w:fill="DCFCE7"/>
          </w:tcPr>
          <w:p>
            <w:pPr>
              <w:pStyle w:val="Compact"/>
              <w:jc w:val="center"/>
            </w:pPr>
            <w:r>
              <w:rPr>
                <w:bCs/>
                <w:b/>
                <w:sz w:val="18"/>
                <w:color w:val="14532D"/>
              </w:rPr>
              <w:t xml:space="preserve">VERDE</w:t>
            </w:r>
          </w:p>
        </w:tc>
        <w:tc>
          <w:p>
            <w:pPr>
              <w:pStyle w:val="Compact"/>
              <w:jc w:val="left"/>
            </w:pPr>
            <w:r>
              <w:rPr>
                <w:sz w:val="18"/>
              </w:rPr>
              <w:t xml:space="preserve">Peso efectivo 6 % del ITCG</w:t>
            </w:r>
          </w:p>
        </w:tc>
        <w:tc>
          <w:p>
            <w:pPr>
              <w:pStyle w:val="Compact"/>
              <w:jc w:val="left"/>
            </w:pPr>
            <w:r>
              <w:rPr>
                <w:sz w:val="18"/>
              </w:rPr>
              <w:t xml:space="preserve">Cinturón Gestión</w:t>
            </w:r>
          </w:p>
        </w:tc>
      </w:tr>
    </w:tbl>
    <w:bookmarkStart w:id="105" w:name="identificación-8"/>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privatizaciones</w:t>
            </w:r>
          </w:p>
        </w:tc>
        <w:tc>
          <w:p>
            <w:pPr>
              <w:pStyle w:val="Compact"/>
              <w:jc w:val="left"/>
            </w:pPr>
            <w:r>
              <w:rPr>
                <w:bCs/>
                <w:b/>
                <w:sz w:val="18"/>
              </w:rPr>
              <w:t xml:space="preserve">CINTURÓN</w:t>
            </w:r>
          </w:p>
        </w:tc>
        <w:tc>
          <w:p>
            <w:pPr>
              <w:pStyle w:val="Compact"/>
              <w:jc w:val="left"/>
            </w:pPr>
            <w:r>
              <w:rPr>
                <w:sz w:val="18"/>
              </w:rPr>
              <w:t xml:space="preserve">Gestión</w:t>
            </w:r>
          </w:p>
        </w:tc>
      </w:tr>
      <w:tr>
        <w:trPr>
          <w:cantSplit/>
        </w:trPr>
        <w:tc>
          <w:p>
            <w:pPr>
              <w:pStyle w:val="Compact"/>
              <w:jc w:val="left"/>
            </w:pPr>
            <w:r>
              <w:rPr>
                <w:bCs/>
                <w:b/>
                <w:sz w:val="18"/>
              </w:rPr>
              <w:t xml:space="preserve">DIMENSIÓN EN EL ITCG</w:t>
            </w:r>
          </w:p>
        </w:tc>
        <w:tc>
          <w:p>
            <w:pPr>
              <w:pStyle w:val="Compact"/>
              <w:jc w:val="left"/>
            </w:pPr>
            <w:r>
              <w:rPr>
                <w:sz w:val="18"/>
              </w:rPr>
              <w:t xml:space="preserve">Privatizaciones e inversión</w:t>
            </w:r>
          </w:p>
        </w:tc>
        <w:tc>
          <w:p>
            <w:pPr>
              <w:pStyle w:val="Compact"/>
              <w:jc w:val="left"/>
            </w:pPr>
            <w:r>
              <w:rPr>
                <w:bCs/>
                <w:b/>
                <w:sz w:val="18"/>
              </w:rPr>
              <w:t xml:space="preserve">UNIDAD DE MEDIDA</w:t>
            </w:r>
          </w:p>
        </w:tc>
        <w:tc>
          <w:p>
            <w:pPr>
              <w:pStyle w:val="Compact"/>
              <w:jc w:val="left"/>
            </w:pPr>
            <w:r>
              <w:rPr>
                <w:sz w:val="18"/>
              </w:rPr>
              <w:t xml:space="preserve">% de avance (etapas 0-4, cartera Ley Bases)</w:t>
            </w:r>
          </w:p>
        </w:tc>
      </w:tr>
      <w:tr>
        <w:trPr>
          <w:cantSplit/>
        </w:trPr>
        <w:tc>
          <w:p>
            <w:pPr>
              <w:pStyle w:val="Compact"/>
              <w:jc w:val="left"/>
            </w:pPr>
            <w:r>
              <w:rPr>
                <w:bCs/>
                <w:b/>
                <w:sz w:val="18"/>
              </w:rPr>
              <w:t xml:space="preserve">SERIE DISPONIBLE</w:t>
            </w:r>
          </w:p>
        </w:tc>
        <w:tc>
          <w:p>
            <w:pPr>
              <w:pStyle w:val="Compact"/>
              <w:jc w:val="left"/>
            </w:pPr>
            <w:r>
              <w:rPr>
                <w:sz w:val="18"/>
              </w:rPr>
              <w:t xml:space="preserve">2023-12 → 2026-08 (33 puntos)</w:t>
            </w:r>
          </w:p>
        </w:tc>
        <w:tc>
          <w:p>
            <w:pPr>
              <w:pStyle w:val="Compact"/>
              <w:jc w:val="left"/>
            </w:pPr>
            <w:r>
              <w:rPr>
                <w:bCs/>
                <w:b/>
                <w:sz w:val="18"/>
              </w:rPr>
              <w:t xml:space="preserve">REZAGO DE PUBLICACIÓN</w:t>
            </w:r>
          </w:p>
        </w:tc>
        <w:tc>
          <w:p>
            <w:pPr>
              <w:pStyle w:val="Compact"/>
              <w:jc w:val="left"/>
            </w:pPr>
            <w:r>
              <w:rPr>
                <w:sz w:val="18"/>
              </w:rPr>
              <w:t xml:space="preserve">Al día del último hito curado; el registro se actualiza con seguimiento quincenal del Boletín Oficial.</w:t>
            </w:r>
          </w:p>
        </w:tc>
      </w:tr>
      <w:tr>
        <w:trPr>
          <w:cantSplit/>
        </w:trPr>
        <w:tc>
          <w:p>
            <w:pPr>
              <w:pStyle w:val="Compact"/>
              <w:jc w:val="left"/>
            </w:pPr>
            <w:r>
              <w:rPr>
                <w:bCs/>
                <w:b/>
                <w:sz w:val="18"/>
              </w:rPr>
              <w:t xml:space="preserve">PRODUCTOR DEL DATO</w:t>
            </w:r>
          </w:p>
        </w:tc>
        <w:tc>
          <w:p>
            <w:pPr>
              <w:pStyle w:val="Compact"/>
              <w:jc w:val="left"/>
            </w:pPr>
            <w:r>
              <w:rPr>
                <w:sz w:val="18"/>
              </w:rPr>
              <w:t xml:space="preserve">Boletín Oficial (hechos) + Fundación CIGOB (curaduría del registro)</w:t>
            </w:r>
          </w:p>
        </w:tc>
        <w:tc>
          <w:p>
            <w:pPr>
              <w:pStyle w:val="Compact"/>
              <w:jc w:val="left"/>
            </w:pPr>
            <w:r>
              <w:rPr>
                <w:bCs/>
                <w:b/>
                <w:sz w:val="18"/>
              </w:rPr>
              <w:t xml:space="preserve">OPERACIÓN ESTADÍSTICA</w:t>
            </w:r>
          </w:p>
        </w:tc>
        <w:tc>
          <w:p>
            <w:pPr>
              <w:pStyle w:val="Compact"/>
              <w:jc w:val="left"/>
            </w:pPr>
            <w:r>
              <w:rPr>
                <w:sz w:val="18"/>
              </w:rPr>
              <w:t xml:space="preserve">Avance de la cartera de privatizaciones de la Ley Bases por etapas 0-4 (sin definir → preparatoria → pliegos → licitación/adjudicación → cerrada), nueve empresas</w:t>
            </w:r>
          </w:p>
        </w:tc>
      </w:tr>
      <w:tr>
        <w:trPr>
          <w:cantSplit/>
        </w:trPr>
        <w:tc>
          <w:p>
            <w:pPr>
              <w:pStyle w:val="Compact"/>
              <w:jc w:val="left"/>
            </w:pPr>
            <w:r>
              <w:rPr>
                <w:bCs/>
                <w:b/>
                <w:sz w:val="18"/>
              </w:rPr>
              <w:t xml:space="preserve">MODO DE ACCESO</w:t>
            </w:r>
          </w:p>
        </w:tc>
        <w:tc>
          <w:p>
            <w:pPr>
              <w:pStyle w:val="Compact"/>
              <w:jc w:val="left"/>
            </w:pPr>
            <w:r>
              <w:rPr>
                <w:sz w:val="18"/>
              </w:rPr>
              <w:t xml:space="preserve">Registro curado a mano con seguimiento quincenal del Boletín Oficial: no existe una fuente única automatizable (ni la agencia responsable ni la comisión bicameral publican un tablero).</w:t>
            </w:r>
          </w:p>
        </w:tc>
        <w:tc>
          <w:p>
            <w:pPr>
              <w:pStyle w:val="Compact"/>
              <w:jc w:val="left"/>
            </w:pPr>
            <w:r>
              <w:rPr>
                <w:bCs/>
                <w:b/>
                <w:sz w:val="18"/>
              </w:rPr>
              <w:t xml:space="preserve">ÚLTIMA ACTUALIZACIÓN</w:t>
            </w:r>
          </w:p>
        </w:tc>
        <w:tc>
          <w:p>
            <w:pPr>
              <w:pStyle w:val="Compact"/>
              <w:jc w:val="left"/>
            </w:pPr>
            <w:r>
              <w:rPr>
                <w:sz w:val="18"/>
              </w:rPr>
              <w:t xml:space="preserve">Dato a 2026-06 · informe generado el 2026-08-09</w:t>
            </w:r>
          </w:p>
        </w:tc>
      </w:tr>
    </w:tbl>
    <w:bookmarkEnd w:id="105"/>
    <w:bookmarkStart w:id="106" w:name="definición-qué-mide-y-por-qué-importa-8"/>
    <w:p>
      <w:pPr>
        <w:pStyle w:val="Heading2"/>
        <w:keepNext/>
      </w:pPr>
      <w:r>
        <w:t xml:space="preserve">Definición — qué mide y por qué importa</w:t>
      </w:r>
    </w:p>
    <w:p>
      <w:pPr>
        <w:pStyle w:val="FirstParagraph"/>
      </w:pPr>
      <w:r>
        <w:t xml:space="preserve">Cuánto avanza la privatización de la cartera de empresas públicas habilitada por la Ley Bases, medida por etapas verificables: 0 sin definir · 1 preparatoria · 2 pliegos · 3 licitación/adjudicación · 4 operación cerrada.</w:t>
      </w:r>
    </w:p>
    <w:p>
      <w:pPr>
        <w:pStyle w:val="BodyText"/>
      </w:pPr>
      <w:r>
        <w:t xml:space="preserve">Mide la ejecución real de una reforma emblema — el promedio de etapas separa el anuncio del hecho consumado (una venta cerrada vale más que diez pliegos). Se mantiene con seguimiento del Boletín Oficial: no existe fuente única automatizable.</w:t>
      </w:r>
    </w:p>
    <w:p>
      <w:pPr>
        <w:pStyle w:val="BodyText"/>
      </w:pPr>
      <w:r>
        <w:rPr>
          <w:bCs/>
          <w:b/>
        </w:rPr>
        <w:t xml:space="preserve">Dimensión que integra — Privatizaciones e inversión.</w:t>
      </w:r>
      <w:r>
        <w:t xml:space="preserve"> </w:t>
      </w:r>
      <w:r>
        <w:t xml:space="preserve">Los activos del Estado y la inversión privada grande: privatizaciones, cartera del RIGI y concesiones viales.</w:t>
      </w:r>
    </w:p>
    <w:bookmarkEnd w:id="106"/>
    <w:bookmarkStart w:id="107" w:name="método-de-cómputo-8"/>
    <w:p>
      <w:pPr>
        <w:pStyle w:val="Heading2"/>
        <w:keepNext/>
      </w:pPr>
      <w:r>
        <w:t xml:space="preserve">Método de cómputo</w:t>
      </w:r>
    </w:p>
    <w:p>
      <w:pPr>
        <w:numPr>
          <w:ilvl w:val="0"/>
          <w:numId w:val="1037"/>
        </w:numPr>
        <w:pStyle w:val="Compact"/>
      </w:pPr>
      <w:r>
        <w:t xml:space="preserve">Cada empresa recibe una etapa 0-4 con la norma que la respalda; el avance es el promedio de etapas sobre 4, en porcentaje.</w:t>
      </w:r>
    </w:p>
    <w:p>
      <w:pPr>
        <w:numPr>
          <w:ilvl w:val="0"/>
          <w:numId w:val="1037"/>
        </w:numPr>
        <w:pStyle w:val="Compact"/>
      </w:pPr>
      <w:r>
        <w:t xml:space="preserve">La serie histórica se reconstruye con las transiciones de etapa fechadas por su norma del Boletín Oficial.</w:t>
      </w:r>
    </w:p>
    <w:bookmarkEnd w:id="107"/>
    <w:bookmarkStart w:id="108" w:name="X87b3987c06539a9299ed64e1a1888a4d5564dfd"/>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pPr>
      <w:r>
        <w:rPr>
          <w:bCs/>
          <w:b/>
        </w:rPr>
        <w:t xml:space="preserve">Valores que definen cada color</w:t>
      </w:r>
    </w:p>
    <w:tbl>
      <w:tblPr>
        <w:tblStyle w:val="Table"/>
        <w:tblW w:type="pct" w:w="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tr>
        <w:trPr>
          <w:cantSplit/>
          <w:tblHeader/>
        </w:trPr>
        <w:tc>
          <w:tcPr>
            <w:shd w:val="clear" w:color="auto" w:fill="1F3A34"/>
          </w:tcPr>
          <w:p>
            <w:pPr>
              <w:pStyle w:val="Compact"/>
              <w:jc w:val="left"/>
            </w:pPr>
            <w:r>
              <w:rPr>
                <w:b/>
                <w:sz w:val="18"/>
                <w:color w:val="FFFFFF"/>
              </w:rPr>
              <w:t xml:space="preserve">Rango (% de avance (etapas 0-4, cartera Ley Bases))</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 41</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25 – 41</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18,33 – 25</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 18,33</w:t>
            </w:r>
          </w:p>
        </w:tc>
        <w:tc>
          <w:tcPr>
            <w:shd w:val="clear" w:color="auto" w:fill="FEE2E2"/>
          </w:tcPr>
          <w:p>
            <w:pPr>
              <w:pStyle w:val="Compact"/>
              <w:jc w:val="center"/>
            </w:pPr>
            <w:r>
              <w:rPr>
                <w:b/>
                <w:sz w:val="18"/>
                <w:color w:val="7F1D1D"/>
              </w:rPr>
              <w:t xml:space="preserve">ROJO</w:t>
            </w:r>
          </w:p>
        </w:tc>
      </w:tr>
    </w:tbl>
    <w:bookmarkEnd w:id="108"/>
    <w:bookmarkStart w:id="109" w:name="datos-concretos-detrás-del-valor-8"/>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38"/>
        </w:numPr>
        <w:pStyle w:val="Compact"/>
      </w:pPr>
      <w:r>
        <w:t xml:space="preserve">9 empresas · etapa promedio 2,06/4 · cerradas: Transener · 18 norma(s) nueva(s) del Boletín Oficial sin revisar</w:t>
      </w:r>
    </w:p>
    <w:bookmarkEnd w:id="109"/>
    <w:bookmarkStart w:id="110" w:name="color-vigente-y-por-qué-8"/>
    <w:p>
      <w:pPr>
        <w:pStyle w:val="Heading2"/>
        <w:keepNext/>
      </w:pPr>
      <w:r>
        <w:t xml:space="preserve">Color vigente y por qué</w:t>
      </w:r>
    </w:p>
    <w:p>
      <w:pPr>
        <w:pStyle w:val="FirstParagraph"/>
      </w:pPr>
      <w:r>
        <w:t xml:space="preserve">Dato vigente: 51,4 % de avance (etapas 0-4, cartera Ley Bases) (2026-06).</w:t>
      </w:r>
    </w:p>
    <w:p>
      <w:pPr>
        <w:pStyle w:val="BodyText"/>
      </w:pPr>
      <w:r>
        <w:t xml:space="preserve">51,4 % de avance (etapas 0-4, cartera Ley Bases) cae en el tramo que corresponde a Verde, a 10,4 del corte más cercano.</w:t>
      </w:r>
    </w:p>
    <w:p>
      <w:pPr>
        <w:pStyle w:val="BodyText"/>
      </w:pPr>
      <w:r>
        <w:rPr>
          <w:bCs/>
          <w:b/>
        </w:rPr>
        <w:t xml:space="preserve">Color vigente: VERDE</w:t>
      </w:r>
    </w:p>
    <w:p>
      <w:pPr>
        <w:pStyle w:val="BodyText"/>
      </w:pPr>
      <w:r>
        <w:t xml:space="preserve">Ponderación vigente en el ITCG: 6 % efectivo. El color es una lectura adicional — no reemplaza ni cambia esta ponderación.</w:t>
      </w:r>
    </w:p>
    <w:bookmarkEnd w:id="110"/>
    <w:bookmarkStart w:id="111" w:name="transparencia-limitaciones-declaradas-8"/>
    <w:p>
      <w:pPr>
        <w:pStyle w:val="Heading2"/>
        <w:keepNext/>
      </w:pPr>
      <w:r>
        <w:t xml:space="preserve">Transparencia — limitaciones declaradas</w:t>
      </w:r>
    </w:p>
    <w:p>
      <w:pPr>
        <w:numPr>
          <w:ilvl w:val="0"/>
          <w:numId w:val="1039"/>
        </w:numPr>
        <w:pStyle w:val="Compact"/>
      </w:pPr>
      <w:r>
        <w:t xml:space="preserve">Es el único indicador del índice sin una fuente de datos en vivo: la asignación de etapas es juicio del analista, con las normas citadas en el registro.</w:t>
      </w:r>
    </w:p>
    <w:p>
      <w:pPr>
        <w:numPr>
          <w:ilvl w:val="0"/>
          <w:numId w:val="1039"/>
        </w:numPr>
        <w:pStyle w:val="Compact"/>
      </w:pPr>
      <w:r>
        <w:t xml:space="preserve">La escala 0-4 discretiza procesos continuos.</w:t>
      </w:r>
    </w:p>
    <w:bookmarkEnd w:id="111"/>
    <w:bookmarkStart w:id="112" w:name="Xa8ce648c431bea43f551f3baf6efe2b68743848"/>
    <w:p>
      <w:pPr>
        <w:pStyle w:val="Heading2"/>
        <w:keepNext/>
      </w:pPr>
      <w:r>
        <w:t xml:space="preserve">Si falta el dato / Política de revisiones</w:t>
      </w:r>
    </w:p>
    <w:p>
      <w:pPr>
        <w:numPr>
          <w:ilvl w:val="0"/>
          <w:numId w:val="1040"/>
        </w:numPr>
      </w:pPr>
      <w:r>
        <w:rPr>
          <w:bCs/>
          <w:b/>
        </w:rPr>
        <w:t xml:space="preserve">Si falta el dato:</w:t>
      </w:r>
      <w:r>
        <w:t xml:space="preserve"> </w:t>
      </w:r>
      <w:r>
        <w:t xml:space="preserve">Sin registro disponible, se mantiene el último valor disponible, señalado como desactualizado; sin dato, los pesos de la dimensión se renormalizan.</w:t>
      </w:r>
    </w:p>
    <w:p>
      <w:pPr>
        <w:numPr>
          <w:ilvl w:val="0"/>
          <w:numId w:val="1040"/>
        </w:numPr>
      </w:pPr>
      <w:r>
        <w:rPr>
          <w:bCs/>
          <w:b/>
        </w:rPr>
        <w:t xml:space="preserve">Política de revisiones:</w:t>
      </w:r>
      <w:r>
        <w:t xml:space="preserve"> </w:t>
      </w:r>
      <w:r>
        <w:t xml:space="preserve">Seguimiento quincenal declarado; la serie avisa si el estado vivo no reconcilia con las transiciones fechadas.</w:t>
      </w:r>
    </w:p>
    <w:bookmarkEnd w:id="112"/>
    <w:bookmarkStart w:id="113" w:name="X7377c6d2efe561e453f620dd5fcb89b652fe35d"/>
    <w:p>
      <w:pPr>
        <w:pStyle w:val="Heading2"/>
        <w:keepNext/>
      </w:pPr>
      <w:r>
        <w:t xml:space="preserve">Historial — cambios metodológicos documentados</w:t>
      </w:r>
    </w:p>
    <w:p>
      <w:pPr>
        <w:pStyle w:val="FirstParagraph"/>
      </w:pPr>
      <w:r>
        <w:rPr>
          <w:bCs/>
          <w:b/>
        </w:rPr>
        <w:t xml:space="preserve">2026-05</w:t>
      </w:r>
      <w:r>
        <w:t xml:space="preserve"> </w:t>
      </w:r>
      <w:r>
        <w:t xml:space="preserve">— Versión inicial como carga manual (porcentaje de empresas privatizadas).</w:t>
      </w:r>
    </w:p>
    <w:p>
      <w:pPr>
        <w:pStyle w:val="BodyText"/>
      </w:pPr>
      <w:r>
        <w:rPr>
          <w:bCs/>
          <w:b/>
        </w:rPr>
        <w:t xml:space="preserve">2026-07-02</w:t>
      </w:r>
      <w:r>
        <w:t xml:space="preserve"> </w:t>
      </w:r>
      <w:r>
        <w:t xml:space="preserve">— Pasa al esquema de etapas 0-4 del documento institucional, con registro curado por empresa.</w:t>
      </w:r>
    </w:p>
    <w:p>
      <w:pPr>
        <w:pStyle w:val="BodyText"/>
      </w:pPr>
      <w:r>
        <w:rPr>
          <w:bCs/>
          <w:b/>
        </w:rPr>
        <w:t xml:space="preserve">2026-07-03</w:t>
      </w:r>
      <w:r>
        <w:t xml:space="preserve"> </w:t>
      </w:r>
      <w:r>
        <w:t xml:space="preserve">— Serie histórica reconstruida por hitos fechados del Boletín Oficial. Puntaje interpolado entre anclas.</w:t>
      </w:r>
    </w:p>
    <w:p>
      <w:r>
        <w:br w:type="page"/>
      </w:r>
    </w:p>
    <w:p>
      <w:pPr>
        <w:pStyle w:val="BodyText"/>
      </w:pPr>
      <w:r>
        <w:rPr>
          <w:bCs/>
          <w:b/>
        </w:rPr>
        <w:t xml:space="preserve">CIGOB · INFORME DE COYUNTURA</w:t>
      </w:r>
    </w:p>
    <w:p>
      <w:pPr>
        <w:pStyle w:val="BodyText"/>
      </w:pPr>
      <w:r>
        <w:rPr>
          <w:iCs/>
          <w:i/>
        </w:rPr>
        <w:t xml:space="preserve">Ficha metodológica · Cinturón Gestión · Capa de semáforo (4 colores)</w:t>
      </w:r>
    </w:p>
    <w:bookmarkEnd w:id="113"/>
    <w:bookmarkEnd w:id="114"/>
    <w:bookmarkStart w:id="124" w:name="inversiones-rigi"/>
    <w:p>
      <w:pPr>
        <w:pStyle w:val="Heading1"/>
        <w:keepNext/>
      </w:pPr>
      <w:r>
        <w:t xml:space="preserve">Inversiones RIGI</w:t>
      </w:r>
    </w:p>
    <w:p>
      <w:pPr>
        <w:pStyle w:val="FirstParagraph"/>
      </w:pPr>
      <w:r>
        <w:t xml:space="preserve">Cuánto de la inversión del Régimen de Incentivo a Grandes Inversiones (RIGI) ya está aprobada: el monto aprobado por resolución sobre el total de la cartera (aprobados + en evaluación).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31,6 % de inversión aprobada sobre el pipeline</w:t>
            </w:r>
            <w:r>
              <w:rPr>
                <w:sz w:val="18"/>
              </w:rPr>
              <w:t xml:space="preserve"> </w:t>
            </w:r>
            <w:r>
              <w:rPr>
                <w:sz w:val="18"/>
              </w:rPr>
              <w:t xml:space="preserve">(2026-08)</w:t>
            </w:r>
          </w:p>
        </w:tc>
        <w:tc>
          <w:tcPr>
            <w:shd w:val="clear" w:color="auto" w:fill="DCFCE7"/>
          </w:tcPr>
          <w:p>
            <w:pPr>
              <w:pStyle w:val="Compact"/>
              <w:jc w:val="center"/>
            </w:pPr>
            <w:r>
              <w:rPr>
                <w:bCs/>
                <w:b/>
                <w:sz w:val="18"/>
                <w:color w:val="14532D"/>
              </w:rPr>
              <w:t xml:space="preserve">VERDE</w:t>
            </w:r>
          </w:p>
        </w:tc>
        <w:tc>
          <w:p>
            <w:pPr>
              <w:pStyle w:val="Compact"/>
              <w:jc w:val="left"/>
            </w:pPr>
            <w:r>
              <w:rPr>
                <w:sz w:val="18"/>
              </w:rPr>
              <w:t xml:space="preserve">Peso efectivo 6 % del ITCG</w:t>
            </w:r>
          </w:p>
        </w:tc>
        <w:tc>
          <w:p>
            <w:pPr>
              <w:pStyle w:val="Compact"/>
              <w:jc w:val="left"/>
            </w:pPr>
            <w:r>
              <w:rPr>
                <w:sz w:val="18"/>
              </w:rPr>
              <w:t xml:space="preserve">Cinturón Gestión</w:t>
            </w:r>
          </w:p>
        </w:tc>
      </w:tr>
    </w:tbl>
    <w:bookmarkStart w:id="115" w:name="identificación-9"/>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rigi_inversiones</w:t>
            </w:r>
          </w:p>
        </w:tc>
        <w:tc>
          <w:p>
            <w:pPr>
              <w:pStyle w:val="Compact"/>
              <w:jc w:val="left"/>
            </w:pPr>
            <w:r>
              <w:rPr>
                <w:bCs/>
                <w:b/>
                <w:sz w:val="18"/>
              </w:rPr>
              <w:t xml:space="preserve">CINTURÓN</w:t>
            </w:r>
          </w:p>
        </w:tc>
        <w:tc>
          <w:p>
            <w:pPr>
              <w:pStyle w:val="Compact"/>
              <w:jc w:val="left"/>
            </w:pPr>
            <w:r>
              <w:rPr>
                <w:sz w:val="18"/>
              </w:rPr>
              <w:t xml:space="preserve">Gestión</w:t>
            </w:r>
          </w:p>
        </w:tc>
      </w:tr>
      <w:tr>
        <w:trPr>
          <w:cantSplit/>
        </w:trPr>
        <w:tc>
          <w:p>
            <w:pPr>
              <w:pStyle w:val="Compact"/>
              <w:jc w:val="left"/>
            </w:pPr>
            <w:r>
              <w:rPr>
                <w:bCs/>
                <w:b/>
                <w:sz w:val="18"/>
              </w:rPr>
              <w:t xml:space="preserve">DIMENSIÓN EN EL ITCG</w:t>
            </w:r>
          </w:p>
        </w:tc>
        <w:tc>
          <w:p>
            <w:pPr>
              <w:pStyle w:val="Compact"/>
              <w:jc w:val="left"/>
            </w:pPr>
            <w:r>
              <w:rPr>
                <w:sz w:val="18"/>
              </w:rPr>
              <w:t xml:space="preserve">Privatizaciones e inversión</w:t>
            </w:r>
          </w:p>
        </w:tc>
        <w:tc>
          <w:p>
            <w:pPr>
              <w:pStyle w:val="Compact"/>
              <w:jc w:val="left"/>
            </w:pPr>
            <w:r>
              <w:rPr>
                <w:bCs/>
                <w:b/>
                <w:sz w:val="18"/>
              </w:rPr>
              <w:t xml:space="preserve">UNIDAD DE MEDIDA</w:t>
            </w:r>
          </w:p>
        </w:tc>
        <w:tc>
          <w:p>
            <w:pPr>
              <w:pStyle w:val="Compact"/>
              <w:jc w:val="left"/>
            </w:pPr>
            <w:r>
              <w:rPr>
                <w:sz w:val="18"/>
              </w:rPr>
              <w:t xml:space="preserve">% de inversión aprobada sobre el pipeline</w:t>
            </w:r>
          </w:p>
        </w:tc>
      </w:tr>
      <w:tr>
        <w:trPr>
          <w:cantSplit/>
        </w:trPr>
        <w:tc>
          <w:p>
            <w:pPr>
              <w:pStyle w:val="Compact"/>
              <w:jc w:val="left"/>
            </w:pPr>
            <w:r>
              <w:rPr>
                <w:bCs/>
                <w:b/>
                <w:sz w:val="18"/>
              </w:rPr>
              <w:t xml:space="preserve">SERIE DISPONIBLE</w:t>
            </w:r>
          </w:p>
        </w:tc>
        <w:tc>
          <w:p>
            <w:pPr>
              <w:pStyle w:val="Compact"/>
              <w:jc w:val="left"/>
            </w:pPr>
            <w:r>
              <w:rPr>
                <w:sz w:val="18"/>
              </w:rPr>
              <w:t xml:space="preserve">2023-12 → 2026-07 (26 puntos)</w:t>
            </w:r>
          </w:p>
        </w:tc>
        <w:tc>
          <w:p>
            <w:pPr>
              <w:pStyle w:val="Compact"/>
              <w:jc w:val="left"/>
            </w:pPr>
            <w:r>
              <w:rPr>
                <w:bCs/>
                <w:b/>
                <w:sz w:val="18"/>
              </w:rPr>
              <w:t xml:space="preserve">REZAGO DE PUBLICACIÓN</w:t>
            </w:r>
          </w:p>
        </w:tc>
        <w:tc>
          <w:p>
            <w:pPr>
              <w:pStyle w:val="Compact"/>
              <w:jc w:val="left"/>
            </w:pPr>
            <w:r>
              <w:rPr>
                <w:sz w:val="18"/>
              </w:rPr>
              <w:t xml:space="preserve">Sin rezago: foto de la plataforma oficial al día de la actualización.</w:t>
            </w:r>
          </w:p>
        </w:tc>
      </w:tr>
      <w:tr>
        <w:trPr>
          <w:cantSplit/>
        </w:trPr>
        <w:tc>
          <w:p>
            <w:pPr>
              <w:pStyle w:val="Compact"/>
              <w:jc w:val="left"/>
            </w:pPr>
            <w:r>
              <w:rPr>
                <w:bCs/>
                <w:b/>
                <w:sz w:val="18"/>
              </w:rPr>
              <w:t xml:space="preserve">PRODUCTOR DEL DATO</w:t>
            </w:r>
          </w:p>
        </w:tc>
        <w:tc>
          <w:p>
            <w:pPr>
              <w:pStyle w:val="Compact"/>
              <w:jc w:val="left"/>
            </w:pPr>
            <w:r>
              <w:rPr>
                <w:sz w:val="18"/>
              </w:rPr>
              <w:t xml:space="preserve">Ministerio de Economía — plataforma oficial del RIGI</w:t>
            </w:r>
          </w:p>
        </w:tc>
        <w:tc>
          <w:p>
            <w:pPr>
              <w:pStyle w:val="Compact"/>
              <w:jc w:val="left"/>
            </w:pPr>
            <w:r>
              <w:rPr>
                <w:bCs/>
                <w:b/>
                <w:sz w:val="18"/>
              </w:rPr>
              <w:t xml:space="preserve">OPERACIÓN ESTADÍSTICA</w:t>
            </w:r>
          </w:p>
        </w:tc>
        <w:tc>
          <w:p>
            <w:pPr>
              <w:pStyle w:val="Compact"/>
              <w:jc w:val="left"/>
            </w:pPr>
            <w:r>
              <w:rPr>
                <w:sz w:val="18"/>
              </w:rPr>
              <w:t xml:space="preserve">Cartera del Régimen de Incentivo a Grandes Inversiones: inversión aprobada sobre el total de la cartera (aprobada + en evaluación)</w:t>
            </w:r>
          </w:p>
        </w:tc>
      </w:tr>
      <w:tr>
        <w:trPr>
          <w:cantSplit/>
        </w:trPr>
        <w:tc>
          <w:p>
            <w:pPr>
              <w:pStyle w:val="Compact"/>
              <w:jc w:val="left"/>
            </w:pPr>
            <w:r>
              <w:rPr>
                <w:bCs/>
                <w:b/>
                <w:sz w:val="18"/>
              </w:rPr>
              <w:t xml:space="preserve">MODO DE ACCESO</w:t>
            </w:r>
          </w:p>
        </w:tc>
        <w:tc>
          <w:p>
            <w:pPr>
              <w:pStyle w:val="Compact"/>
              <w:jc w:val="left"/>
            </w:pPr>
            <w:r>
              <w:rPr>
                <w:sz w:val="18"/>
              </w:rPr>
              <w:t xml:space="preserve">Automático: lectura de la planilla pública de la plataforma oficial; las fechas de aprobación se toman del Boletín Oficial solo para proyectos nuevos.</w:t>
            </w:r>
          </w:p>
        </w:tc>
        <w:tc>
          <w:p>
            <w:pPr>
              <w:pStyle w:val="Compact"/>
              <w:jc w:val="left"/>
            </w:pPr>
            <w:r>
              <w:rPr>
                <w:bCs/>
                <w:b/>
                <w:sz w:val="18"/>
              </w:rPr>
              <w:t xml:space="preserve">ÚLTIMA ACTUALIZACIÓN</w:t>
            </w:r>
          </w:p>
        </w:tc>
        <w:tc>
          <w:p>
            <w:pPr>
              <w:pStyle w:val="Compact"/>
              <w:jc w:val="left"/>
            </w:pPr>
            <w:r>
              <w:rPr>
                <w:sz w:val="18"/>
              </w:rPr>
              <w:t xml:space="preserve">Dato a 2026-08 · informe generado el 2026-08-09</w:t>
            </w:r>
          </w:p>
        </w:tc>
      </w:tr>
    </w:tbl>
    <w:bookmarkEnd w:id="115"/>
    <w:bookmarkStart w:id="116" w:name="definición-qué-mide-y-por-qué-importa-9"/>
    <w:p>
      <w:pPr>
        <w:pStyle w:val="Heading2"/>
        <w:keepNext/>
      </w:pPr>
      <w:r>
        <w:t xml:space="preserve">Definición — qué mide y por qué importa</w:t>
      </w:r>
    </w:p>
    <w:p>
      <w:pPr>
        <w:pStyle w:val="FirstParagraph"/>
      </w:pPr>
      <w:r>
        <w:t xml:space="preserve">Cuánto de la inversión del Régimen de Incentivo a Grandes Inversiones (RIGI) ya está aprobada: el monto aprobado por resolución sobre el total de la cartera (aprobados + en evaluación).</w:t>
      </w:r>
    </w:p>
    <w:p>
      <w:pPr>
        <w:pStyle w:val="BodyText"/>
      </w:pPr>
      <w:r>
        <w:t xml:space="preserve">Mide si el régimen convierte las promesas en inversión ratificada, con la plataforma oficial del Ministerio de Economía. La evolución histórica grafica la inversión aprobada acumulada en dólares.</w:t>
      </w:r>
    </w:p>
    <w:p>
      <w:pPr>
        <w:pStyle w:val="BodyText"/>
      </w:pPr>
      <w:r>
        <w:rPr>
          <w:bCs/>
          <w:b/>
        </w:rPr>
        <w:t xml:space="preserve">Dimensión que integra — Privatizaciones e inversión.</w:t>
      </w:r>
      <w:r>
        <w:t xml:space="preserve"> </w:t>
      </w:r>
      <w:r>
        <w:t xml:space="preserve">Los activos del Estado y la inversión privada grande: privatizaciones, cartera del RIGI y concesiones viales.</w:t>
      </w:r>
    </w:p>
    <w:bookmarkEnd w:id="116"/>
    <w:bookmarkStart w:id="117" w:name="método-de-cómputo-9"/>
    <w:p>
      <w:pPr>
        <w:pStyle w:val="Heading2"/>
        <w:keepNext/>
      </w:pPr>
      <w:r>
        <w:t xml:space="preserve">Método de cómputo</w:t>
      </w:r>
    </w:p>
    <w:p>
      <w:pPr>
        <w:numPr>
          <w:ilvl w:val="0"/>
          <w:numId w:val="1041"/>
        </w:numPr>
        <w:pStyle w:val="Compact"/>
      </w:pPr>
      <w:r>
        <w:t xml:space="preserve">Avance = inversión aprobada / (aprobada + en evaluación), en porcentaje.</w:t>
      </w:r>
    </w:p>
    <w:p>
      <w:pPr>
        <w:numPr>
          <w:ilvl w:val="0"/>
          <w:numId w:val="1041"/>
        </w:numPr>
        <w:pStyle w:val="Compact"/>
      </w:pPr>
      <w:r>
        <w:t xml:space="preserve">Los proyectos multi-provincia cuentan una sola vez (mismo criterio que el sitio oficial).</w:t>
      </w:r>
    </w:p>
    <w:p>
      <w:pPr>
        <w:numPr>
          <w:ilvl w:val="0"/>
          <w:numId w:val="1041"/>
        </w:numPr>
        <w:pStyle w:val="Compact"/>
      </w:pPr>
      <w:r>
        <w:t xml:space="preserve">La serie histórica es la inversión aprobada acumulada, fechada por la norma de aprobación de cada proyecto.</w:t>
      </w:r>
    </w:p>
    <w:bookmarkEnd w:id="117"/>
    <w:bookmarkStart w:id="118" w:name="X7cebc61645757546f8524c030baae18d065141e"/>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pPr>
      <w:r>
        <w:rPr>
          <w:bCs/>
          <w:b/>
        </w:rPr>
        <w:t xml:space="preserve">Valores que definen cada color</w:t>
      </w:r>
    </w:p>
    <w:tbl>
      <w:tblPr>
        <w:tblStyle w:val="Table"/>
        <w:tblW w:type="pct" w:w="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tr>
        <w:trPr>
          <w:cantSplit/>
          <w:tblHeader/>
        </w:trPr>
        <w:tc>
          <w:tcPr>
            <w:shd w:val="clear" w:color="auto" w:fill="1F3A34"/>
          </w:tcPr>
          <w:p>
            <w:pPr>
              <w:pStyle w:val="Compact"/>
              <w:jc w:val="left"/>
            </w:pPr>
            <w:r>
              <w:rPr>
                <w:b/>
                <w:sz w:val="18"/>
                <w:color w:val="FFFFFF"/>
              </w:rPr>
              <w:t xml:space="preserve">Rango (% de inversión aprobada sobre el pipeline)</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 29,5</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17,5 – 29,5</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12,5 – 17,5</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 12,5</w:t>
            </w:r>
          </w:p>
        </w:tc>
        <w:tc>
          <w:tcPr>
            <w:shd w:val="clear" w:color="auto" w:fill="FEE2E2"/>
          </w:tcPr>
          <w:p>
            <w:pPr>
              <w:pStyle w:val="Compact"/>
              <w:jc w:val="center"/>
            </w:pPr>
            <w:r>
              <w:rPr>
                <w:b/>
                <w:sz w:val="18"/>
                <w:color w:val="7F1D1D"/>
              </w:rPr>
              <w:t xml:space="preserve">ROJO</w:t>
            </w:r>
          </w:p>
        </w:tc>
      </w:tr>
    </w:tbl>
    <w:bookmarkEnd w:id="118"/>
    <w:bookmarkStart w:id="119" w:name="datos-concretos-detrás-del-valor-9"/>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42"/>
        </w:numPr>
        <w:pStyle w:val="Compact"/>
      </w:pPr>
      <w:r>
        <w:t xml:space="preserve">21 proyectos aprobados (US$ 46.708M) / 22 en evaluación (US$ 101.241M) → 31,6% de la inversión total ya aprobada</w:t>
      </w:r>
    </w:p>
    <w:bookmarkEnd w:id="119"/>
    <w:bookmarkStart w:id="120" w:name="color-vigente-y-por-qué-9"/>
    <w:p>
      <w:pPr>
        <w:pStyle w:val="Heading2"/>
        <w:keepNext/>
      </w:pPr>
      <w:r>
        <w:t xml:space="preserve">Color vigente y por qué</w:t>
      </w:r>
    </w:p>
    <w:p>
      <w:pPr>
        <w:pStyle w:val="FirstParagraph"/>
      </w:pPr>
      <w:r>
        <w:t xml:space="preserve">Dato vigente: 31,6 % de inversión aprobada sobre el pipeline (2026-08).</w:t>
      </w:r>
    </w:p>
    <w:p>
      <w:pPr>
        <w:pStyle w:val="BodyText"/>
      </w:pPr>
      <w:r>
        <w:t xml:space="preserve">31,6 % de inversión aprobada sobre el pipeline cae en el tramo que corresponde a Verde, a 2,1 del corte más cercano.</w:t>
      </w:r>
    </w:p>
    <w:p>
      <w:pPr>
        <w:pStyle w:val="BodyText"/>
      </w:pPr>
      <w:r>
        <w:rPr>
          <w:bCs/>
          <w:b/>
        </w:rPr>
        <w:t xml:space="preserve">Color vigente: VERDE</w:t>
      </w:r>
    </w:p>
    <w:p>
      <w:pPr>
        <w:pStyle w:val="BodyText"/>
      </w:pPr>
      <w:r>
        <w:t xml:space="preserve">Ponderación vigente en el ITCG: 6 % efectivo. El color es una lectura adicional — no reemplaza ni cambia esta ponderación.</w:t>
      </w:r>
    </w:p>
    <w:bookmarkEnd w:id="120"/>
    <w:bookmarkStart w:id="121" w:name="transparencia-limitaciones-declaradas-9"/>
    <w:p>
      <w:pPr>
        <w:pStyle w:val="Heading2"/>
        <w:keepNext/>
      </w:pPr>
      <w:r>
        <w:t xml:space="preserve">Transparencia — limitaciones declaradas</w:t>
      </w:r>
    </w:p>
    <w:p>
      <w:pPr>
        <w:numPr>
          <w:ilvl w:val="0"/>
          <w:numId w:val="1043"/>
        </w:numPr>
        <w:pStyle w:val="Compact"/>
      </w:pPr>
      <w:r>
        <w:t xml:space="preserve">No existe fuente estructurada de inversión efectivamente desembolsada: la inversión aprobada es lo más cercano al hecho, y se declara como tal.</w:t>
      </w:r>
    </w:p>
    <w:p>
      <w:pPr>
        <w:numPr>
          <w:ilvl w:val="0"/>
          <w:numId w:val="1043"/>
        </w:numPr>
        <w:pStyle w:val="Compact"/>
      </w:pPr>
      <w:r>
        <w:t xml:space="preserve">El denominador salta con cada anuncio grande en evaluación: el avance puede bajar sin que nada empeore.</w:t>
      </w:r>
    </w:p>
    <w:p>
      <w:pPr>
        <w:numPr>
          <w:ilvl w:val="0"/>
          <w:numId w:val="1043"/>
        </w:numPr>
        <w:pStyle w:val="Compact"/>
      </w:pPr>
      <w:r>
        <w:t xml:space="preserve">Depende de que la planilla oficial siga pública y con el mismo esquema (ya cambió una vez y la lectura se adaptó).</w:t>
      </w:r>
    </w:p>
    <w:bookmarkEnd w:id="121"/>
    <w:bookmarkStart w:id="122" w:name="X0ca14a0d10aa77334bfd7717b8d9d79e39debb4"/>
    <w:p>
      <w:pPr>
        <w:pStyle w:val="Heading2"/>
        <w:keepNext/>
      </w:pPr>
      <w:r>
        <w:t xml:space="preserve">Si falta el dato / Política de revisiones</w:t>
      </w:r>
    </w:p>
    <w:p>
      <w:pPr>
        <w:numPr>
          <w:ilvl w:val="0"/>
          <w:numId w:val="1044"/>
        </w:numPr>
      </w:pPr>
      <w:r>
        <w:rPr>
          <w:bCs/>
          <w:b/>
        </w:rPr>
        <w:t xml:space="preserve">Si falta el dato:</w:t>
      </w:r>
      <w:r>
        <w:t xml:space="preserve"> </w:t>
      </w:r>
      <w:r>
        <w:t xml:space="preserve">Con la plataforma caída, cae a una aproximación por conteo de resoluciones oficiales (marcada como desactualizada); agotado eso, se mantiene el último valor disponible y los pesos se renormalizan.</w:t>
      </w:r>
    </w:p>
    <w:p>
      <w:pPr>
        <w:numPr>
          <w:ilvl w:val="0"/>
          <w:numId w:val="1044"/>
        </w:numPr>
      </w:pPr>
      <w:r>
        <w:rPr>
          <w:bCs/>
          <w:b/>
        </w:rPr>
        <w:t xml:space="preserve">Política de revisiones:</w:t>
      </w:r>
      <w:r>
        <w:t xml:space="preserve"> </w:t>
      </w:r>
      <w:r>
        <w:t xml:space="preserve">La plataforma se actualiza sin registro de cambios; las fechas de aprobación quedan fijadas con su norma.</w:t>
      </w:r>
    </w:p>
    <w:bookmarkEnd w:id="122"/>
    <w:bookmarkStart w:id="123" w:name="Xc4c5e47252ec9282a3f09a2ac20eb324c30e392"/>
    <w:p>
      <w:pPr>
        <w:pStyle w:val="Heading2"/>
        <w:keepNext/>
      </w:pPr>
      <w:r>
        <w:t xml:space="preserve">Historial — cambios metodológicos documentados</w:t>
      </w:r>
    </w:p>
    <w:p>
      <w:pPr>
        <w:pStyle w:val="FirstParagraph"/>
      </w:pPr>
      <w:r>
        <w:rPr>
          <w:bCs/>
          <w:b/>
        </w:rPr>
        <w:t xml:space="preserve">2026-05</w:t>
      </w:r>
      <w:r>
        <w:t xml:space="preserve"> </w:t>
      </w:r>
      <w:r>
        <w:t xml:space="preserve">— Versión inicial por conteo de resoluciones (aproximación).</w:t>
      </w:r>
    </w:p>
    <w:p>
      <w:pPr>
        <w:pStyle w:val="BodyText"/>
      </w:pPr>
      <w:r>
        <w:rPr>
          <w:bCs/>
          <w:b/>
        </w:rPr>
        <w:t xml:space="preserve">2026-06-30</w:t>
      </w:r>
      <w:r>
        <w:t xml:space="preserve"> </w:t>
      </w:r>
      <w:r>
        <w:t xml:space="preserve">— Pasa a la plataforma oficial del Ministerio de Economía: inversión aprobada sobre la cartera total, con montos reales.</w:t>
      </w:r>
    </w:p>
    <w:p>
      <w:pPr>
        <w:pStyle w:val="BodyText"/>
      </w:pPr>
      <w:r>
        <w:rPr>
          <w:bCs/>
          <w:b/>
        </w:rPr>
        <w:t xml:space="preserve">2026-07-02</w:t>
      </w:r>
      <w:r>
        <w:t xml:space="preserve"> </w:t>
      </w:r>
      <w:r>
        <w:t xml:space="preserve">— Umbrales institucionales del ITCG; después, puntaje interpolado entre anclas.</w:t>
      </w:r>
    </w:p>
    <w:p>
      <w:r>
        <w:br w:type="page"/>
      </w:r>
    </w:p>
    <w:p>
      <w:pPr>
        <w:pStyle w:val="BodyText"/>
      </w:pPr>
      <w:r>
        <w:rPr>
          <w:bCs/>
          <w:b/>
        </w:rPr>
        <w:t xml:space="preserve">CIGOB · INFORME DE COYUNTURA</w:t>
      </w:r>
    </w:p>
    <w:p>
      <w:pPr>
        <w:pStyle w:val="BodyText"/>
      </w:pPr>
      <w:r>
        <w:rPr>
          <w:iCs/>
          <w:i/>
        </w:rPr>
        <w:t xml:space="preserve">Ficha metodológica · Cinturón Gestión · Capa de semáforo (4 colores)</w:t>
      </w:r>
    </w:p>
    <w:bookmarkEnd w:id="123"/>
    <w:bookmarkEnd w:id="124"/>
    <w:bookmarkStart w:id="134" w:name="concesiones-viales"/>
    <w:p>
      <w:pPr>
        <w:pStyle w:val="Heading1"/>
        <w:keepNext/>
      </w:pPr>
      <w:r>
        <w:t xml:space="preserve">Concesiones viales</w:t>
      </w:r>
    </w:p>
    <w:p>
      <w:pPr>
        <w:pStyle w:val="FirstParagraph"/>
      </w:pPr>
      <w:r>
        <w:t xml:space="preserve">Qué porcentaje de los kilómetros del plan de la Red Federal de Concesiones ya está adjudicado: el estado de cada proceso sale de CONTRAT.AR y el kilometraje por tramo de la página oficial de la RFC (16 tramos, ~9.100 km en 4 etapas).</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28,7 % de km adjudicados / km del plan (Red Federal de Concesiones)</w:t>
            </w:r>
            <w:r>
              <w:rPr>
                <w:sz w:val="18"/>
              </w:rPr>
              <w:t xml:space="preserve"> </w:t>
            </w:r>
            <w:r>
              <w:rPr>
                <w:sz w:val="18"/>
              </w:rPr>
              <w:t xml:space="preserve">(2026-08)</w:t>
            </w:r>
          </w:p>
        </w:tc>
        <w:tc>
          <w:tcPr>
            <w:shd w:val="clear" w:color="auto" w:fill="FEF3C7"/>
          </w:tcPr>
          <w:p>
            <w:pPr>
              <w:pStyle w:val="Compact"/>
              <w:jc w:val="center"/>
            </w:pPr>
            <w:r>
              <w:rPr>
                <w:bCs/>
                <w:b/>
                <w:sz w:val="18"/>
                <w:color w:val="713F12"/>
              </w:rPr>
              <w:t xml:space="preserve">AMARILLO</w:t>
            </w:r>
          </w:p>
        </w:tc>
        <w:tc>
          <w:p>
            <w:pPr>
              <w:pStyle w:val="Compact"/>
              <w:jc w:val="left"/>
            </w:pPr>
            <w:r>
              <w:rPr>
                <w:sz w:val="18"/>
              </w:rPr>
              <w:t xml:space="preserve">Peso efectivo 3 % del ITCG</w:t>
            </w:r>
          </w:p>
        </w:tc>
        <w:tc>
          <w:p>
            <w:pPr>
              <w:pStyle w:val="Compact"/>
              <w:jc w:val="left"/>
            </w:pPr>
            <w:r>
              <w:rPr>
                <w:sz w:val="18"/>
              </w:rPr>
              <w:t xml:space="preserve">Cinturón Gestión</w:t>
            </w:r>
          </w:p>
        </w:tc>
      </w:tr>
    </w:tbl>
    <w:bookmarkStart w:id="125" w:name="identificación-10"/>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concesiones_infraestructura</w:t>
            </w:r>
          </w:p>
        </w:tc>
        <w:tc>
          <w:p>
            <w:pPr>
              <w:pStyle w:val="Compact"/>
              <w:jc w:val="left"/>
            </w:pPr>
            <w:r>
              <w:rPr>
                <w:bCs/>
                <w:b/>
                <w:sz w:val="18"/>
              </w:rPr>
              <w:t xml:space="preserve">CINTURÓN</w:t>
            </w:r>
          </w:p>
        </w:tc>
        <w:tc>
          <w:p>
            <w:pPr>
              <w:pStyle w:val="Compact"/>
              <w:jc w:val="left"/>
            </w:pPr>
            <w:r>
              <w:rPr>
                <w:sz w:val="18"/>
              </w:rPr>
              <w:t xml:space="preserve">Gestión</w:t>
            </w:r>
          </w:p>
        </w:tc>
      </w:tr>
      <w:tr>
        <w:trPr>
          <w:cantSplit/>
        </w:trPr>
        <w:tc>
          <w:p>
            <w:pPr>
              <w:pStyle w:val="Compact"/>
              <w:jc w:val="left"/>
            </w:pPr>
            <w:r>
              <w:rPr>
                <w:bCs/>
                <w:b/>
                <w:sz w:val="18"/>
              </w:rPr>
              <w:t xml:space="preserve">DIMENSIÓN EN EL ITCG</w:t>
            </w:r>
          </w:p>
        </w:tc>
        <w:tc>
          <w:p>
            <w:pPr>
              <w:pStyle w:val="Compact"/>
              <w:jc w:val="left"/>
            </w:pPr>
            <w:r>
              <w:rPr>
                <w:sz w:val="18"/>
              </w:rPr>
              <w:t xml:space="preserve">Privatizaciones e inversión</w:t>
            </w:r>
          </w:p>
        </w:tc>
        <w:tc>
          <w:p>
            <w:pPr>
              <w:pStyle w:val="Compact"/>
              <w:jc w:val="left"/>
            </w:pPr>
            <w:r>
              <w:rPr>
                <w:bCs/>
                <w:b/>
                <w:sz w:val="18"/>
              </w:rPr>
              <w:t xml:space="preserve">UNIDAD DE MEDIDA</w:t>
            </w:r>
          </w:p>
        </w:tc>
        <w:tc>
          <w:p>
            <w:pPr>
              <w:pStyle w:val="Compact"/>
              <w:jc w:val="left"/>
            </w:pPr>
            <w:r>
              <w:rPr>
                <w:sz w:val="18"/>
              </w:rPr>
              <w:t xml:space="preserve">% de km adjudicados / km del plan (Red Federal de Concesiones)</w:t>
            </w:r>
          </w:p>
        </w:tc>
      </w:tr>
      <w:tr>
        <w:trPr>
          <w:cantSplit/>
        </w:trPr>
        <w:tc>
          <w:p>
            <w:pPr>
              <w:pStyle w:val="Compact"/>
              <w:jc w:val="left"/>
            </w:pPr>
            <w:r>
              <w:rPr>
                <w:bCs/>
                <w:b/>
                <w:sz w:val="18"/>
              </w:rPr>
              <w:t xml:space="preserve">SERIE DISPONIBLE</w:t>
            </w:r>
          </w:p>
        </w:tc>
        <w:tc>
          <w:p>
            <w:pPr>
              <w:pStyle w:val="Compact"/>
              <w:jc w:val="left"/>
            </w:pPr>
            <w:r>
              <w:rPr>
                <w:sz w:val="18"/>
              </w:rPr>
              <w:t xml:space="preserve">2023-12 → 2026-08 (33 puntos)</w:t>
            </w:r>
          </w:p>
        </w:tc>
        <w:tc>
          <w:p>
            <w:pPr>
              <w:pStyle w:val="Compact"/>
              <w:jc w:val="left"/>
            </w:pPr>
            <w:r>
              <w:rPr>
                <w:bCs/>
                <w:b/>
                <w:sz w:val="18"/>
              </w:rPr>
              <w:t xml:space="preserve">REZAGO DE PUBLICACIÓN</w:t>
            </w:r>
          </w:p>
        </w:tc>
        <w:tc>
          <w:p>
            <w:pPr>
              <w:pStyle w:val="Compact"/>
              <w:jc w:val="left"/>
            </w:pPr>
            <w:r>
              <w:rPr>
                <w:sz w:val="18"/>
              </w:rPr>
              <w:t xml:space="preserve">Sin rezago: estado del portal de contrataciones al día de la actualización.</w:t>
            </w:r>
          </w:p>
        </w:tc>
      </w:tr>
      <w:tr>
        <w:trPr>
          <w:cantSplit/>
        </w:trPr>
        <w:tc>
          <w:p>
            <w:pPr>
              <w:pStyle w:val="Compact"/>
              <w:jc w:val="left"/>
            </w:pPr>
            <w:r>
              <w:rPr>
                <w:bCs/>
                <w:b/>
                <w:sz w:val="18"/>
              </w:rPr>
              <w:t xml:space="preserve">PRODUCTOR DEL DATO</w:t>
            </w:r>
          </w:p>
        </w:tc>
        <w:tc>
          <w:p>
            <w:pPr>
              <w:pStyle w:val="Compact"/>
              <w:jc w:val="left"/>
            </w:pPr>
            <w:r>
              <w:rPr>
                <w:sz w:val="18"/>
              </w:rPr>
              <w:t xml:space="preserve">CONTRAT.AR (portal oficial de contrataciones) + Vialidad Nacional (página de la Red Federal de Concesiones)</w:t>
            </w:r>
          </w:p>
        </w:tc>
        <w:tc>
          <w:p>
            <w:pPr>
              <w:pStyle w:val="Compact"/>
              <w:jc w:val="left"/>
            </w:pPr>
            <w:r>
              <w:rPr>
                <w:bCs/>
                <w:b/>
                <w:sz w:val="18"/>
              </w:rPr>
              <w:t xml:space="preserve">OPERACIÓN ESTADÍSTICA</w:t>
            </w:r>
          </w:p>
        </w:tc>
        <w:tc>
          <w:p>
            <w:pPr>
              <w:pStyle w:val="Compact"/>
              <w:jc w:val="left"/>
            </w:pPr>
            <w:r>
              <w:rPr>
                <w:sz w:val="18"/>
              </w:rPr>
              <w:t xml:space="preserve">Tasa de adjudicación de la Red Federal de Concesiones, en kilómetros: km bajo concesión adjudicada sobre km totales del plan</w:t>
            </w:r>
          </w:p>
        </w:tc>
      </w:tr>
      <w:tr>
        <w:trPr>
          <w:cantSplit/>
        </w:trPr>
        <w:tc>
          <w:p>
            <w:pPr>
              <w:pStyle w:val="Compact"/>
              <w:jc w:val="left"/>
            </w:pPr>
            <w:r>
              <w:rPr>
                <w:bCs/>
                <w:b/>
                <w:sz w:val="18"/>
              </w:rPr>
              <w:t xml:space="preserve">MODO DE ACCESO</w:t>
            </w:r>
          </w:p>
        </w:tc>
        <w:tc>
          <w:p>
            <w:pPr>
              <w:pStyle w:val="Compact"/>
              <w:jc w:val="left"/>
            </w:pPr>
            <w:r>
              <w:rPr>
                <w:sz w:val="18"/>
              </w:rPr>
              <w:t xml:space="preserve">Automático: el estado de cada proceso licitatorio se lee de CONTRAT.AR (búsqueda pública, sin usuario) y el kilometraje por etapa de la página oficial de la Red.</w:t>
            </w:r>
          </w:p>
        </w:tc>
        <w:tc>
          <w:p>
            <w:pPr>
              <w:pStyle w:val="Compact"/>
              <w:jc w:val="left"/>
            </w:pPr>
            <w:r>
              <w:rPr>
                <w:bCs/>
                <w:b/>
                <w:sz w:val="18"/>
              </w:rPr>
              <w:t xml:space="preserve">ÚLTIMA ACTUALIZACIÓN</w:t>
            </w:r>
          </w:p>
        </w:tc>
        <w:tc>
          <w:p>
            <w:pPr>
              <w:pStyle w:val="Compact"/>
              <w:jc w:val="left"/>
            </w:pPr>
            <w:r>
              <w:rPr>
                <w:sz w:val="18"/>
              </w:rPr>
              <w:t xml:space="preserve">Dato a 2026-08 · informe generado el 2026-08-09</w:t>
            </w:r>
          </w:p>
        </w:tc>
      </w:tr>
    </w:tbl>
    <w:bookmarkEnd w:id="125"/>
    <w:bookmarkStart w:id="126" w:name="definición-qué-mide-y-por-qué-importa-10"/>
    <w:p>
      <w:pPr>
        <w:pStyle w:val="Heading2"/>
        <w:keepNext/>
      </w:pPr>
      <w:r>
        <w:t xml:space="preserve">Definición — qué mide y por qué importa</w:t>
      </w:r>
    </w:p>
    <w:p>
      <w:pPr>
        <w:pStyle w:val="FirstParagraph"/>
      </w:pPr>
      <w:r>
        <w:t xml:space="preserve">Qué porcentaje de los kilómetros del plan de la Red Federal de Concesiones ya está adjudicado: el estado de cada proceso sale de CONTRAT.AR y el kilometraje por tramo de la página oficial de la RFC (16 tramos, ~9.100 km en 4 etapas).</w:t>
      </w:r>
    </w:p>
    <w:p>
      <w:pPr>
        <w:pStyle w:val="BodyText"/>
      </w:pPr>
      <w:r>
        <w:t xml:space="preserve">Mide con actos administrativos —no anuncios— si el traspaso de la red vial al sector privado avanza: una etapa cuenta recién cuando su licitación figura Adjudicada en el sistema de contrataciones.</w:t>
      </w:r>
    </w:p>
    <w:p>
      <w:pPr>
        <w:pStyle w:val="BodyText"/>
      </w:pPr>
      <w:r>
        <w:rPr>
          <w:bCs/>
          <w:b/>
        </w:rPr>
        <w:t xml:space="preserve">Dimensión que integra — Privatizaciones e inversión.</w:t>
      </w:r>
      <w:r>
        <w:t xml:space="preserve"> </w:t>
      </w:r>
      <w:r>
        <w:t xml:space="preserve">Los activos del Estado y la inversión privada grande: privatizaciones, cartera del RIGI y concesiones viales.</w:t>
      </w:r>
    </w:p>
    <w:bookmarkEnd w:id="126"/>
    <w:bookmarkStart w:id="127" w:name="método-de-cómputo-10"/>
    <w:p>
      <w:pPr>
        <w:pStyle w:val="Heading2"/>
        <w:keepNext/>
      </w:pPr>
      <w:r>
        <w:t xml:space="preserve">Método de cómputo</w:t>
      </w:r>
    </w:p>
    <w:p>
      <w:pPr>
        <w:numPr>
          <w:ilvl w:val="0"/>
          <w:numId w:val="1045"/>
        </w:numPr>
        <w:pStyle w:val="Compact"/>
      </w:pPr>
      <w:r>
        <w:t xml:space="preserve">Una etapa cuenta con el 100% de sus kilómetros cuando su proceso figura adjudicado.</w:t>
      </w:r>
    </w:p>
    <w:p>
      <w:pPr>
        <w:numPr>
          <w:ilvl w:val="0"/>
          <w:numId w:val="1045"/>
        </w:numPr>
        <w:pStyle w:val="Compact"/>
      </w:pPr>
      <w:r>
        <w:t xml:space="preserve">La serie histórica es escalonada, por hitos de adjudicación fechados con su norma.</w:t>
      </w:r>
    </w:p>
    <w:bookmarkEnd w:id="127"/>
    <w:bookmarkStart w:id="128" w:name="Xfb29aba7f4cabebf712c4a7a435b3b78f3aa559"/>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pPr>
      <w:r>
        <w:rPr>
          <w:bCs/>
          <w:b/>
        </w:rPr>
        <w:t xml:space="preserve">Valores que definen cada color</w:t>
      </w:r>
    </w:p>
    <w:tbl>
      <w:tblPr>
        <w:tblStyle w:val="Table"/>
        <w:tblW w:type="pct" w:w="500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3960"/>
        <w:gridCol w:w="3960"/>
      </w:tblGrid>
      <w:tr>
        <w:trPr>
          <w:cantSplit/>
          <w:tblHeader/>
        </w:trPr>
        <w:tc>
          <w:tcPr>
            <w:shd w:val="clear" w:color="auto" w:fill="1F3A34"/>
          </w:tcPr>
          <w:p>
            <w:pPr>
              <w:pStyle w:val="Compact"/>
              <w:jc w:val="left"/>
            </w:pPr>
            <w:r>
              <w:rPr>
                <w:b/>
                <w:sz w:val="18"/>
                <w:color w:val="FFFFFF"/>
              </w:rPr>
              <w:t xml:space="preserve">Rango (% de km adjudicados / km del plan (Red Federal de Concesiones))</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 41</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25 – 41</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18,33 – 25</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 18,33</w:t>
            </w:r>
          </w:p>
        </w:tc>
        <w:tc>
          <w:tcPr>
            <w:shd w:val="clear" w:color="auto" w:fill="FEE2E2"/>
          </w:tcPr>
          <w:p>
            <w:pPr>
              <w:pStyle w:val="Compact"/>
              <w:jc w:val="center"/>
            </w:pPr>
            <w:r>
              <w:rPr>
                <w:b/>
                <w:sz w:val="18"/>
                <w:color w:val="7F1D1D"/>
              </w:rPr>
              <w:t xml:space="preserve">ROJO</w:t>
            </w:r>
          </w:p>
        </w:tc>
      </w:tr>
    </w:tbl>
    <w:bookmarkEnd w:id="128"/>
    <w:bookmarkStart w:id="129" w:name="datos-concretos-detrás-del-valor-10"/>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46"/>
        </w:numPr>
        <w:pStyle w:val="Compact"/>
      </w:pPr>
      <w:r>
        <w:t xml:space="preserve">2.614 de 9.091 km adjudicados · I: Adjudicado · II-B: Disponible Para Adjudicar · II: Adjudicado · III: Preadjudicado</w:t>
      </w:r>
    </w:p>
    <w:bookmarkEnd w:id="129"/>
    <w:bookmarkStart w:id="130" w:name="color-vigente-y-por-qué-10"/>
    <w:p>
      <w:pPr>
        <w:pStyle w:val="Heading2"/>
        <w:keepNext/>
      </w:pPr>
      <w:r>
        <w:t xml:space="preserve">Color vigente y por qué</w:t>
      </w:r>
    </w:p>
    <w:p>
      <w:pPr>
        <w:pStyle w:val="FirstParagraph"/>
      </w:pPr>
      <w:r>
        <w:t xml:space="preserve">Dato vigente: 28,7 % de km adjudicados / km del plan (Red Federal de Concesiones) (2026-08).</w:t>
      </w:r>
    </w:p>
    <w:p>
      <w:pPr>
        <w:pStyle w:val="BodyText"/>
      </w:pPr>
      <w:r>
        <w:t xml:space="preserve">28,7 % de km adjudicados / km del plan (Red Federal de Concesiones) cae en el tramo que corresponde a Amarillo, a 3,7 del corte más cercano.</w:t>
      </w:r>
    </w:p>
    <w:p>
      <w:pPr>
        <w:pStyle w:val="BodyText"/>
      </w:pPr>
      <w:r>
        <w:rPr>
          <w:bCs/>
          <w:b/>
        </w:rPr>
        <w:t xml:space="preserve">Color vigente: AMARILLO</w:t>
      </w:r>
    </w:p>
    <w:p>
      <w:pPr>
        <w:pStyle w:val="BodyText"/>
      </w:pPr>
      <w:r>
        <w:t xml:space="preserve">Ponderación vigente en el ITCG: 3 % efectivo. El color es una lectura adicional — no reemplaza ni cambia esta ponderación.</w:t>
      </w:r>
    </w:p>
    <w:bookmarkEnd w:id="130"/>
    <w:bookmarkStart w:id="131" w:name="transparencia-limitaciones-declaradas-10"/>
    <w:p>
      <w:pPr>
        <w:pStyle w:val="Heading2"/>
        <w:keepNext/>
      </w:pPr>
      <w:r>
        <w:t xml:space="preserve">Transparencia — limitaciones declaradas</w:t>
      </w:r>
    </w:p>
    <w:p>
      <w:pPr>
        <w:numPr>
          <w:ilvl w:val="0"/>
          <w:numId w:val="1047"/>
        </w:numPr>
        <w:pStyle w:val="Compact"/>
      </w:pPr>
      <w:r>
        <w:t xml:space="preserve">Las etapas que adjudican por renglones cuentan hoy solo al cierre total: refinamiento pendiente declarado.</w:t>
      </w:r>
    </w:p>
    <w:p>
      <w:pPr>
        <w:numPr>
          <w:ilvl w:val="0"/>
          <w:numId w:val="1047"/>
        </w:numPr>
        <w:pStyle w:val="Compact"/>
      </w:pPr>
      <w:r>
        <w:t xml:space="preserve">Binario por etapa: 0 o 100% de sus kilómetros.</w:t>
      </w:r>
    </w:p>
    <w:p>
      <w:pPr>
        <w:numPr>
          <w:ilvl w:val="0"/>
          <w:numId w:val="1047"/>
        </w:numPr>
        <w:pStyle w:val="Compact"/>
      </w:pPr>
      <w:r>
        <w:t xml:space="preserve">Depende de dos lecturas de páginas oficiales: un rediseño de cualquiera de las dos interrumpe el dato hasta adaptarlo.</w:t>
      </w:r>
    </w:p>
    <w:bookmarkEnd w:id="131"/>
    <w:bookmarkStart w:id="132" w:name="Xf65b40f3e12a517bfafe6b61886253a31c0106d"/>
    <w:p>
      <w:pPr>
        <w:pStyle w:val="Heading2"/>
        <w:keepNext/>
      </w:pPr>
      <w:r>
        <w:t xml:space="preserve">Si falta el dato / Política de revisiones</w:t>
      </w:r>
    </w:p>
    <w:p>
      <w:pPr>
        <w:numPr>
          <w:ilvl w:val="0"/>
          <w:numId w:val="1048"/>
        </w:numPr>
      </w:pPr>
      <w:r>
        <w:rPr>
          <w:bCs/>
          <w:b/>
        </w:rPr>
        <w:t xml:space="preserve">Si falta el dato:</w:t>
      </w:r>
      <w:r>
        <w:t xml:space="preserve"> </w:t>
      </w:r>
      <w:r>
        <w:t xml:space="preserve">Con los portales caídos, cae al valor de respaldo documentado con fecha; agotado eso, se mantiene el último valor disponible y los pesos se renormalizan.</w:t>
      </w:r>
    </w:p>
    <w:p>
      <w:pPr>
        <w:numPr>
          <w:ilvl w:val="0"/>
          <w:numId w:val="1048"/>
        </w:numPr>
      </w:pPr>
      <w:r>
        <w:rPr>
          <w:bCs/>
          <w:b/>
        </w:rPr>
        <w:t xml:space="preserve">Política de revisiones:</w:t>
      </w:r>
      <w:r>
        <w:t xml:space="preserve"> </w:t>
      </w:r>
      <w:r>
        <w:t xml:space="preserve">Los kilómetros por etapa se refrescan de la página oficial en cada actualización; para las adjudicaciones manda la fecha del Boletín Oficial.</w:t>
      </w:r>
    </w:p>
    <w:bookmarkEnd w:id="132"/>
    <w:bookmarkStart w:id="133" w:name="Xc507494f83e44c325b7cca217ae571956777eab"/>
    <w:p>
      <w:pPr>
        <w:pStyle w:val="Heading2"/>
        <w:keepNext/>
      </w:pPr>
      <w:r>
        <w:t xml:space="preserve">Historial — cambios metodológicos documentados</w:t>
      </w:r>
    </w:p>
    <w:p>
      <w:pPr>
        <w:pStyle w:val="FirstParagraph"/>
      </w:pPr>
      <w:r>
        <w:rPr>
          <w:bCs/>
          <w:b/>
        </w:rPr>
        <w:t xml:space="preserve">2026-05</w:t>
      </w:r>
      <w:r>
        <w:t xml:space="preserve"> </w:t>
      </w:r>
      <w:r>
        <w:t xml:space="preserve">— Versión inicial como carga manual.</w:t>
      </w:r>
    </w:p>
    <w:p>
      <w:pPr>
        <w:pStyle w:val="BodyText"/>
      </w:pPr>
      <w:r>
        <w:rPr>
          <w:bCs/>
          <w:b/>
        </w:rPr>
        <w:t xml:space="preserve">2026-07-02</w:t>
      </w:r>
      <w:r>
        <w:t xml:space="preserve"> </w:t>
      </w:r>
      <w:r>
        <w:t xml:space="preserve">— Automatizado: estado por CONTRAT.AR y kilometraje por la página oficial de la Red, en km.</w:t>
      </w:r>
    </w:p>
    <w:p>
      <w:pPr>
        <w:pStyle w:val="BodyText"/>
      </w:pPr>
      <w:r>
        <w:rPr>
          <w:bCs/>
          <w:b/>
        </w:rPr>
        <w:t xml:space="preserve">2026-07-03</w:t>
      </w:r>
      <w:r>
        <w:t xml:space="preserve"> </w:t>
      </w:r>
      <w:r>
        <w:t xml:space="preserve">— Serie escalonada por hitos fechados. Puntaje interpolado entre anclas.</w:t>
      </w:r>
    </w:p>
    <w:p>
      <w:r>
        <w:br w:type="page"/>
      </w:r>
    </w:p>
    <w:p>
      <w:pPr>
        <w:pStyle w:val="BodyText"/>
      </w:pPr>
      <w:r>
        <w:rPr>
          <w:bCs/>
          <w:b/>
        </w:rPr>
        <w:t xml:space="preserve">CIGOB · INFORME DE COYUNTURA</w:t>
      </w:r>
    </w:p>
    <w:p>
      <w:pPr>
        <w:pStyle w:val="BodyText"/>
      </w:pPr>
      <w:r>
        <w:rPr>
          <w:iCs/>
          <w:i/>
        </w:rPr>
        <w:t xml:space="preserve">Ficha metodológica · Cinturón Gestión · Capa de semáforo (4 colores)</w:t>
      </w:r>
    </w:p>
    <w:bookmarkEnd w:id="133"/>
    <w:bookmarkEnd w:id="134"/>
    <w:bookmarkStart w:id="144" w:name="asistencia-directa-tdps"/>
    <w:p>
      <w:pPr>
        <w:pStyle w:val="Heading1"/>
        <w:keepNext/>
      </w:pPr>
      <w:r>
        <w:t xml:space="preserve">Asistencia directa (TDPS)</w:t>
      </w:r>
    </w:p>
    <w:p>
      <w:pPr>
        <w:pStyle w:val="FirstParagraph"/>
      </w:pPr>
      <w:r>
        <w:t xml:space="preserve">La Tasa de Desintermediación de Planes Sociales (TDPS): qué porcentaje del devengado de Volver al Trabajo y Acompañamiento Social se paga directo al beneficiario (partida 5.1.4, ayudas sociales a personas) sobre el total transferido, según la ejecución presupuestaria real.</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100 TDPS: % del gasto social pagado directo (sin intermediación)</w:t>
            </w:r>
            <w:r>
              <w:rPr>
                <w:sz w:val="18"/>
              </w:rPr>
              <w:t xml:space="preserve"> </w:t>
            </w:r>
            <w:r>
              <w:rPr>
                <w:sz w:val="18"/>
              </w:rPr>
              <w:t xml:space="preserve">(2026-08)</w:t>
            </w:r>
          </w:p>
        </w:tc>
        <w:tc>
          <w:tcPr>
            <w:shd w:val="clear" w:color="auto" w:fill="DCFCE7"/>
          </w:tcPr>
          <w:p>
            <w:pPr>
              <w:pStyle w:val="Compact"/>
              <w:jc w:val="center"/>
            </w:pPr>
            <w:r>
              <w:rPr>
                <w:bCs/>
                <w:b/>
                <w:sz w:val="18"/>
                <w:color w:val="14532D"/>
              </w:rPr>
              <w:t xml:space="preserve">VERDE</w:t>
            </w:r>
          </w:p>
        </w:tc>
        <w:tc>
          <w:p>
            <w:pPr>
              <w:pStyle w:val="Compact"/>
              <w:jc w:val="left"/>
            </w:pPr>
            <w:r>
              <w:rPr>
                <w:sz w:val="18"/>
              </w:rPr>
              <w:t xml:space="preserve">Peso efectivo 4 % del ITCG</w:t>
            </w:r>
          </w:p>
        </w:tc>
        <w:tc>
          <w:p>
            <w:pPr>
              <w:pStyle w:val="Compact"/>
              <w:jc w:val="left"/>
            </w:pPr>
            <w:r>
              <w:rPr>
                <w:sz w:val="18"/>
              </w:rPr>
              <w:t xml:space="preserve">Cinturón Gestión</w:t>
            </w:r>
          </w:p>
        </w:tc>
      </w:tr>
    </w:tbl>
    <w:bookmarkStart w:id="135" w:name="identificación-11"/>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asistencia_directa</w:t>
            </w:r>
          </w:p>
        </w:tc>
        <w:tc>
          <w:p>
            <w:pPr>
              <w:pStyle w:val="Compact"/>
              <w:jc w:val="left"/>
            </w:pPr>
            <w:r>
              <w:rPr>
                <w:bCs/>
                <w:b/>
                <w:sz w:val="18"/>
              </w:rPr>
              <w:t xml:space="preserve">CINTURÓN</w:t>
            </w:r>
          </w:p>
        </w:tc>
        <w:tc>
          <w:p>
            <w:pPr>
              <w:pStyle w:val="Compact"/>
              <w:jc w:val="left"/>
            </w:pPr>
            <w:r>
              <w:rPr>
                <w:sz w:val="18"/>
              </w:rPr>
              <w:t xml:space="preserve">Gestión</w:t>
            </w:r>
          </w:p>
        </w:tc>
      </w:tr>
      <w:tr>
        <w:trPr>
          <w:cantSplit/>
        </w:trPr>
        <w:tc>
          <w:p>
            <w:pPr>
              <w:pStyle w:val="Compact"/>
              <w:jc w:val="left"/>
            </w:pPr>
            <w:r>
              <w:rPr>
                <w:bCs/>
                <w:b/>
                <w:sz w:val="18"/>
              </w:rPr>
              <w:t xml:space="preserve">DIMENSIÓN EN EL ITCG</w:t>
            </w:r>
          </w:p>
        </w:tc>
        <w:tc>
          <w:p>
            <w:pPr>
              <w:pStyle w:val="Compact"/>
              <w:jc w:val="left"/>
            </w:pPr>
            <w:r>
              <w:rPr>
                <w:sz w:val="18"/>
              </w:rPr>
              <w:t xml:space="preserve">Reforma social y orden</w:t>
            </w:r>
          </w:p>
        </w:tc>
        <w:tc>
          <w:p>
            <w:pPr>
              <w:pStyle w:val="Compact"/>
              <w:jc w:val="left"/>
            </w:pPr>
            <w:r>
              <w:rPr>
                <w:bCs/>
                <w:b/>
                <w:sz w:val="18"/>
              </w:rPr>
              <w:t xml:space="preserve">UNIDAD DE MEDIDA</w:t>
            </w:r>
          </w:p>
        </w:tc>
        <w:tc>
          <w:p>
            <w:pPr>
              <w:pStyle w:val="Compact"/>
              <w:jc w:val="left"/>
            </w:pPr>
            <w:r>
              <w:rPr>
                <w:sz w:val="18"/>
              </w:rPr>
              <w:t xml:space="preserve">TDPS: % del gasto social pagado directo (sin intermediación)</w:t>
            </w:r>
          </w:p>
        </w:tc>
      </w:tr>
      <w:tr>
        <w:trPr>
          <w:cantSplit/>
        </w:trPr>
        <w:tc>
          <w:p>
            <w:pPr>
              <w:pStyle w:val="Compact"/>
              <w:jc w:val="left"/>
            </w:pPr>
            <w:r>
              <w:rPr>
                <w:bCs/>
                <w:b/>
                <w:sz w:val="18"/>
              </w:rPr>
              <w:t xml:space="preserve">SERIE DISPONIBLE</w:t>
            </w:r>
          </w:p>
        </w:tc>
        <w:tc>
          <w:p>
            <w:pPr>
              <w:pStyle w:val="Compact"/>
              <w:jc w:val="left"/>
            </w:pPr>
            <w:r>
              <w:rPr>
                <w:sz w:val="18"/>
              </w:rPr>
              <w:t xml:space="preserve">2023-01 → 2026-07 (40 puntos)</w:t>
            </w:r>
          </w:p>
        </w:tc>
        <w:tc>
          <w:p>
            <w:pPr>
              <w:pStyle w:val="Compact"/>
              <w:jc w:val="left"/>
            </w:pPr>
            <w:r>
              <w:rPr>
                <w:bCs/>
                <w:b/>
                <w:sz w:val="18"/>
              </w:rPr>
              <w:t xml:space="preserve">REZAGO DE PUBLICACIÓN</w:t>
            </w:r>
          </w:p>
        </w:tc>
        <w:tc>
          <w:p>
            <w:pPr>
              <w:pStyle w:val="Compact"/>
              <w:jc w:val="left"/>
            </w:pPr>
            <w:r>
              <w:rPr>
                <w:sz w:val="18"/>
              </w:rPr>
              <w:t xml:space="preserve">Semanas: el devengado del ejercicio corriente se carga de forma continua.</w:t>
            </w:r>
          </w:p>
        </w:tc>
      </w:tr>
      <w:tr>
        <w:trPr>
          <w:cantSplit/>
        </w:trPr>
        <w:tc>
          <w:p>
            <w:pPr>
              <w:pStyle w:val="Compact"/>
              <w:jc w:val="left"/>
            </w:pPr>
            <w:r>
              <w:rPr>
                <w:bCs/>
                <w:b/>
                <w:sz w:val="18"/>
              </w:rPr>
              <w:t xml:space="preserve">PRODUCTOR DEL DATO</w:t>
            </w:r>
          </w:p>
        </w:tc>
        <w:tc>
          <w:p>
            <w:pPr>
              <w:pStyle w:val="Compact"/>
              <w:jc w:val="left"/>
            </w:pPr>
            <w:r>
              <w:rPr>
                <w:sz w:val="18"/>
              </w:rPr>
              <w:t xml:space="preserve">Secretaría de Hacienda — Presupuesto Abierto</w:t>
            </w:r>
          </w:p>
        </w:tc>
        <w:tc>
          <w:p>
            <w:pPr>
              <w:pStyle w:val="Compact"/>
              <w:jc w:val="left"/>
            </w:pPr>
            <w:r>
              <w:rPr>
                <w:bCs/>
                <w:b/>
                <w:sz w:val="18"/>
              </w:rPr>
              <w:t xml:space="preserve">OPERACIÓN ESTADÍSTICA</w:t>
            </w:r>
          </w:p>
        </w:tc>
        <w:tc>
          <w:p>
            <w:pPr>
              <w:pStyle w:val="Compact"/>
              <w:jc w:val="left"/>
            </w:pPr>
            <w:r>
              <w:rPr>
                <w:sz w:val="18"/>
              </w:rPr>
              <w:t xml:space="preserve">TDPS — tasa de desintermediación de los planes sociales: porcentaje del gasto de los programas de empleo y acompañamiento pagado directo a personas, sin organizaciones intermediarias</w:t>
            </w:r>
          </w:p>
        </w:tc>
      </w:tr>
      <w:tr>
        <w:trPr>
          <w:cantSplit/>
        </w:trPr>
        <w:tc>
          <w:p>
            <w:pPr>
              <w:pStyle w:val="Compact"/>
              <w:jc w:val="left"/>
            </w:pPr>
            <w:r>
              <w:rPr>
                <w:bCs/>
                <w:b/>
                <w:sz w:val="18"/>
              </w:rPr>
              <w:t xml:space="preserve">MODO DE ACCESO</w:t>
            </w:r>
          </w:p>
        </w:tc>
        <w:tc>
          <w:p>
            <w:pPr>
              <w:pStyle w:val="Compact"/>
              <w:jc w:val="left"/>
            </w:pPr>
            <w:r>
              <w:rPr>
                <w:sz w:val="18"/>
              </w:rPr>
              <w:t xml:space="preserve">Automático: API oficial con credencial de acceso; la línea de base 2023 (ejercicio cerrado) se calculó una vez y quedó fijada.</w:t>
            </w:r>
          </w:p>
        </w:tc>
        <w:tc>
          <w:p>
            <w:pPr>
              <w:pStyle w:val="Compact"/>
              <w:jc w:val="left"/>
            </w:pPr>
            <w:r>
              <w:rPr>
                <w:bCs/>
                <w:b/>
                <w:sz w:val="18"/>
              </w:rPr>
              <w:t xml:space="preserve">ÚLTIMA ACTUALIZACIÓN</w:t>
            </w:r>
          </w:p>
        </w:tc>
        <w:tc>
          <w:p>
            <w:pPr>
              <w:pStyle w:val="Compact"/>
              <w:jc w:val="left"/>
            </w:pPr>
            <w:r>
              <w:rPr>
                <w:sz w:val="18"/>
              </w:rPr>
              <w:t xml:space="preserve">Dato a 2026-08 · informe generado el 2026-08-09</w:t>
            </w:r>
          </w:p>
        </w:tc>
      </w:tr>
    </w:tbl>
    <w:bookmarkEnd w:id="135"/>
    <w:bookmarkStart w:id="136" w:name="definición-qué-mide-y-por-qué-importa-11"/>
    <w:p>
      <w:pPr>
        <w:pStyle w:val="Heading2"/>
        <w:keepNext/>
      </w:pPr>
      <w:r>
        <w:t xml:space="preserve">Definición — qué mide y por qué importa</w:t>
      </w:r>
    </w:p>
    <w:p>
      <w:pPr>
        <w:pStyle w:val="FirstParagraph"/>
      </w:pPr>
      <w:r>
        <w:t xml:space="preserve">La Tasa de Desintermediación de Planes Sociales (TDPS): qué porcentaje del devengado de Volver al Trabajo y Acompañamiento Social se paga directo al beneficiario (partida 5.1.4, ayudas sociales a personas) sobre el total transferido, según la ejecución presupuestaria real.</w:t>
      </w:r>
    </w:p>
    <w:p>
      <w:pPr>
        <w:pStyle w:val="BodyText"/>
      </w:pPr>
      <w:r>
        <w:t xml:space="preserve">Verifica contra el presupuesto —no contra el anuncio— que el Decreto 198/2024 eliminó la intermediación de las Unidades de Gestión: en 2023 buena parte de la ayuda pasaba por organizaciones y cooperativas y el giro fue hacia el pago directo a las personas. Desintermediar y recortar son cosas distintas: esto mide solo lo primero.</w:t>
      </w:r>
    </w:p>
    <w:p>
      <w:pPr>
        <w:pStyle w:val="BodyText"/>
      </w:pPr>
      <w:r>
        <w:rPr>
          <w:bCs/>
          <w:b/>
        </w:rPr>
        <w:t xml:space="preserve">Dimensión que integra — Reforma social y orden.</w:t>
      </w:r>
      <w:r>
        <w:t xml:space="preserve"> </w:t>
      </w:r>
      <w:r>
        <w:t xml:space="preserve">La reforma social y el orden público: asistencia sin intermediarios (TDPS), protocolo antipiquetes y libertad de opción en salud.</w:t>
      </w:r>
    </w:p>
    <w:bookmarkEnd w:id="136"/>
    <w:bookmarkStart w:id="137" w:name="método-de-cómputo-11"/>
    <w:p>
      <w:pPr>
        <w:pStyle w:val="Heading2"/>
        <w:keepNext/>
      </w:pPr>
      <w:r>
        <w:t xml:space="preserve">Método de cómputo</w:t>
      </w:r>
    </w:p>
    <w:p>
      <w:pPr>
        <w:numPr>
          <w:ilvl w:val="0"/>
          <w:numId w:val="1049"/>
        </w:numPr>
        <w:pStyle w:val="Compact"/>
      </w:pPr>
      <w:r>
        <w:t xml:space="preserve">TDPS = 100 × devengado en «ayudas sociales a personas» / total de transferencias de los programas; el resto del inciso son fondos que llegan vía terceros (las «unidades de gestión» eliminadas por decreto en 2024).</w:t>
      </w:r>
    </w:p>
    <w:p>
      <w:pPr>
        <w:numPr>
          <w:ilvl w:val="0"/>
          <w:numId w:val="1049"/>
        </w:numPr>
        <w:pStyle w:val="Compact"/>
      </w:pPr>
      <w:r>
        <w:t xml:space="preserve">Línea de base 2023 (Potenciar Trabajo): 98,3% directo.</w:t>
      </w:r>
    </w:p>
    <w:bookmarkEnd w:id="137"/>
    <w:bookmarkStart w:id="138" w:name="X4b7f9d42ad5d49ec575647c9c43b05a66f437ec"/>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pPr>
      <w:r>
        <w:rPr>
          <w:bCs/>
          <w:b/>
        </w:rPr>
        <w:t xml:space="preserve">Valores que definen cada color</w:t>
      </w:r>
    </w:p>
    <w:tbl>
      <w:tblPr>
        <w:tblStyle w:val="Table"/>
        <w:tblW w:type="pct" w:w="500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3960"/>
        <w:gridCol w:w="3960"/>
      </w:tblGrid>
      <w:tr>
        <w:trPr>
          <w:cantSplit/>
          <w:tblHeader/>
        </w:trPr>
        <w:tc>
          <w:tcPr>
            <w:shd w:val="clear" w:color="auto" w:fill="1F3A34"/>
          </w:tcPr>
          <w:p>
            <w:pPr>
              <w:pStyle w:val="Compact"/>
              <w:jc w:val="left"/>
            </w:pPr>
            <w:r>
              <w:rPr>
                <w:b/>
                <w:sz w:val="18"/>
                <w:color w:val="FFFFFF"/>
              </w:rPr>
              <w:t xml:space="preserve">Rango (TDPS: % del gasto social pagado directo (sin intermediación))</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 67</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45 – 67</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35 – 45</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 35</w:t>
            </w:r>
          </w:p>
        </w:tc>
        <w:tc>
          <w:tcPr>
            <w:shd w:val="clear" w:color="auto" w:fill="FEE2E2"/>
          </w:tcPr>
          <w:p>
            <w:pPr>
              <w:pStyle w:val="Compact"/>
              <w:jc w:val="center"/>
            </w:pPr>
            <w:r>
              <w:rPr>
                <w:b/>
                <w:sz w:val="18"/>
                <w:color w:val="7F1D1D"/>
              </w:rPr>
              <w:t xml:space="preserve">ROJO</w:t>
            </w:r>
          </w:p>
        </w:tc>
      </w:tr>
    </w:tbl>
    <w:bookmarkEnd w:id="138"/>
    <w:bookmarkStart w:id="139" w:name="datos-concretos-detrás-del-valor-11"/>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50"/>
        </w:numPr>
        <w:pStyle w:val="Compact"/>
      </w:pPr>
      <w:r>
        <w:t xml:space="preserve">Devengado 2026: $ 542.901M directo a personas (5.1.4) / $ 542.901M transferido · baseline Potenciar 2023: 98,3% (con $ 17.224M vía organizaciones)</w:t>
      </w:r>
    </w:p>
    <w:bookmarkEnd w:id="139"/>
    <w:bookmarkStart w:id="140" w:name="color-vigente-y-por-qué-11"/>
    <w:p>
      <w:pPr>
        <w:pStyle w:val="Heading2"/>
        <w:keepNext/>
      </w:pPr>
      <w:r>
        <w:t xml:space="preserve">Color vigente y por qué</w:t>
      </w:r>
    </w:p>
    <w:p>
      <w:pPr>
        <w:pStyle w:val="FirstParagraph"/>
      </w:pPr>
      <w:r>
        <w:t xml:space="preserve">Dato vigente: 100 TDPS: % del gasto social pagado directo (sin intermediación) (2026-08).</w:t>
      </w:r>
    </w:p>
    <w:p>
      <w:pPr>
        <w:pStyle w:val="BodyText"/>
      </w:pPr>
      <w:r>
        <w:t xml:space="preserve">100,0 TDPS: % del gasto social pagado directo (sin intermediación) cae en el tramo que corresponde a Verde, a 33,0 del corte más cercano.</w:t>
      </w:r>
    </w:p>
    <w:p>
      <w:pPr>
        <w:pStyle w:val="BodyText"/>
      </w:pPr>
      <w:r>
        <w:rPr>
          <w:bCs/>
          <w:b/>
        </w:rPr>
        <w:t xml:space="preserve">Color vigente: VERDE</w:t>
      </w:r>
    </w:p>
    <w:p>
      <w:pPr>
        <w:pStyle w:val="BodyText"/>
      </w:pPr>
      <w:r>
        <w:t xml:space="preserve">Ponderación vigente en el ITCG: 4 % efectivo. El color es una lectura adicional — no reemplaza ni cambia esta ponderación.</w:t>
      </w:r>
    </w:p>
    <w:bookmarkEnd w:id="140"/>
    <w:bookmarkStart w:id="141" w:name="transparencia-limitaciones-declaradas-11"/>
    <w:p>
      <w:pPr>
        <w:pStyle w:val="Heading2"/>
        <w:keepNext/>
      </w:pPr>
      <w:r>
        <w:t xml:space="preserve">Transparencia — limitaciones declaradas</w:t>
      </w:r>
    </w:p>
    <w:p>
      <w:pPr>
        <w:numPr>
          <w:ilvl w:val="0"/>
          <w:numId w:val="1051"/>
        </w:numPr>
        <w:pStyle w:val="Compact"/>
      </w:pPr>
      <w:r>
        <w:t xml:space="preserve">Advertencia metodológica declarada: desintermediar y recortar son promesas distintas — esto mide solo la primera.</w:t>
      </w:r>
    </w:p>
    <w:p>
      <w:pPr>
        <w:numPr>
          <w:ilvl w:val="0"/>
          <w:numId w:val="1051"/>
        </w:numPr>
        <w:pStyle w:val="Compact"/>
      </w:pPr>
      <w:r>
        <w:t xml:space="preserve">La base 2023 ya era 98,3%: el salto normativo fue puntual y el indicador está saturado cerca del máximo desde 2024 (decisión de rediseño abierta con CIGOB).</w:t>
      </w:r>
    </w:p>
    <w:p>
      <w:pPr>
        <w:numPr>
          <w:ilvl w:val="0"/>
          <w:numId w:val="1051"/>
        </w:numPr>
        <w:pStyle w:val="Compact"/>
      </w:pPr>
      <w:r>
        <w:t xml:space="preserve">Depende de que los nombres de los programas no cambien en el presupuesto.</w:t>
      </w:r>
    </w:p>
    <w:bookmarkEnd w:id="141"/>
    <w:bookmarkStart w:id="142" w:name="X4ff462a9d09394c6f7304e0055101f0f4b71003"/>
    <w:p>
      <w:pPr>
        <w:pStyle w:val="Heading2"/>
        <w:keepNext/>
      </w:pPr>
      <w:r>
        <w:t xml:space="preserve">Si falta el dato / Política de revisiones</w:t>
      </w:r>
    </w:p>
    <w:p>
      <w:pPr>
        <w:numPr>
          <w:ilvl w:val="0"/>
          <w:numId w:val="1052"/>
        </w:numPr>
      </w:pPr>
      <w:r>
        <w:rPr>
          <w:bCs/>
          <w:b/>
        </w:rPr>
        <w:t xml:space="preserve">Si falta el dato:</w:t>
      </w:r>
      <w:r>
        <w:t xml:space="preserve"> </w:t>
      </w:r>
      <w:r>
        <w:t xml:space="preserve">Sin acceso a la API, cae al valor de respaldo documentado (el decreto de 2024); agotado eso, se mantiene el último valor disponible y los pesos se renormalizan.</w:t>
      </w:r>
    </w:p>
    <w:p>
      <w:pPr>
        <w:numPr>
          <w:ilvl w:val="0"/>
          <w:numId w:val="1052"/>
        </w:numPr>
      </w:pPr>
      <w:r>
        <w:rPr>
          <w:bCs/>
          <w:b/>
        </w:rPr>
        <w:t xml:space="preserve">Política de revisiones:</w:t>
      </w:r>
      <w:r>
        <w:t xml:space="preserve"> </w:t>
      </w:r>
      <w:r>
        <w:t xml:space="preserve">El devengado del ejercicio corriente es acumulado en curso, revisable por definición; la base 2023 está congelada.</w:t>
      </w:r>
    </w:p>
    <w:bookmarkEnd w:id="142"/>
    <w:bookmarkStart w:id="143" w:name="X32af8005611dd896c50146a828f6519660aac81"/>
    <w:p>
      <w:pPr>
        <w:pStyle w:val="Heading2"/>
        <w:keepNext/>
      </w:pPr>
      <w:r>
        <w:t xml:space="preserve">Historial — cambios metodológicos documentados</w:t>
      </w:r>
    </w:p>
    <w:p>
      <w:pPr>
        <w:pStyle w:val="FirstParagraph"/>
      </w:pPr>
      <w:r>
        <w:rPr>
          <w:bCs/>
          <w:b/>
        </w:rPr>
        <w:t xml:space="preserve">2026-05</w:t>
      </w:r>
      <w:r>
        <w:t xml:space="preserve"> </w:t>
      </w:r>
      <w:r>
        <w:t xml:space="preserve">— Versión inicial como carga manual (porcentaje de beneficiarios que cobra directo).</w:t>
      </w:r>
    </w:p>
    <w:p>
      <w:pPr>
        <w:pStyle w:val="BodyText"/>
      </w:pPr>
      <w:r>
        <w:rPr>
          <w:bCs/>
          <w:b/>
        </w:rPr>
        <w:t xml:space="preserve">2026-07-02</w:t>
      </w:r>
      <w:r>
        <w:t xml:space="preserve"> </w:t>
      </w:r>
      <w:r>
        <w:t xml:space="preserve">— Pasa a la tasa real contra la ejecución presupuestaria, con línea de base 2023 verificada.</w:t>
      </w:r>
    </w:p>
    <w:p>
      <w:r>
        <w:br w:type="page"/>
      </w:r>
    </w:p>
    <w:p>
      <w:pPr>
        <w:pStyle w:val="BodyText"/>
      </w:pPr>
      <w:r>
        <w:rPr>
          <w:bCs/>
          <w:b/>
        </w:rPr>
        <w:t xml:space="preserve">CIGOB · INFORME DE COYUNTURA</w:t>
      </w:r>
    </w:p>
    <w:p>
      <w:pPr>
        <w:pStyle w:val="BodyText"/>
      </w:pPr>
      <w:r>
        <w:rPr>
          <w:iCs/>
          <w:i/>
        </w:rPr>
        <w:t xml:space="preserve">Ficha metodológica · Cinturón Gestión · Capa de semáforo (4 colores)</w:t>
      </w:r>
    </w:p>
    <w:bookmarkEnd w:id="143"/>
    <w:bookmarkEnd w:id="144"/>
    <w:bookmarkStart w:id="154" w:name="orden-público-piquetes"/>
    <w:p>
      <w:pPr>
        <w:pStyle w:val="Heading1"/>
        <w:keepNext/>
      </w:pPr>
      <w:r>
        <w:t xml:space="preserve">Orden público (piquetes)</w:t>
      </w:r>
    </w:p>
    <w:p>
      <w:pPr>
        <w:pStyle w:val="FirstParagraph"/>
      </w:pPr>
      <w:r>
        <w:t xml:space="preserve">En qué porcentaje se redujeron los cortes de calle por manifestación en CABA respecto de 2023 (el distrito donde actúan las fuerzas federales y aplica el protocolo).</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74,2 % de reducción de cortes por manifestación en CABA vs 2023 (IRPC)</w:t>
            </w:r>
            <w:r>
              <w:rPr>
                <w:sz w:val="18"/>
              </w:rPr>
              <w:t xml:space="preserve"> </w:t>
            </w:r>
            <w:r>
              <w:rPr>
                <w:sz w:val="18"/>
              </w:rPr>
              <w:t xml:space="preserve">(2025-12)</w:t>
            </w:r>
          </w:p>
        </w:tc>
        <w:tc>
          <w:tcPr>
            <w:shd w:val="clear" w:color="auto" w:fill="DCFCE7"/>
          </w:tcPr>
          <w:p>
            <w:pPr>
              <w:pStyle w:val="Compact"/>
              <w:jc w:val="center"/>
            </w:pPr>
            <w:r>
              <w:rPr>
                <w:bCs/>
                <w:b/>
                <w:sz w:val="18"/>
                <w:color w:val="14532D"/>
              </w:rPr>
              <w:t xml:space="preserve">VERDE</w:t>
            </w:r>
          </w:p>
        </w:tc>
        <w:tc>
          <w:p>
            <w:pPr>
              <w:pStyle w:val="Compact"/>
              <w:jc w:val="left"/>
            </w:pPr>
            <w:r>
              <w:rPr>
                <w:sz w:val="18"/>
              </w:rPr>
              <w:t xml:space="preserve">Peso efectivo 4 % del ITCG</w:t>
            </w:r>
          </w:p>
        </w:tc>
        <w:tc>
          <w:p>
            <w:pPr>
              <w:pStyle w:val="Compact"/>
              <w:jc w:val="left"/>
            </w:pPr>
            <w:r>
              <w:rPr>
                <w:sz w:val="18"/>
              </w:rPr>
              <w:t xml:space="preserve">Cinturón Gestión</w:t>
            </w:r>
          </w:p>
        </w:tc>
      </w:tr>
    </w:tbl>
    <w:bookmarkStart w:id="145" w:name="identificación-12"/>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protocolo_antipiquetes</w:t>
            </w:r>
          </w:p>
        </w:tc>
        <w:tc>
          <w:p>
            <w:pPr>
              <w:pStyle w:val="Compact"/>
              <w:jc w:val="left"/>
            </w:pPr>
            <w:r>
              <w:rPr>
                <w:bCs/>
                <w:b/>
                <w:sz w:val="18"/>
              </w:rPr>
              <w:t xml:space="preserve">CINTURÓN</w:t>
            </w:r>
          </w:p>
        </w:tc>
        <w:tc>
          <w:p>
            <w:pPr>
              <w:pStyle w:val="Compact"/>
              <w:jc w:val="left"/>
            </w:pPr>
            <w:r>
              <w:rPr>
                <w:sz w:val="18"/>
              </w:rPr>
              <w:t xml:space="preserve">Gestión</w:t>
            </w:r>
          </w:p>
        </w:tc>
      </w:tr>
      <w:tr>
        <w:trPr>
          <w:cantSplit/>
        </w:trPr>
        <w:tc>
          <w:p>
            <w:pPr>
              <w:pStyle w:val="Compact"/>
              <w:jc w:val="left"/>
            </w:pPr>
            <w:r>
              <w:rPr>
                <w:bCs/>
                <w:b/>
                <w:sz w:val="18"/>
              </w:rPr>
              <w:t xml:space="preserve">DIMENSIÓN EN EL ITCG</w:t>
            </w:r>
          </w:p>
        </w:tc>
        <w:tc>
          <w:p>
            <w:pPr>
              <w:pStyle w:val="Compact"/>
              <w:jc w:val="left"/>
            </w:pPr>
            <w:r>
              <w:rPr>
                <w:sz w:val="18"/>
              </w:rPr>
              <w:t xml:space="preserve">Reforma social y orden</w:t>
            </w:r>
          </w:p>
        </w:tc>
        <w:tc>
          <w:p>
            <w:pPr>
              <w:pStyle w:val="Compact"/>
              <w:jc w:val="left"/>
            </w:pPr>
            <w:r>
              <w:rPr>
                <w:bCs/>
                <w:b/>
                <w:sz w:val="18"/>
              </w:rPr>
              <w:t xml:space="preserve">UNIDAD DE MEDIDA</w:t>
            </w:r>
          </w:p>
        </w:tc>
        <w:tc>
          <w:p>
            <w:pPr>
              <w:pStyle w:val="Compact"/>
              <w:jc w:val="left"/>
            </w:pPr>
            <w:r>
              <w:rPr>
                <w:sz w:val="18"/>
              </w:rPr>
              <w:t xml:space="preserve">% de reducción de cortes por manifestación en CABA vs 2023 (IRPC)</w:t>
            </w:r>
          </w:p>
        </w:tc>
      </w:tr>
      <w:tr>
        <w:trPr>
          <w:cantSplit/>
        </w:trPr>
        <w:tc>
          <w:p>
            <w:pPr>
              <w:pStyle w:val="Compact"/>
              <w:jc w:val="left"/>
            </w:pPr>
            <w:r>
              <w:rPr>
                <w:bCs/>
                <w:b/>
                <w:sz w:val="18"/>
              </w:rPr>
              <w:t xml:space="preserve">SERIE DISPONIBLE</w:t>
            </w:r>
          </w:p>
        </w:tc>
        <w:tc>
          <w:p>
            <w:pPr>
              <w:pStyle w:val="Compact"/>
              <w:jc w:val="left"/>
            </w:pPr>
            <w:r>
              <w:rPr>
                <w:sz w:val="18"/>
              </w:rPr>
              <w:t xml:space="preserve">2024-01 → 2026-07 (31 puntos)</w:t>
            </w:r>
          </w:p>
        </w:tc>
        <w:tc>
          <w:p>
            <w:pPr>
              <w:pStyle w:val="Compact"/>
              <w:jc w:val="left"/>
            </w:pPr>
            <w:r>
              <w:rPr>
                <w:bCs/>
                <w:b/>
                <w:sz w:val="18"/>
              </w:rPr>
              <w:t xml:space="preserve">REZAGO DE PUBLICACIÓN</w:t>
            </w:r>
          </w:p>
        </w:tc>
        <w:tc>
          <w:p>
            <w:pPr>
              <w:pStyle w:val="Compact"/>
              <w:jc w:val="left"/>
            </w:pPr>
            <w:r>
              <w:rPr>
                <w:sz w:val="18"/>
              </w:rPr>
              <w:t xml:space="preserve">Hasta un año: los anclajes públicos de la fuente son por año cerrado.</w:t>
            </w:r>
          </w:p>
        </w:tc>
      </w:tr>
      <w:tr>
        <w:trPr>
          <w:cantSplit/>
        </w:trPr>
        <w:tc>
          <w:p>
            <w:pPr>
              <w:pStyle w:val="Compact"/>
              <w:jc w:val="left"/>
            </w:pPr>
            <w:r>
              <w:rPr>
                <w:bCs/>
                <w:b/>
                <w:sz w:val="18"/>
              </w:rPr>
              <w:t xml:space="preserve">PRODUCTOR DEL DATO</w:t>
            </w:r>
          </w:p>
        </w:tc>
        <w:tc>
          <w:p>
            <w:pPr>
              <w:pStyle w:val="Compact"/>
              <w:jc w:val="left"/>
            </w:pPr>
            <w:r>
              <w:rPr>
                <w:sz w:val="18"/>
              </w:rPr>
              <w:t xml:space="preserve">Diagnóstico Político (consultora; relevamiento diario de cortes sobre más de cien medios desde 2009)</w:t>
            </w:r>
          </w:p>
        </w:tc>
        <w:tc>
          <w:p>
            <w:pPr>
              <w:pStyle w:val="Compact"/>
              <w:jc w:val="left"/>
            </w:pPr>
            <w:r>
              <w:rPr>
                <w:bCs/>
                <w:b/>
                <w:sz w:val="18"/>
              </w:rPr>
              <w:t xml:space="preserve">OPERACIÓN ESTADÍSTICA</w:t>
            </w:r>
          </w:p>
        </w:tc>
        <w:tc>
          <w:p>
            <w:pPr>
              <w:pStyle w:val="Compact"/>
              <w:jc w:val="left"/>
            </w:pPr>
            <w:r>
              <w:rPr>
                <w:sz w:val="18"/>
              </w:rPr>
              <w:t xml:space="preserve">Reducción porcentual de los cortes por manifestación en CABA contra 2023, con los anclajes anuales públicos de la fuente (2023: 931 · 2024: 440 · 2025: 240)</w:t>
            </w:r>
          </w:p>
        </w:tc>
      </w:tr>
      <w:tr>
        <w:trPr>
          <w:cantSplit/>
        </w:trPr>
        <w:tc>
          <w:p>
            <w:pPr>
              <w:pStyle w:val="Compact"/>
              <w:jc w:val="left"/>
            </w:pPr>
            <w:r>
              <w:rPr>
                <w:bCs/>
                <w:b/>
                <w:sz w:val="18"/>
              </w:rPr>
              <w:t xml:space="preserve">MODO DE ACCESO</w:t>
            </w:r>
          </w:p>
        </w:tc>
        <w:tc>
          <w:p>
            <w:pPr>
              <w:pStyle w:val="Compact"/>
              <w:jc w:val="left"/>
            </w:pPr>
            <w:r>
              <w:rPr>
                <w:sz w:val="18"/>
              </w:rPr>
              <w:t xml:space="preserve">Automático sobre un registro curado: los anclajes anuales se cargan con su fuente pública; un detector revisa la página de la consultora y avisa cuando aparece un año nuevo.</w:t>
            </w:r>
          </w:p>
        </w:tc>
        <w:tc>
          <w:p>
            <w:pPr>
              <w:pStyle w:val="Compact"/>
              <w:jc w:val="left"/>
            </w:pPr>
            <w:r>
              <w:rPr>
                <w:bCs/>
                <w:b/>
                <w:sz w:val="18"/>
              </w:rPr>
              <w:t xml:space="preserve">ÚLTIMA ACTUALIZACIÓN</w:t>
            </w:r>
          </w:p>
        </w:tc>
        <w:tc>
          <w:p>
            <w:pPr>
              <w:pStyle w:val="Compact"/>
              <w:jc w:val="left"/>
            </w:pPr>
            <w:r>
              <w:rPr>
                <w:sz w:val="18"/>
              </w:rPr>
              <w:t xml:space="preserve">Dato a 2025-12 · informe generado el 2026-08-09</w:t>
            </w:r>
          </w:p>
        </w:tc>
      </w:tr>
    </w:tbl>
    <w:bookmarkEnd w:id="145"/>
    <w:bookmarkStart w:id="146" w:name="definición-qué-mide-y-por-qué-importa-12"/>
    <w:p>
      <w:pPr>
        <w:pStyle w:val="Heading2"/>
        <w:keepNext/>
      </w:pPr>
      <w:r>
        <w:t xml:space="preserve">Definición — qué mide y por qué importa</w:t>
      </w:r>
    </w:p>
    <w:p>
      <w:pPr>
        <w:pStyle w:val="FirstParagraph"/>
      </w:pPr>
      <w:r>
        <w:t xml:space="preserve">En qué porcentaje se redujeron los cortes de calle por manifestación en CABA respecto de 2023 (el distrito donde actúan las fuerzas federales y aplica el protocolo).</w:t>
      </w:r>
    </w:p>
    <w:p>
      <w:pPr>
        <w:pStyle w:val="BodyText"/>
      </w:pPr>
      <w:r>
        <w:t xml:space="preserve">Mide el restablecimiento del orden público que prometió el Gobierno, donde le es atribuible. Fuente: los monitoreos de Diagnóstico Político, cuya definición de piquete coincide con la de la Resolución 943/23.</w:t>
      </w:r>
    </w:p>
    <w:p>
      <w:pPr>
        <w:pStyle w:val="BodyText"/>
      </w:pPr>
      <w:r>
        <w:rPr>
          <w:bCs/>
          <w:b/>
        </w:rPr>
        <w:t xml:space="preserve">Dimensión que integra — Reforma social y orden.</w:t>
      </w:r>
      <w:r>
        <w:t xml:space="preserve"> </w:t>
      </w:r>
      <w:r>
        <w:t xml:space="preserve">La reforma social y el orden público: asistencia sin intermediarios (TDPS), protocolo antipiquetes y libertad de opción en salud.</w:t>
      </w:r>
    </w:p>
    <w:bookmarkEnd w:id="146"/>
    <w:bookmarkStart w:id="147" w:name="método-de-cómputo-12"/>
    <w:p>
      <w:pPr>
        <w:pStyle w:val="Heading2"/>
        <w:keepNext/>
      </w:pPr>
      <w:r>
        <w:t xml:space="preserve">Método de cómputo</w:t>
      </w:r>
    </w:p>
    <w:p>
      <w:pPr>
        <w:numPr>
          <w:ilvl w:val="0"/>
          <w:numId w:val="1053"/>
        </w:numPr>
        <w:pStyle w:val="Compact"/>
      </w:pPr>
      <w:r>
        <w:t xml:space="preserve">Reducción = (1 − cortes del último año cerrado / cortes de 2023) × 100.</w:t>
      </w:r>
    </w:p>
    <w:p>
      <w:pPr>
        <w:numPr>
          <w:ilvl w:val="0"/>
          <w:numId w:val="1053"/>
        </w:numPr>
        <w:pStyle w:val="Compact"/>
      </w:pPr>
      <w:r>
        <w:t xml:space="preserve">La definición de piquete de la fuente coincide con la del protocolo oficial (Resolución 943/23).</w:t>
      </w:r>
    </w:p>
    <w:bookmarkEnd w:id="147"/>
    <w:bookmarkStart w:id="148" w:name="Xc4b49c3d9969b89bf56c0c7c0dc3d292940a05d"/>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pPr>
      <w:r>
        <w:rPr>
          <w:bCs/>
          <w:b/>
        </w:rPr>
        <w:t xml:space="preserve">Valores que definen cada color</w:t>
      </w:r>
    </w:p>
    <w:tbl>
      <w:tblPr>
        <w:tblStyle w:val="Table"/>
        <w:tblW w:type="pct" w:w="500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3960"/>
        <w:gridCol w:w="3960"/>
      </w:tblGrid>
      <w:tr>
        <w:trPr>
          <w:cantSplit/>
          <w:tblHeader/>
        </w:trPr>
        <w:tc>
          <w:tcPr>
            <w:shd w:val="clear" w:color="auto" w:fill="1F3A34"/>
          </w:tcPr>
          <w:p>
            <w:pPr>
              <w:pStyle w:val="Compact"/>
              <w:jc w:val="left"/>
            </w:pPr>
            <w:r>
              <w:rPr>
                <w:b/>
                <w:sz w:val="18"/>
                <w:color w:val="FFFFFF"/>
              </w:rPr>
              <w:t xml:space="preserve">Rango (% de reducción de cortes por manifestación en CABA vs 2023 (IRPC))</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 32,5</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12,5 – 32,5</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4,17 – 12,5</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 4,17</w:t>
            </w:r>
          </w:p>
        </w:tc>
        <w:tc>
          <w:tcPr>
            <w:shd w:val="clear" w:color="auto" w:fill="FEE2E2"/>
          </w:tcPr>
          <w:p>
            <w:pPr>
              <w:pStyle w:val="Compact"/>
              <w:jc w:val="center"/>
            </w:pPr>
            <w:r>
              <w:rPr>
                <w:b/>
                <w:sz w:val="18"/>
                <w:color w:val="7F1D1D"/>
              </w:rPr>
              <w:t xml:space="preserve">ROJO</w:t>
            </w:r>
          </w:p>
        </w:tc>
      </w:tr>
    </w:tbl>
    <w:bookmarkEnd w:id="148"/>
    <w:bookmarkStart w:id="149" w:name="datos-concretos-detrás-del-valor-12"/>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54"/>
        </w:numPr>
        <w:pStyle w:val="Compact"/>
      </w:pPr>
      <w:r>
        <w:t xml:space="preserve">240 cortes en CABA en 2025 vs 931 en 2023 (Diagnóstico Político; definición de piquete = Res. 943/23)</w:t>
      </w:r>
    </w:p>
    <w:bookmarkEnd w:id="149"/>
    <w:bookmarkStart w:id="150" w:name="color-vigente-y-por-qué-12"/>
    <w:p>
      <w:pPr>
        <w:pStyle w:val="Heading2"/>
        <w:keepNext/>
      </w:pPr>
      <w:r>
        <w:t xml:space="preserve">Color vigente y por qué</w:t>
      </w:r>
    </w:p>
    <w:p>
      <w:pPr>
        <w:pStyle w:val="FirstParagraph"/>
      </w:pPr>
      <w:r>
        <w:t xml:space="preserve">Dato vigente: 74,2 % de reducción de cortes por manifestación en CABA vs 2023 (IRPC) (2025-12).</w:t>
      </w:r>
    </w:p>
    <w:p>
      <w:pPr>
        <w:pStyle w:val="BodyText"/>
      </w:pPr>
      <w:r>
        <w:t xml:space="preserve">74,2 % de reducción de cortes por manifestación en CABA vs 2023 (IRPC) cae en el tramo que corresponde a Verde, a 41,7 del corte más cercano.</w:t>
      </w:r>
    </w:p>
    <w:p>
      <w:pPr>
        <w:pStyle w:val="BodyText"/>
      </w:pPr>
      <w:r>
        <w:rPr>
          <w:bCs/>
          <w:b/>
        </w:rPr>
        <w:t xml:space="preserve">Color vigente: VERDE</w:t>
      </w:r>
    </w:p>
    <w:p>
      <w:pPr>
        <w:pStyle w:val="BodyText"/>
      </w:pPr>
      <w:r>
        <w:t xml:space="preserve">Ponderación vigente en el ITCG: 4 % efectivo. El color es una lectura adicional — no reemplaza ni cambia esta ponderación.</w:t>
      </w:r>
    </w:p>
    <w:p>
      <w:pPr>
        <w:numPr>
          <w:ilvl w:val="0"/>
          <w:numId w:val="1055"/>
        </w:numPr>
        <w:pStyle w:val="Compact"/>
      </w:pPr>
      <w:r>
        <w:rPr>
          <w:bCs/>
          <w:b/>
        </w:rPr>
        <w:t xml:space="preserve">Participación en otros indicadores.</w:t>
      </w:r>
      <w:r>
        <w:t xml:space="preserve"> </w:t>
      </w:r>
      <w:r>
        <w:t xml:space="preserve">El seguimiento interno de eventos de protesta (ACLED) que mantiene el proyecto muestra que la protesta no desapareció — se reconvirtió a marchas sin corte; ese contraste informa la lectura de este indicador aunque ya no se publique como card propia.</w:t>
      </w:r>
    </w:p>
    <w:bookmarkEnd w:id="150"/>
    <w:bookmarkStart w:id="151" w:name="transparencia-limitaciones-declaradas-12"/>
    <w:p>
      <w:pPr>
        <w:pStyle w:val="Heading2"/>
        <w:keepNext/>
      </w:pPr>
      <w:r>
        <w:t xml:space="preserve">Transparencia — limitaciones declaradas</w:t>
      </w:r>
    </w:p>
    <w:p>
      <w:pPr>
        <w:numPr>
          <w:ilvl w:val="0"/>
          <w:numId w:val="1056"/>
        </w:numPr>
        <w:pStyle w:val="Compact"/>
      </w:pPr>
      <w:r>
        <w:t xml:space="preserve">Fuente privada sin microdatos abiertos: los anclajes se reconstruyen de cifras publicadas.</w:t>
      </w:r>
    </w:p>
    <w:p>
      <w:pPr>
        <w:numPr>
          <w:ilvl w:val="0"/>
          <w:numId w:val="1056"/>
        </w:numPr>
        <w:pStyle w:val="Compact"/>
      </w:pPr>
      <w:r>
        <w:t xml:space="preserve">Granularidad anual: el valor se arrastra todo el año hasta el anclaje siguiente.</w:t>
      </w:r>
    </w:p>
    <w:p>
      <w:pPr>
        <w:numPr>
          <w:ilvl w:val="0"/>
          <w:numId w:val="1056"/>
        </w:numPr>
        <w:pStyle w:val="Compact"/>
      </w:pPr>
      <w:r>
        <w:t xml:space="preserve">Estado judicial verificado: la nulidad de primera instancia fue revocada por la Cámara en lo Contencioso Administrativo Federal (marzo de 2026) — el protocolo es un acto válido y vigente.</w:t>
      </w:r>
    </w:p>
    <w:p>
      <w:pPr>
        <w:numPr>
          <w:ilvl w:val="0"/>
          <w:numId w:val="1056"/>
        </w:numPr>
        <w:pStyle w:val="Compact"/>
      </w:pPr>
      <w:r>
        <w:t xml:space="preserve">El registro histórico oficial de cortes del GCBA está fuera de servicio; el monitoreo propio de alertas de transporte acumula la serie que permitirá automatizar el dato.</w:t>
      </w:r>
    </w:p>
    <w:bookmarkEnd w:id="151"/>
    <w:bookmarkStart w:id="152" w:name="Xef80c7ba60ac922c16c234403633099d6fa1a96"/>
    <w:p>
      <w:pPr>
        <w:pStyle w:val="Heading2"/>
        <w:keepNext/>
      </w:pPr>
      <w:r>
        <w:t xml:space="preserve">Si falta el dato / Política de revisiones</w:t>
      </w:r>
    </w:p>
    <w:p>
      <w:pPr>
        <w:numPr>
          <w:ilvl w:val="0"/>
          <w:numId w:val="1057"/>
        </w:numPr>
      </w:pPr>
      <w:r>
        <w:rPr>
          <w:bCs/>
          <w:b/>
        </w:rPr>
        <w:t xml:space="preserve">Si falta el dato:</w:t>
      </w:r>
      <w:r>
        <w:t xml:space="preserve"> </w:t>
      </w:r>
      <w:r>
        <w:t xml:space="preserve">Cae al valor de respaldo documentado; agotado eso, se mantiene el último valor disponible y los pesos se renormalizan.</w:t>
      </w:r>
    </w:p>
    <w:p>
      <w:pPr>
        <w:numPr>
          <w:ilvl w:val="0"/>
          <w:numId w:val="1057"/>
        </w:numPr>
      </w:pPr>
      <w:r>
        <w:rPr>
          <w:bCs/>
          <w:b/>
        </w:rPr>
        <w:t xml:space="preserve">Política de revisiones:</w:t>
      </w:r>
      <w:r>
        <w:t xml:space="preserve"> </w:t>
      </w:r>
      <w:r>
        <w:t xml:space="preserve">El registro se actualiza cuando la fuente publica el año nuevo (con aviso automático del detector).</w:t>
      </w:r>
    </w:p>
    <w:bookmarkEnd w:id="152"/>
    <w:bookmarkStart w:id="153" w:name="X95a58e26bcd11004daa5592872527917495b2ed"/>
    <w:p>
      <w:pPr>
        <w:pStyle w:val="Heading2"/>
        <w:keepNext/>
      </w:pPr>
      <w:r>
        <w:t xml:space="preserve">Historial — cambios metodológicos documentados</w:t>
      </w:r>
    </w:p>
    <w:p>
      <w:pPr>
        <w:pStyle w:val="FirstParagraph"/>
      </w:pPr>
      <w:r>
        <w:rPr>
          <w:bCs/>
          <w:b/>
        </w:rPr>
        <w:t xml:space="preserve">2026-05</w:t>
      </w:r>
      <w:r>
        <w:t xml:space="preserve"> </w:t>
      </w:r>
      <w:r>
        <w:t xml:space="preserve">— Versión inicial como carga manual (55%, la foto 2024).</w:t>
      </w:r>
    </w:p>
    <w:p>
      <w:pPr>
        <w:pStyle w:val="BodyText"/>
      </w:pPr>
      <w:r>
        <w:rPr>
          <w:bCs/>
          <w:b/>
        </w:rPr>
        <w:t xml:space="preserve">2026-07-02</w:t>
      </w:r>
      <w:r>
        <w:t xml:space="preserve"> </w:t>
      </w:r>
      <w:r>
        <w:t xml:space="preserve">— Se crea el monitoreo propio de alertas de transporte como futura fuente automática.</w:t>
      </w:r>
    </w:p>
    <w:p>
      <w:pPr>
        <w:pStyle w:val="BodyText"/>
      </w:pPr>
      <w:r>
        <w:rPr>
          <w:bCs/>
          <w:b/>
        </w:rPr>
        <w:t xml:space="preserve">2026-07-03</w:t>
      </w:r>
      <w:r>
        <w:t xml:space="preserve"> </w:t>
      </w:r>
      <w:r>
        <w:t xml:space="preserve">— Automatizado con los anclajes anuales públicos de Diagnóstico Político; la corrección del año cerrado 2025 llevó el valor de 55% a 74,2%.</w:t>
      </w:r>
    </w:p>
    <w:p>
      <w:r>
        <w:br w:type="page"/>
      </w:r>
    </w:p>
    <w:p>
      <w:pPr>
        <w:pStyle w:val="BodyText"/>
      </w:pPr>
      <w:r>
        <w:rPr>
          <w:bCs/>
          <w:b/>
        </w:rPr>
        <w:t xml:space="preserve">CIGOB · INFORME DE COYUNTURA</w:t>
      </w:r>
    </w:p>
    <w:p>
      <w:pPr>
        <w:pStyle w:val="BodyText"/>
      </w:pPr>
      <w:r>
        <w:rPr>
          <w:iCs/>
          <w:i/>
        </w:rPr>
        <w:t xml:space="preserve">Ficha metodológica · Cinturón Gestión · Capa de semáforo (4 colores)</w:t>
      </w:r>
    </w:p>
    <w:bookmarkEnd w:id="153"/>
    <w:bookmarkEnd w:id="154"/>
    <w:bookmarkStart w:id="164" w:name="libertad-de-opción-en-salud"/>
    <w:p>
      <w:pPr>
        <w:pStyle w:val="Heading1"/>
        <w:keepNext/>
      </w:pPr>
      <w:r>
        <w:t xml:space="preserve">Libertad de opción en salud</w:t>
      </w:r>
    </w:p>
    <w:p>
      <w:pPr>
        <w:pStyle w:val="FirstParagraph"/>
      </w:pPr>
      <w:r>
        <w:t xml:space="preserve">Qué porcentaje de los usuarios de medicina prepaga tiene sus aportes derivados directo a la prepaga, inscripta como Agente del Seguro de Salud — el canal que creó el DNU 70/2023 al eliminar la triangulación obligatoria por una obra social.</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31,8 % de usuarios de prepagas con aportes derivados directo (sin triangulación)</w:t>
            </w:r>
            <w:r>
              <w:rPr>
                <w:sz w:val="18"/>
              </w:rPr>
              <w:t xml:space="preserve"> </w:t>
            </w:r>
            <w:r>
              <w:rPr>
                <w:sz w:val="18"/>
              </w:rPr>
              <w:t xml:space="preserve">(2026-03)</w:t>
            </w:r>
          </w:p>
        </w:tc>
        <w:tc>
          <w:tcPr>
            <w:shd w:val="clear" w:color="auto" w:fill="FEF3C7"/>
          </w:tcPr>
          <w:p>
            <w:pPr>
              <w:pStyle w:val="Compact"/>
              <w:jc w:val="center"/>
            </w:pPr>
            <w:r>
              <w:rPr>
                <w:bCs/>
                <w:b/>
                <w:sz w:val="18"/>
                <w:color w:val="713F12"/>
              </w:rPr>
              <w:t xml:space="preserve">AMARILLO</w:t>
            </w:r>
          </w:p>
        </w:tc>
        <w:tc>
          <w:p>
            <w:pPr>
              <w:pStyle w:val="Compact"/>
              <w:jc w:val="left"/>
            </w:pPr>
            <w:r>
              <w:rPr>
                <w:sz w:val="18"/>
              </w:rPr>
              <w:t xml:space="preserve">Peso efectivo 2 % del ITCG</w:t>
            </w:r>
          </w:p>
        </w:tc>
        <w:tc>
          <w:p>
            <w:pPr>
              <w:pStyle w:val="Compact"/>
              <w:jc w:val="left"/>
            </w:pPr>
            <w:r>
              <w:rPr>
                <w:sz w:val="18"/>
              </w:rPr>
              <w:t xml:space="preserve">Cinturón Gestión</w:t>
            </w:r>
          </w:p>
        </w:tc>
      </w:tr>
    </w:tbl>
    <w:bookmarkStart w:id="155" w:name="identificación-13"/>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libertad_opcion_salud</w:t>
            </w:r>
          </w:p>
        </w:tc>
        <w:tc>
          <w:p>
            <w:pPr>
              <w:pStyle w:val="Compact"/>
              <w:jc w:val="left"/>
            </w:pPr>
            <w:r>
              <w:rPr>
                <w:bCs/>
                <w:b/>
                <w:sz w:val="18"/>
              </w:rPr>
              <w:t xml:space="preserve">CINTURÓN</w:t>
            </w:r>
          </w:p>
        </w:tc>
        <w:tc>
          <w:p>
            <w:pPr>
              <w:pStyle w:val="Compact"/>
              <w:jc w:val="left"/>
            </w:pPr>
            <w:r>
              <w:rPr>
                <w:sz w:val="18"/>
              </w:rPr>
              <w:t xml:space="preserve">Gestión</w:t>
            </w:r>
          </w:p>
        </w:tc>
      </w:tr>
      <w:tr>
        <w:trPr>
          <w:cantSplit/>
        </w:trPr>
        <w:tc>
          <w:p>
            <w:pPr>
              <w:pStyle w:val="Compact"/>
              <w:jc w:val="left"/>
            </w:pPr>
            <w:r>
              <w:rPr>
                <w:bCs/>
                <w:b/>
                <w:sz w:val="18"/>
              </w:rPr>
              <w:t xml:space="preserve">DIMENSIÓN EN EL ITCG</w:t>
            </w:r>
          </w:p>
        </w:tc>
        <w:tc>
          <w:p>
            <w:pPr>
              <w:pStyle w:val="Compact"/>
              <w:jc w:val="left"/>
            </w:pPr>
            <w:r>
              <w:rPr>
                <w:sz w:val="18"/>
              </w:rPr>
              <w:t xml:space="preserve">Reforma social y orden</w:t>
            </w:r>
          </w:p>
        </w:tc>
        <w:tc>
          <w:p>
            <w:pPr>
              <w:pStyle w:val="Compact"/>
              <w:jc w:val="left"/>
            </w:pPr>
            <w:r>
              <w:rPr>
                <w:bCs/>
                <w:b/>
                <w:sz w:val="18"/>
              </w:rPr>
              <w:t xml:space="preserve">UNIDAD DE MEDIDA</w:t>
            </w:r>
          </w:p>
        </w:tc>
        <w:tc>
          <w:p>
            <w:pPr>
              <w:pStyle w:val="Compact"/>
              <w:jc w:val="left"/>
            </w:pPr>
            <w:r>
              <w:rPr>
                <w:sz w:val="18"/>
              </w:rPr>
              <w:t xml:space="preserve">% de usuarios de prepagas con aportes derivados directo (sin triangulación)</w:t>
            </w:r>
          </w:p>
        </w:tc>
      </w:tr>
      <w:tr>
        <w:trPr>
          <w:cantSplit/>
        </w:trPr>
        <w:tc>
          <w:p>
            <w:pPr>
              <w:pStyle w:val="Compact"/>
              <w:jc w:val="left"/>
            </w:pPr>
            <w:r>
              <w:rPr>
                <w:bCs/>
                <w:b/>
                <w:sz w:val="18"/>
              </w:rPr>
              <w:t xml:space="preserve">SERIE DISPONIBLE</w:t>
            </w:r>
          </w:p>
        </w:tc>
        <w:tc>
          <w:p>
            <w:pPr>
              <w:pStyle w:val="Compact"/>
              <w:jc w:val="left"/>
            </w:pPr>
            <w:r>
              <w:rPr>
                <w:sz w:val="18"/>
              </w:rPr>
              <w:t xml:space="preserve">2023-12 → 2026-03 (28 puntos)</w:t>
            </w:r>
          </w:p>
        </w:tc>
        <w:tc>
          <w:p>
            <w:pPr>
              <w:pStyle w:val="Compact"/>
              <w:jc w:val="left"/>
            </w:pPr>
            <w:r>
              <w:rPr>
                <w:bCs/>
                <w:b/>
                <w:sz w:val="18"/>
              </w:rPr>
              <w:t xml:space="preserve">REZAGO DE PUBLICACIÓN</w:t>
            </w:r>
          </w:p>
        </w:tc>
        <w:tc>
          <w:p>
            <w:pPr>
              <w:pStyle w:val="Compact"/>
              <w:jc w:val="left"/>
            </w:pPr>
            <w:r>
              <w:rPr>
                <w:sz w:val="18"/>
              </w:rPr>
              <w:t xml:space="preserve">3-4 meses en el padrón principal; el denominador (usuarios de prepagas) corre con más rezago y se arrastra al último disponible.</w:t>
            </w:r>
          </w:p>
        </w:tc>
      </w:tr>
      <w:tr>
        <w:trPr>
          <w:cantSplit/>
        </w:trPr>
        <w:tc>
          <w:p>
            <w:pPr>
              <w:pStyle w:val="Compact"/>
              <w:jc w:val="left"/>
            </w:pPr>
            <w:r>
              <w:rPr>
                <w:bCs/>
                <w:b/>
                <w:sz w:val="18"/>
              </w:rPr>
              <w:t xml:space="preserve">PRODUCTOR DEL DATO</w:t>
            </w:r>
          </w:p>
        </w:tc>
        <w:tc>
          <w:p>
            <w:pPr>
              <w:pStyle w:val="Compact"/>
              <w:jc w:val="left"/>
            </w:pPr>
            <w:r>
              <w:rPr>
                <w:sz w:val="18"/>
              </w:rPr>
              <w:t xml:space="preserve">Superintendencia de Servicios de Salud</w:t>
            </w:r>
          </w:p>
        </w:tc>
        <w:tc>
          <w:p>
            <w:pPr>
              <w:pStyle w:val="Compact"/>
              <w:jc w:val="left"/>
            </w:pPr>
            <w:r>
              <w:rPr>
                <w:bCs/>
                <w:b/>
                <w:sz w:val="18"/>
              </w:rPr>
              <w:t xml:space="preserve">OPERACIÓN ESTADÍSTICA</w:t>
            </w:r>
          </w:p>
        </w:tc>
        <w:tc>
          <w:p>
            <w:pPr>
              <w:pStyle w:val="Compact"/>
              <w:jc w:val="left"/>
            </w:pPr>
            <w:r>
              <w:rPr>
                <w:sz w:val="18"/>
              </w:rPr>
              <w:t xml:space="preserve">Padrones oficiales: beneficiarios por Agente del Seguro de Salud (RNAS) y usuarios de entidades de medicina prepaga (RNEMP)</w:t>
            </w:r>
          </w:p>
        </w:tc>
      </w:tr>
      <w:tr>
        <w:trPr>
          <w:cantSplit/>
        </w:trPr>
        <w:tc>
          <w:p>
            <w:pPr>
              <w:pStyle w:val="Compact"/>
              <w:jc w:val="left"/>
            </w:pPr>
            <w:r>
              <w:rPr>
                <w:bCs/>
                <w:b/>
                <w:sz w:val="18"/>
              </w:rPr>
              <w:t xml:space="preserve">MODO DE ACCESO</w:t>
            </w:r>
          </w:p>
        </w:tc>
        <w:tc>
          <w:p>
            <w:pPr>
              <w:pStyle w:val="Compact"/>
              <w:jc w:val="left"/>
            </w:pPr>
            <w:r>
              <w:rPr>
                <w:sz w:val="18"/>
              </w:rPr>
              <w:t xml:space="preserve">Automático: lectura de las planillas oficiales; las prepagas inscriptas como Agentes del Seguro se identifican por su rango de código de registro (canal creado por el DNU 70/2023).</w:t>
            </w:r>
          </w:p>
        </w:tc>
        <w:tc>
          <w:p>
            <w:pPr>
              <w:pStyle w:val="Compact"/>
              <w:jc w:val="left"/>
            </w:pPr>
            <w:r>
              <w:rPr>
                <w:bCs/>
                <w:b/>
                <w:sz w:val="18"/>
              </w:rPr>
              <w:t xml:space="preserve">ÚLTIMA ACTUALIZACIÓN</w:t>
            </w:r>
          </w:p>
        </w:tc>
        <w:tc>
          <w:p>
            <w:pPr>
              <w:pStyle w:val="Compact"/>
              <w:jc w:val="left"/>
            </w:pPr>
            <w:r>
              <w:rPr>
                <w:sz w:val="18"/>
              </w:rPr>
              <w:t xml:space="preserve">Dato a 2026-03 · informe generado el 2026-08-09</w:t>
            </w:r>
          </w:p>
        </w:tc>
      </w:tr>
    </w:tbl>
    <w:bookmarkEnd w:id="155"/>
    <w:bookmarkStart w:id="156" w:name="definición-qué-mide-y-por-qué-importa-13"/>
    <w:p>
      <w:pPr>
        <w:pStyle w:val="Heading2"/>
        <w:keepNext/>
      </w:pPr>
      <w:r>
        <w:t xml:space="preserve">Definición — qué mide y por qué importa</w:t>
      </w:r>
    </w:p>
    <w:p>
      <w:pPr>
        <w:pStyle w:val="FirstParagraph"/>
      </w:pPr>
      <w:r>
        <w:t xml:space="preserve">Qué porcentaje de los usuarios de medicina prepaga tiene sus aportes derivados directo a la prepaga, inscripta como Agente del Seguro de Salud — el canal que creó el DNU 70/2023 al eliminar la triangulación obligatoria por una obra social.</w:t>
      </w:r>
    </w:p>
    <w:p>
      <w:pPr>
        <w:pStyle w:val="BodyText"/>
      </w:pPr>
      <w:r>
        <w:t xml:space="preserve">Mide la adopción real de la libre elección con los padrones oficiales de la SSS (RNAS y RNEMP): antes de la reforma este canal no existía; a marzo de 2026 lo usan 2,66 millones de personas en 59 prepagas inscriptas.</w:t>
      </w:r>
    </w:p>
    <w:p>
      <w:pPr>
        <w:pStyle w:val="BodyText"/>
      </w:pPr>
      <w:r>
        <w:rPr>
          <w:bCs/>
          <w:b/>
        </w:rPr>
        <w:t xml:space="preserve">Dimensión que integra — Reforma social y orden.</w:t>
      </w:r>
      <w:r>
        <w:t xml:space="preserve"> </w:t>
      </w:r>
      <w:r>
        <w:t xml:space="preserve">La reforma social y el orden público: asistencia sin intermediarios (TDPS), protocolo antipiquetes y libertad de opción en salud.</w:t>
      </w:r>
    </w:p>
    <w:bookmarkEnd w:id="156"/>
    <w:bookmarkStart w:id="157" w:name="método-de-cómputo-13"/>
    <w:p>
      <w:pPr>
        <w:pStyle w:val="Heading2"/>
        <w:keepNext/>
      </w:pPr>
      <w:r>
        <w:t xml:space="preserve">Método de cómputo</w:t>
      </w:r>
    </w:p>
    <w:p>
      <w:pPr>
        <w:numPr>
          <w:ilvl w:val="0"/>
          <w:numId w:val="1058"/>
        </w:numPr>
        <w:pStyle w:val="Compact"/>
      </w:pPr>
      <w:r>
        <w:t xml:space="preserve">Porcentaje = beneficiarios con aportes derivados directo a prepagas inscriptas / usuarios totales de prepagas.</w:t>
      </w:r>
    </w:p>
    <w:bookmarkEnd w:id="157"/>
    <w:bookmarkStart w:id="158" w:name="Xaab4efafd10175937bfe344609501e53d799b16"/>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pPr>
      <w:r>
        <w:rPr>
          <w:bCs/>
          <w:b/>
        </w:rPr>
        <w:t xml:space="preserve">Valores que definen cada color</w:t>
      </w:r>
    </w:p>
    <w:tbl>
      <w:tblPr>
        <w:tblStyle w:val="Table"/>
        <w:tblW w:type="pct" w:w="500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3960"/>
        <w:gridCol w:w="3960"/>
      </w:tblGrid>
      <w:tr>
        <w:trPr>
          <w:cantSplit/>
          <w:tblHeader/>
        </w:trPr>
        <w:tc>
          <w:tcPr>
            <w:shd w:val="clear" w:color="auto" w:fill="1F3A34"/>
          </w:tcPr>
          <w:p>
            <w:pPr>
              <w:pStyle w:val="Compact"/>
              <w:jc w:val="left"/>
            </w:pPr>
            <w:r>
              <w:rPr>
                <w:b/>
                <w:sz w:val="18"/>
                <w:color w:val="FFFFFF"/>
              </w:rPr>
              <w:t xml:space="preserve">Rango (% de usuarios de prepagas con aportes derivados directo (sin triangulación))</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 36</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20 – 36</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13,33 – 20</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 13,33</w:t>
            </w:r>
          </w:p>
        </w:tc>
        <w:tc>
          <w:tcPr>
            <w:shd w:val="clear" w:color="auto" w:fill="FEE2E2"/>
          </w:tcPr>
          <w:p>
            <w:pPr>
              <w:pStyle w:val="Compact"/>
              <w:jc w:val="center"/>
            </w:pPr>
            <w:r>
              <w:rPr>
                <w:b/>
                <w:sz w:val="18"/>
                <w:color w:val="7F1D1D"/>
              </w:rPr>
              <w:t xml:space="preserve">ROJO</w:t>
            </w:r>
          </w:p>
        </w:tc>
      </w:tr>
    </w:tbl>
    <w:bookmarkEnd w:id="158"/>
    <w:bookmarkStart w:id="159" w:name="datos-concretos-detrás-del-valor-13"/>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59"/>
        </w:numPr>
        <w:pStyle w:val="Compact"/>
      </w:pPr>
      <w:r>
        <w:t xml:space="preserve">2.660.767 beneficiarios derivados directo a 59 prepagas inscriptas (03/2026) / 8.369.312 usuarios de prepagas (RNEMP 01/2026); canal inexistente pre-DNU 70/23</w:t>
      </w:r>
    </w:p>
    <w:bookmarkEnd w:id="159"/>
    <w:bookmarkStart w:id="160" w:name="color-vigente-y-por-qué-13"/>
    <w:p>
      <w:pPr>
        <w:pStyle w:val="Heading2"/>
        <w:keepNext/>
      </w:pPr>
      <w:r>
        <w:t xml:space="preserve">Color vigente y por qué</w:t>
      </w:r>
    </w:p>
    <w:p>
      <w:pPr>
        <w:pStyle w:val="FirstParagraph"/>
      </w:pPr>
      <w:r>
        <w:t xml:space="preserve">Dato vigente: 31,8 % de usuarios de prepagas con aportes derivados directo (sin triangulación) (2026-03).</w:t>
      </w:r>
    </w:p>
    <w:p>
      <w:pPr>
        <w:pStyle w:val="BodyText"/>
      </w:pPr>
      <w:r>
        <w:t xml:space="preserve">31,8 % de usuarios de prepagas con aportes derivados directo (sin triangulación) cae en el tramo que corresponde a Amarillo, a 4,2 del corte más cercano.</w:t>
      </w:r>
    </w:p>
    <w:p>
      <w:pPr>
        <w:pStyle w:val="BodyText"/>
      </w:pPr>
      <w:r>
        <w:rPr>
          <w:bCs/>
          <w:b/>
        </w:rPr>
        <w:t xml:space="preserve">Color vigente: AMARILLO</w:t>
      </w:r>
    </w:p>
    <w:p>
      <w:pPr>
        <w:pStyle w:val="BodyText"/>
      </w:pPr>
      <w:r>
        <w:t xml:space="preserve">Ponderación vigente en el ITCG: 2 % efectivo. El color es una lectura adicional — no reemplaza ni cambia esta ponderación.</w:t>
      </w:r>
    </w:p>
    <w:bookmarkEnd w:id="160"/>
    <w:bookmarkStart w:id="161" w:name="transparencia-limitaciones-declaradas-13"/>
    <w:p>
      <w:pPr>
        <w:pStyle w:val="Heading2"/>
        <w:keepNext/>
      </w:pPr>
      <w:r>
        <w:t xml:space="preserve">Transparencia — limitaciones declaradas</w:t>
      </w:r>
    </w:p>
    <w:p>
      <w:pPr>
        <w:numPr>
          <w:ilvl w:val="0"/>
          <w:numId w:val="1060"/>
        </w:numPr>
        <w:pStyle w:val="Compact"/>
      </w:pPr>
      <w:r>
        <w:t xml:space="preserve">Numerador y denominador salen de registros distintos con rezagos distintos, declarado en el dato.</w:t>
      </w:r>
    </w:p>
    <w:p>
      <w:pPr>
        <w:numPr>
          <w:ilvl w:val="0"/>
          <w:numId w:val="1060"/>
        </w:numPr>
        <w:pStyle w:val="Compact"/>
      </w:pPr>
      <w:r>
        <w:t xml:space="preserve">Mide la derivación directa de aportes, una parte de la «libertad de opción» — no toda la reforma del sistema.</w:t>
      </w:r>
    </w:p>
    <w:p>
      <w:pPr>
        <w:numPr>
          <w:ilvl w:val="0"/>
          <w:numId w:val="1060"/>
        </w:numPr>
        <w:pStyle w:val="Compact"/>
      </w:pPr>
      <w:r>
        <w:t xml:space="preserve">El contador histórico de traspasos del sitio oficial sigue fuera de servicio; este indicador lo reemplaza con otra semántica.</w:t>
      </w:r>
    </w:p>
    <w:bookmarkEnd w:id="161"/>
    <w:bookmarkStart w:id="162" w:name="X71e32d4ef8852d7b89f89dfb87e3c31d8c54533"/>
    <w:p>
      <w:pPr>
        <w:pStyle w:val="Heading2"/>
        <w:keepNext/>
      </w:pPr>
      <w:r>
        <w:t xml:space="preserve">Si falta el dato / Política de revisiones</w:t>
      </w:r>
    </w:p>
    <w:p>
      <w:pPr>
        <w:numPr>
          <w:ilvl w:val="0"/>
          <w:numId w:val="1061"/>
        </w:numPr>
      </w:pPr>
      <w:r>
        <w:rPr>
          <w:bCs/>
          <w:b/>
        </w:rPr>
        <w:t xml:space="preserve">Si falta el dato:</w:t>
      </w:r>
      <w:r>
        <w:t xml:space="preserve"> </w:t>
      </w:r>
      <w:r>
        <w:t xml:space="preserve">Cae al valor de respaldo documentado con fecha; agotado eso, se mantiene el último valor disponible y los pesos se renormalizan.</w:t>
      </w:r>
    </w:p>
    <w:p>
      <w:pPr>
        <w:numPr>
          <w:ilvl w:val="0"/>
          <w:numId w:val="1061"/>
        </w:numPr>
      </w:pPr>
      <w:r>
        <w:rPr>
          <w:bCs/>
          <w:b/>
        </w:rPr>
        <w:t xml:space="preserve">Política de revisiones:</w:t>
      </w:r>
      <w:r>
        <w:t xml:space="preserve"> </w:t>
      </w:r>
      <w:r>
        <w:t xml:space="preserve">Las planillas anuales se releen completas en cada actualización (la fuente puede revisar meses hacia atrás).</w:t>
      </w:r>
    </w:p>
    <w:bookmarkEnd w:id="162"/>
    <w:bookmarkStart w:id="163" w:name="Xe97eb45c46db1c6f0b7a9d3dad61e7d604d0a09"/>
    <w:p>
      <w:pPr>
        <w:pStyle w:val="Heading2"/>
        <w:keepNext/>
      </w:pPr>
      <w:r>
        <w:t xml:space="preserve">Historial — cambios metodológicos documentados</w:t>
      </w:r>
    </w:p>
    <w:p>
      <w:pPr>
        <w:pStyle w:val="FirstParagraph"/>
      </w:pPr>
      <w:r>
        <w:rPr>
          <w:bCs/>
          <w:b/>
        </w:rPr>
        <w:t xml:space="preserve">2026-05</w:t>
      </w:r>
      <w:r>
        <w:t xml:space="preserve"> </w:t>
      </w:r>
      <w:r>
        <w:t xml:space="preserve">— Versión inicial como carga manual: la fuente en línea estaba bloqueada.</w:t>
      </w:r>
    </w:p>
    <w:p>
      <w:pPr>
        <w:pStyle w:val="BodyText"/>
      </w:pPr>
      <w:r>
        <w:rPr>
          <w:bCs/>
          <w:b/>
        </w:rPr>
        <w:t xml:space="preserve">2026-07-02</w:t>
      </w:r>
      <w:r>
        <w:t xml:space="preserve"> </w:t>
      </w:r>
      <w:r>
        <w:t xml:space="preserve">— Automatizado con los padrones oficiales de beneficiarios y usuarios.</w:t>
      </w:r>
    </w:p>
    <w:bookmarkEnd w:id="163"/>
    <w:bookmarkEnd w:id="164"/>
    <w:sectPr>
      <w:headerReference r:id="rId9" w:type="default"/>
      <w:footerReference r:id="rId10" w:type="default"/>
      <w:pgMar w:bottom="1134"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BFBFBF"/>
      </w:pBdr>
    </w:pPr>
    <w:r>
      <w:rPr>
        <w:rFonts w:ascii="Calibri" w:hAnsi="Calibri" w:cs="Calibri" w:eastAsia="Calibri"/>
        <w:color w:val="5F6360"/>
        <w:sz w:val="16"/>
      </w:rPr>
      <w:t xml:space="preserve">Fundación CiGob   ·   página </w:t>
    </w:r>
    <w:r>
      <w:rPr>
        <w:rFonts w:ascii="Calibri" w:hAnsi="Calibri" w:cs="Calibri" w:eastAsia="Calibri"/>
        <w:color w:val="5F6360"/>
        <w:sz w:val="16"/>
      </w:rPr>
      <w:fldChar w:fldCharType="begin"/>
      <w:instrText>PAGE</w:instrText>
      <w:fldChar w:fldCharType="end"/>
    </w:r>
    <w:r>
      <w:rPr>
        <w:rFonts w:ascii="Calibri" w:hAnsi="Calibri" w:cs="Calibri" w:eastAsia="Calibri"/>
        <w:color w:val="5F6360"/>
        <w:sz w:val="16"/>
      </w:rPr>
      <w:t xml:space="preserve"> de </w:t>
    </w:r>
    <w:r>
      <w:rPr>
        <w:rFonts w:ascii="Calibri" w:hAnsi="Calibri" w:cs="Calibri" w:eastAsia="Calibri"/>
        <w:color w:val="5F6360"/>
        <w:sz w:val="16"/>
      </w:rPr>
      <w:fldChar w:fldCharType="begin"/>
      <w:instrText>NUMPAGES</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8" w:color="1D67CD"/>
      </w:pBdr>
    </w:pPr>
    <w:r>
      <w:drawing>
        <wp:inline xmlns:a="http://schemas.openxmlformats.org/drawingml/2006/main" xmlns:pic="http://schemas.openxmlformats.org/drawingml/2006/picture">
          <wp:extent cx="1196883" cy="360000"/>
          <wp:docPr id="1" name="Picture 1"/>
          <wp:cNvGraphicFramePr>
            <a:graphicFrameLocks noChangeAspect="1"/>
          </wp:cNvGraphicFramePr>
          <a:graphic>
            <a:graphicData uri="http://schemas.openxmlformats.org/drawingml/2006/picture">
              <pic:pic>
                <pic:nvPicPr>
                  <pic:cNvPr id="0" name="cigob_logo.png"/>
                  <pic:cNvPicPr/>
                </pic:nvPicPr>
                <pic:blipFill>
                  <a:blip r:embed="rId1"/>
                  <a:stretch>
                    <a:fillRect/>
                  </a:stretch>
                </pic:blipFill>
                <pic:spPr>
                  <a:xfrm>
                    <a:off x="0" y="0"/>
                    <a:ext cx="1196883" cy="360000"/>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b w:val="0"/>
      <w:i w:val="0"/>
      <w:color w:val="333333"/>
      <w:sz w:val="22"/>
    </w:rPr>
    <w:pPr>
      <w:spacing w:after="120" w:before="0"/>
    </w:pPr>
  </w:style>
  <w:style w:styleId="BodyText" w:type="paragraph">
    <w:name w:val="Body Text"/>
    <w:basedOn w:val="Normal"/>
    <w:link w:val="BodyTextChar"/>
    <w:pPr>
      <w:spacing w:after="120" w:before="0"/>
    </w:pPr>
    <w:qFormat/>
    <w:rPr>
      <w:rFonts w:ascii="Calibri" w:cs="Calibri" w:eastAsia="Calibri" w:hAnsi="Calibri"/>
      <w:b w:val="0"/>
      <w:i w:val="0"/>
      <w:color w:val="333333"/>
      <w:sz w:val="22"/>
    </w:rPr>
  </w:style>
  <w:style w:customStyle="1" w:styleId="FirstParagraph" w:type="paragraph">
    <w:name w:val="First Paragraph"/>
    <w:basedOn w:val="BodyText"/>
    <w:next w:val="BodyText"/>
    <w:qFormat/>
    <w:rPr>
      <w:rFonts w:ascii="Calibri" w:cs="Calibri" w:eastAsia="Calibri" w:hAnsi="Calibri"/>
      <w:b w:val="0"/>
      <w:i w:val="0"/>
      <w:color w:val="333333"/>
      <w:sz w:val="22"/>
    </w:rPr>
    <w:pPr>
      <w:spacing w:after="120" w:before="0"/>
    </w:pPr>
  </w:style>
  <w:style w:customStyle="1" w:styleId="Compact" w:type="paragraph">
    <w:name w:val="Compact"/>
    <w:basedOn w:val="BodyText"/>
    <w:qFormat/>
    <w:pPr>
      <w:spacing w:after="40" w:before="0"/>
    </w:pPr>
    <w:rPr>
      <w:rFonts w:ascii="Calibri" w:cs="Calibri" w:eastAsia="Calibri" w:hAnsi="Calibri"/>
      <w:b w:val="0"/>
      <w:i w:val="0"/>
      <w:color w:val="333333"/>
      <w:sz w:val="22"/>
    </w:rPr>
  </w:style>
  <w:style w:styleId="Title" w:type="paragraph">
    <w:name w:val="Title"/>
    <w:basedOn w:val="Normal"/>
    <w:next w:val="BodyText"/>
    <w:qFormat/>
    <w:pPr>
      <w:keepNext/>
      <w:keepLines/>
      <w:spacing w:after="160" w:before="0"/>
      <w:jc w:val="center"/>
    </w:pPr>
    <w:rPr>
      <w:rFonts w:ascii="Calibri" w:asciiTheme="majorHAnsi" w:cs="Calibri" w:cstheme="majorBidi" w:eastAsia="Calibri" w:eastAsiaTheme="majorEastAsia" w:hAnsi="Calibri" w:hAnsiTheme="majorHAnsi"/>
      <w:b/>
      <w:bCs/>
      <w:i w:val="0"/>
      <w:color w:val="0F3D7A"/>
      <w:sz w:val="52"/>
      <w:szCs w:val="36"/>
    </w:rPr>
  </w:style>
  <w:style w:styleId="Subtitle" w:type="paragraph">
    <w:name w:val="Subtitle"/>
    <w:basedOn w:val="Title"/>
    <w:next w:val="BodyText"/>
    <w:qFormat/>
    <w:pPr>
      <w:keepNext/>
      <w:keepLines/>
      <w:spacing w:after="360" w:before="0"/>
      <w:jc w:val="center"/>
    </w:pPr>
    <w:rPr>
      <w:rFonts w:ascii="Calibri" w:cs="Calibri" w:eastAsia="Calibri" w:hAnsi="Calibri"/>
      <w:b w:val="0"/>
      <w:i/>
      <w:color w:val="5F6360"/>
      <w:sz w:val="28"/>
      <w:szCs w:val="30"/>
    </w:rPr>
  </w:style>
  <w:style w:customStyle="1" w:styleId="Author" w:type="paragraph">
    <w:name w:val="Author"/>
    <w:next w:val="BodyText"/>
    <w:qFormat/>
    <w:pPr>
      <w:keepNext/>
      <w:keepLines/>
      <w:jc w:val="center"/>
      <w:spacing w:after="40" w:before="0"/>
    </w:pPr>
    <w:rPr>
      <w:rFonts w:ascii="Calibri" w:cs="Calibri" w:eastAsia="Calibri" w:hAnsi="Calibri"/>
      <w:b w:val="0"/>
      <w:i/>
      <w:color w:val="5F6360"/>
      <w:sz w:val="22"/>
    </w:rPr>
  </w:style>
  <w:style w:styleId="Date" w:type="paragraph">
    <w:name w:val="Date"/>
    <w:next w:val="BodyText"/>
    <w:qFormat/>
    <w:pPr>
      <w:keepNext/>
      <w:keepLines/>
      <w:jc w:val="center"/>
      <w:spacing w:after="360" w:before="0"/>
    </w:pPr>
    <w:rPr>
      <w:rFonts w:ascii="Calibri" w:cs="Calibri" w:eastAsia="Calibri" w:hAnsi="Calibri"/>
      <w:b w:val="0"/>
      <w:i/>
      <w:color w:val="5F6360"/>
      <w:sz w:val="22"/>
    </w:rPr>
  </w:style>
  <w:style w:customStyle="1" w:styleId="Abstract" w:type="paragraph">
    <w:name w:val="Abstract"/>
    <w:basedOn w:val="Normal"/>
    <w:next w:val="BodyText"/>
    <w:qFormat/>
    <w:pPr>
      <w:keepNext/>
      <w:keepLines/>
      <w:spacing w:after="240" w:before="240"/>
    </w:pPr>
    <w:rPr>
      <w:rFonts w:ascii="Calibri" w:cs="Calibri" w:eastAsia="Calibri" w:hAnsi="Calibri"/>
      <w:b w:val="0"/>
      <w:i/>
      <w:color w:val="333333"/>
      <w:sz w:val="22"/>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480"/>
      <w:outlineLvl w:val="0"/>
      <w:pBdr>
        <w:bottom w:color="1D67CD" w:space="4" w:sz="8" w:val="single"/>
      </w:pBdr>
    </w:pPr>
    <w:rPr>
      <w:rFonts w:ascii="Calibri" w:asciiTheme="majorHAnsi" w:cs="Calibri" w:cstheme="majorBidi" w:eastAsia="Calibri" w:eastAsiaTheme="majorEastAsia" w:hAnsi="Calibri" w:hAnsiTheme="majorHAnsi"/>
      <w:b/>
      <w:bCs/>
      <w:i w:val="0"/>
      <w:color w:val="1D67CD"/>
      <w:sz w:val="36"/>
      <w:szCs w:val="32"/>
    </w:rPr>
  </w:style>
  <w:style w:styleId="Heading2" w:type="paragraph">
    <w:name w:val="Heading 2"/>
    <w:basedOn w:val="Normal"/>
    <w:next w:val="BodyText"/>
    <w:uiPriority w:val="9"/>
    <w:unhideWhenUsed/>
    <w:qFormat/>
    <w:pPr>
      <w:keepNext/>
      <w:keepLines/>
      <w:spacing w:after="120" w:before="360"/>
      <w:outlineLvl w:val="1"/>
    </w:pPr>
    <w:rPr>
      <w:rFonts w:ascii="Calibri" w:asciiTheme="majorHAnsi" w:cs="Calibri" w:cstheme="majorBidi" w:eastAsia="Calibri" w:eastAsiaTheme="majorEastAsia" w:hAnsi="Calibri" w:hAnsiTheme="majorHAnsi"/>
      <w:b/>
      <w:bCs/>
      <w:i w:val="0"/>
      <w:color w:val="1D67CD"/>
      <w:sz w:val="28"/>
      <w:szCs w:val="28"/>
    </w:rPr>
  </w:style>
  <w:style w:styleId="Heading3" w:type="paragraph">
    <w:name w:val="Heading 3"/>
    <w:basedOn w:val="Normal"/>
    <w:next w:val="BodyText"/>
    <w:uiPriority w:val="9"/>
    <w:unhideWhenUsed/>
    <w:qFormat/>
    <w:pPr>
      <w:keepNext/>
      <w:keepLines/>
      <w:spacing w:after="80" w:before="240"/>
      <w:outlineLvl w:val="2"/>
    </w:pPr>
    <w:rPr>
      <w:rFonts w:ascii="Calibri" w:asciiTheme="majorHAnsi" w:cs="Calibri" w:cstheme="majorBidi" w:eastAsia="Calibri" w:eastAsiaTheme="majorEastAsia" w:hAnsi="Calibri" w:hAnsiTheme="majorHAnsi"/>
      <w:b/>
      <w:bCs/>
      <w:i w:val="0"/>
      <w:color w:val="0F3D7A"/>
      <w:sz w:val="24"/>
      <w:szCs w:val="24"/>
    </w:rPr>
  </w:style>
  <w:style w:styleId="Heading4" w:type="paragraph">
    <w:name w:val="Heading 4"/>
    <w:basedOn w:val="Normal"/>
    <w:next w:val="BodyText"/>
    <w:uiPriority w:val="9"/>
    <w:unhideWhenUsed/>
    <w:qFormat/>
    <w:pPr>
      <w:keepNext/>
      <w:keepLines/>
      <w:spacing w:after="80" w:before="200"/>
      <w:outlineLvl w:val="3"/>
    </w:pPr>
    <w:rPr>
      <w:rFonts w:ascii="Calibri" w:asciiTheme="majorHAnsi" w:cs="Calibri" w:cstheme="majorBidi" w:eastAsia="Calibri" w:eastAsiaTheme="majorEastAsia" w:hAnsi="Calibri" w:hAnsiTheme="majorHAnsi"/>
      <w:i/>
      <w:b/>
      <w:bCs/>
      <w:color w:val="333333"/>
      <w:sz w:val="22"/>
      <w:szCs w:val="24"/>
    </w:rPr>
  </w:style>
  <w:style w:styleId="Heading5" w:type="paragraph">
    <w:name w:val="Heading 5"/>
    <w:basedOn w:val="Normal"/>
    <w:next w:val="BodyText"/>
    <w:uiPriority w:val="9"/>
    <w:unhideWhenUsed/>
    <w:qFormat/>
    <w:pPr>
      <w:keepNext/>
      <w:keepLines/>
      <w:spacing w:after="60" w:before="160"/>
      <w:outlineLvl w:val="4"/>
    </w:pPr>
    <w:rPr>
      <w:rFonts w:ascii="Calibri" w:asciiTheme="majorHAnsi" w:cs="Calibri" w:cstheme="majorBidi" w:eastAsia="Calibri" w:eastAsiaTheme="majorEastAsia" w:hAnsi="Calibri" w:hAnsiTheme="majorHAnsi"/>
      <w:b/>
      <w:i w:val="0"/>
      <w:iCs/>
      <w:color w:val="333333"/>
      <w:sz w:val="22"/>
      <w:szCs w:val="24"/>
    </w:rPr>
  </w:style>
  <w:style w:styleId="Heading6" w:type="paragraph">
    <w:name w:val="Heading 6"/>
    <w:basedOn w:val="Normal"/>
    <w:next w:val="BodyText"/>
    <w:uiPriority w:val="9"/>
    <w:unhideWhenUsed/>
    <w:qFormat/>
    <w:pPr>
      <w:keepNext/>
      <w:keepLines/>
      <w:spacing w:after="60" w:before="160"/>
      <w:outlineLvl w:val="5"/>
    </w:pPr>
    <w:rPr>
      <w:rFonts w:ascii="Calibri" w:asciiTheme="majorHAnsi" w:cs="Calibri" w:cstheme="majorBidi" w:eastAsia="Calibri" w:eastAsiaTheme="majorEastAsia" w:hAnsi="Calibri" w:hAnsiTheme="majorHAnsi"/>
      <w:b w:val="0"/>
      <w:i/>
      <w:color w:val="5F6360"/>
      <w:sz w:val="22"/>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60"/>
      <w:ind w:firstLine="0" w:left="480" w:right="480"/>
    </w:pPr>
    <w:rPr>
      <w:rFonts w:ascii="Calibri" w:cs="Calibri" w:eastAsia="Calibri" w:hAnsi="Calibri"/>
      <w:b w:val="0"/>
      <w:i/>
      <w:color w:val="5F6360"/>
      <w:sz w:val="22"/>
    </w:rPr>
  </w:style>
  <w:style w:styleId="FootnoteText" w:type="paragraph">
    <w:name w:val="Footnote Text"/>
    <w:basedOn w:val="Normal"/>
    <w:next w:val="FootnoteText"/>
    <w:uiPriority w:val="9"/>
    <w:unhideWhenUsed/>
    <w:qFormat/>
    <w:rPr>
      <w:rFonts w:ascii="Calibri" w:cs="Calibri" w:eastAsia="Calibri" w:hAnsi="Calibri"/>
      <w:b w:val="0"/>
      <w:i w:val="0"/>
      <w:color w:val="333333"/>
      <w:sz w:val="18"/>
    </w:rPr>
    <w:pPr>
      <w:spacing w:after="40" w:before="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BFBFBF" w:sz="4" w:val="single"/>
        <w:left w:color="BFBFBF" w:sz="4" w:val="single"/>
        <w:bottom w:color="BFBFBF" w:sz="4" w:val="single"/>
        <w:right w:color="BFBFBF" w:sz="4" w:val="single"/>
        <w:insideH w:color="BFBFBF" w:sz="4" w:val="single"/>
        <w:insideV w:color="BFBFBF"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before="120"/>
    </w:pPr>
    <w:rPr>
      <w:rFonts w:ascii="Calibri" w:cs="Calibri" w:eastAsia="Calibri" w:hAnsi="Calibri"/>
      <w:b/>
      <w:i w:val="0"/>
      <w:color w:val="0F3D7A"/>
      <w:sz w:val="22"/>
    </w:rPr>
  </w:style>
  <w:style w:customStyle="1" w:styleId="Definition" w:type="paragraph">
    <w:name w:val="Definition"/>
    <w:basedOn w:val="Normal"/>
    <w:rPr>
      <w:rFonts w:ascii="Calibri" w:cs="Calibri" w:eastAsia="Calibri" w:hAnsi="Calibri"/>
      <w:b w:val="0"/>
      <w:i w:val="0"/>
      <w:color w:val="333333"/>
      <w:sz w:val="22"/>
    </w:rPr>
    <w:pPr>
      <w:spacing w:after="120" w:before="0"/>
    </w:pPr>
  </w:style>
  <w:style w:styleId="Caption" w:type="paragraph">
    <w:name w:val="Caption"/>
    <w:basedOn w:val="Normal"/>
    <w:link w:val="BodyTextChar"/>
    <w:pPr>
      <w:spacing w:after="160" w:before="40"/>
    </w:pPr>
    <w:rPr>
      <w:rFonts w:ascii="Calibri" w:cs="Calibri" w:eastAsia="Calibri" w:hAnsi="Calibri"/>
      <w:b w:val="0"/>
      <w:i/>
      <w:color w:val="5F6360"/>
      <w:sz w:val="18"/>
    </w:rPr>
  </w:style>
  <w:style w:customStyle="1" w:styleId="TableCaption" w:type="paragraph">
    <w:name w:val="Table Caption"/>
    <w:basedOn w:val="Caption"/>
    <w:pPr>
      <w:keepNext/>
      <w:spacing w:after="160" w:before="40"/>
    </w:pPr>
    <w:rPr>
      <w:rFonts w:ascii="Calibri" w:cs="Calibri" w:eastAsia="Calibri" w:hAnsi="Calibri"/>
      <w:b w:val="0"/>
      <w:i/>
      <w:color w:val="5F6360"/>
      <w:sz w:val="18"/>
    </w:rPr>
  </w:style>
  <w:style w:customStyle="1" w:styleId="ImageCaption" w:type="paragraph">
    <w:name w:val="Image Caption"/>
    <w:basedOn w:val="Caption"/>
    <w:rPr>
      <w:rFonts w:ascii="Calibri" w:cs="Calibri" w:eastAsia="Calibri" w:hAnsi="Calibri"/>
      <w:b w:val="0"/>
      <w:i/>
      <w:color w:val="5F6360"/>
      <w:sz w:val="18"/>
    </w:rPr>
    <w:pPr>
      <w:spacing w:after="160" w:before="40"/>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0F3D7A"/>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D67C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Fichas metodológicas · Cinturón Gestión</dc:title>
  <dc:creator>Fundación CIGOB</dc:creator>
  <cp:keywords/>
  <dcterms:created xsi:type="dcterms:W3CDTF">2026-08-09T23:32:15Z</dcterms:created>
  <dcterms:modified xsi:type="dcterms:W3CDTF">2026-08-09T23:32:15Z</dcterms:modified>
  <dc:description>fichas-cigob: estilado</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Informe de Coyuntura · Capa de semáforo (4 colores)</vt:lpwstr>
  </property>
</Properties>
</file>