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Macroeconomía</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4" w:name="cinturón-macroeconomía-resumen"/>
    <w:p>
      <w:pPr>
        <w:pStyle w:val="Heading1"/>
        <w:keepNext/>
      </w:pPr>
      <w:r>
        <w:t xml:space="preserve">Cinturón Macroeconomía — resumen</w:t>
      </w:r>
    </w:p>
    <w:p>
      <w:pPr>
        <w:pStyle w:val="FirstParagraph"/>
      </w:pPr>
      <w:r>
        <w:t xml:space="preserve">Este documento tiene una ficha por indicador — son 17 en total, y cada una arranca en página nueva. Antes de las fichas, el cinturón completo de un vistazo.</w:t>
      </w:r>
    </w:p>
    <w:bookmarkStart w:id="20" w:name="cómo-se-define-el-color"/>
    <w:p>
      <w:pPr>
        <w:pStyle w:val="Heading2"/>
        <w:keepNext/>
      </w:pPr>
      <w:r>
        <w:t xml:space="preserve">Cómo se define el color</w:t>
      </w:r>
    </w:p>
    <w:p>
      <w:pPr>
        <w:pStyle w:val="FirstParagraph"/>
      </w:pPr>
      <w:r>
        <w:t xml:space="preserve">Todos los colores de este documento —el del índice, el de cada dimensión y el de cada indicador— salen de una sola escala: la</w:t>
      </w:r>
      <w:r>
        <w:t xml:space="preserve"> </w:t>
      </w:r>
      <w:r>
        <w:rPr>
          <w:bCs/>
          <w:b/>
        </w:rPr>
        <w:t xml:space="preserve">tensión de 0 a 10</w:t>
      </w:r>
      <w:r>
        <w:t xml:space="preserve"> </w:t>
      </w:r>
      <w:r>
        <w:t xml:space="preserve">que publica el informe. Se parte en cuatro tramos y esos tramos son los mismos para todo.</w:t>
      </w:r>
    </w:p>
    <w:p>
      <w:pPr>
        <w:pStyle w:val="BodyText"/>
      </w:pPr>
      <w:r>
        <w:t xml:space="preserve">El puntaje del ITCM y el de cada dimensión van de 0 a 100, donde 100 es la mejor situación. La tensión es su reflejo: (100 − puntaje) ÷ 10.</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Tensión</w:t>
            </w:r>
          </w:p>
        </w:tc>
        <w:tc>
          <w:tcPr>
            <w:shd w:val="clear" w:color="auto" w:fill="1F3A34"/>
          </w:tcPr>
          <w:p>
            <w:pPr>
              <w:pStyle w:val="Compact"/>
              <w:jc w:val="left"/>
            </w:pPr>
            <w:r>
              <w:rPr>
                <w:b/>
                <w:sz w:val="18"/>
                <w:color w:val="FFFFFF"/>
              </w:rPr>
              <w:t xml:space="preserve">Puntaje del ITCM y de sus dimensiones (0 a 100)</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hasta 4</w:t>
            </w:r>
          </w:p>
        </w:tc>
        <w:tc>
          <w:p>
            <w:pPr>
              <w:pStyle w:val="Compact"/>
              <w:jc w:val="left"/>
            </w:pPr>
            <w:r>
              <w:rPr>
                <w:sz w:val="18"/>
              </w:rPr>
              <w:t xml:space="preserve">60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más de 4 y hasta 6</w:t>
            </w:r>
          </w:p>
        </w:tc>
        <w:tc>
          <w:tcPr>
            <w:shd w:val="clear" w:color="auto" w:fill="F6F8F7"/>
          </w:tcPr>
          <w:p>
            <w:pPr>
              <w:pStyle w:val="Compact"/>
              <w:jc w:val="left"/>
            </w:pPr>
            <w:r>
              <w:rPr>
                <w:sz w:val="18"/>
              </w:rPr>
              <w:t xml:space="preserve">de 40 a 60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más de 6 y hasta 8</w:t>
            </w:r>
          </w:p>
        </w:tc>
        <w:tc>
          <w:p>
            <w:pPr>
              <w:pStyle w:val="Compact"/>
              <w:jc w:val="left"/>
            </w:pPr>
            <w:r>
              <w:rPr>
                <w:sz w:val="18"/>
              </w:rPr>
              <w:t xml:space="preserve">de 20 a 40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más de 8</w:t>
            </w:r>
          </w:p>
        </w:tc>
        <w:tc>
          <w:tcPr>
            <w:shd w:val="clear" w:color="auto" w:fill="F6F8F7"/>
          </w:tcPr>
          <w:p>
            <w:pPr>
              <w:pStyle w:val="Compact"/>
              <w:jc w:val="left"/>
            </w:pPr>
            <w:r>
              <w:rPr>
                <w:sz w:val="18"/>
              </w:rPr>
              <w:t xml:space="preserve">menos de 20</w:t>
            </w:r>
          </w:p>
        </w:tc>
        <w:tc>
          <w:tcPr>
            <w:shd w:val="clear" w:color="auto" w:fill="FEE2E2"/>
          </w:tcPr>
          <w:p>
            <w:pPr>
              <w:pStyle w:val="Compact"/>
              <w:jc w:val="center"/>
            </w:pPr>
            <w:r>
              <w:rPr>
                <w:b/>
                <w:sz w:val="18"/>
                <w:color w:val="7F1D1D"/>
              </w:rPr>
              <w:t xml:space="preserve">ROJO</w:t>
            </w:r>
          </w:p>
        </w:tc>
      </w:tr>
    </w:tbl>
    <w:p>
      <w:pPr>
        <w:pStyle w:val="BodyText"/>
      </w:pPr>
      <w:r>
        <w:rPr>
          <w:bCs/>
          <w:b/>
        </w:rPr>
        <w:t xml:space="preserve">Cada indicador tiene además su propia tabla</w:t>
      </w:r>
      <w:r>
        <w:t xml:space="preserve">, en su unidad de medida —pesos, porcentaje, índice, lo que corresponda—, dentro de su ficha, bajo el título «Semáforo — valores que determinan el color». Ahí no hay ninguna escala intermedia: sólo el dato real y el color que le toca.</w:t>
      </w:r>
    </w:p>
    <w:p>
      <w:r>
        <w:br w:type="page"/>
      </w:r>
    </w:p>
    <w:p>
      <w:pPr>
        <w:pStyle w:val="BodyText"/>
      </w:pPr>
      <w:r>
        <w:rPr>
          <w:bCs/>
          <w:b/>
        </w:rPr>
        <w:t xml:space="preserve">CIGOB · INFORME DE COYUNTURA</w:t>
      </w:r>
    </w:p>
    <w:bookmarkEnd w:id="20"/>
    <w:bookmarkStart w:id="21" w:name="itcm-el-índice-del-cinturón"/>
    <w:p>
      <w:pPr>
        <w:pStyle w:val="Heading2"/>
        <w:keepNext/>
      </w:pPr>
      <w:r>
        <w:t xml:space="preserve">ITCM — el índice del cinturón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ITCM: 61,6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Moderadamente aflojado</w:t>
            </w:r>
          </w:p>
        </w:tc>
        <w:tc>
          <w:p>
            <w:pPr>
              <w:pStyle w:val="Compact"/>
              <w:jc w:val="left"/>
            </w:pPr>
            <w:r>
              <w:rPr>
                <w:sz w:val="18"/>
              </w:rPr>
              <w:t xml:space="preserve">17 indicadores: 7 en verde · 7 en amarillo · 3 en naranja</w:t>
            </w:r>
          </w:p>
        </w:tc>
      </w:tr>
    </w:tbl>
    <w:bookmarkEnd w:id="21"/>
    <w:bookmarkStart w:id="22" w:name="dimensiones"/>
    <w:p>
      <w:pPr>
        <w:pStyle w:val="Heading2"/>
        <w:keepNext/>
      </w:pPr>
      <w:r>
        <w:t xml:space="preserve">Dimensiones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Dimensión</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Puntaje</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w:t>
            </w:r>
          </w:p>
        </w:tc>
      </w:tr>
      <w:tr>
        <w:trPr>
          <w:cantSplit/>
        </w:trPr>
        <w:tc>
          <w:p>
            <w:pPr>
              <w:pStyle w:val="Compact"/>
              <w:jc w:val="left"/>
            </w:pPr>
            <w:r>
              <w:rPr>
                <w:sz w:val="18"/>
              </w:rPr>
              <w:t xml:space="preserve">Estabilidad monetaria-inflacionaria</w:t>
            </w:r>
          </w:p>
        </w:tc>
        <w:tc>
          <w:p>
            <w:pPr>
              <w:pStyle w:val="Compact"/>
              <w:jc w:val="left"/>
            </w:pPr>
            <w:r>
              <w:rPr>
                <w:sz w:val="18"/>
              </w:rPr>
              <w:t xml:space="preserve">La estabilidad de la moneda desde cuatro señales complementarias.</w:t>
            </w:r>
          </w:p>
        </w:tc>
        <w:tc>
          <w:p>
            <w:pPr>
              <w:pStyle w:val="Compact"/>
              <w:jc w:val="left"/>
            </w:pPr>
            <w:r>
              <w:rPr>
                <w:sz w:val="18"/>
              </w:rPr>
              <w:t xml:space="preserve">67,1</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26,0 %</w:t>
            </w:r>
          </w:p>
        </w:tc>
      </w:tr>
      <w:tr>
        <w:trPr>
          <w:cantSplit/>
        </w:trPr>
        <w:tc>
          <w:tcPr>
            <w:shd w:val="clear" w:color="auto" w:fill="F6F8F7"/>
          </w:tcPr>
          <w:p>
            <w:pPr>
              <w:pStyle w:val="Compact"/>
              <w:jc w:val="left"/>
            </w:pPr>
            <w:r>
              <w:rPr>
                <w:sz w:val="18"/>
              </w:rPr>
              <w:t xml:space="preserve">Viabilidad fiscal-comercial</w:t>
            </w:r>
          </w:p>
        </w:tc>
        <w:tc>
          <w:tcPr>
            <w:shd w:val="clear" w:color="auto" w:fill="F6F8F7"/>
          </w:tcPr>
          <w:p>
            <w:pPr>
              <w:pStyle w:val="Compact"/>
              <w:jc w:val="left"/>
            </w:pPr>
            <w:r>
              <w:rPr>
                <w:sz w:val="18"/>
              </w:rPr>
              <w:t xml:space="preserve">Si las cuentas cierran: la recaudación real (el sostén del ancla fiscal) y el saldo comercial (los dólares genuinos del intercambio).</w:t>
            </w:r>
          </w:p>
        </w:tc>
        <w:tc>
          <w:tcPr>
            <w:shd w:val="clear" w:color="auto" w:fill="F6F8F7"/>
          </w:tcPr>
          <w:p>
            <w:pPr>
              <w:pStyle w:val="Compact"/>
              <w:jc w:val="left"/>
            </w:pPr>
            <w:r>
              <w:rPr>
                <w:sz w:val="18"/>
              </w:rPr>
              <w:t xml:space="preserve">71,0</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24,0 %</w:t>
            </w:r>
          </w:p>
        </w:tc>
      </w:tr>
      <w:tr>
        <w:trPr>
          <w:cantSplit/>
        </w:trPr>
        <w:tc>
          <w:p>
            <w:pPr>
              <w:pStyle w:val="Compact"/>
              <w:jc w:val="left"/>
            </w:pPr>
            <w:r>
              <w:rPr>
                <w:sz w:val="18"/>
              </w:rPr>
              <w:t xml:space="preserve">Capacidad y costo del financiamiento</w:t>
            </w:r>
          </w:p>
        </w:tc>
        <w:tc>
          <w:p>
            <w:pPr>
              <w:pStyle w:val="Compact"/>
              <w:jc w:val="left"/>
            </w:pPr>
            <w:r>
              <w:rPr>
                <w:sz w:val="18"/>
              </w:rPr>
              <w:t xml:space="preserve">Si hay combustible para la economía: reservas netas (el respaldo externo), capacidad prestable del sistema financiero (IdC) y crédito real efectivamente otorgado.</w:t>
            </w:r>
          </w:p>
        </w:tc>
        <w:tc>
          <w:p>
            <w:pPr>
              <w:pStyle w:val="Compact"/>
              <w:jc w:val="left"/>
            </w:pPr>
            <w:r>
              <w:rPr>
                <w:sz w:val="18"/>
              </w:rPr>
              <w:t xml:space="preserve">54,8</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16,0 %</w:t>
            </w:r>
          </w:p>
        </w:tc>
      </w:tr>
      <w:tr>
        <w:trPr>
          <w:cantSplit/>
        </w:trPr>
        <w:tc>
          <w:tcPr>
            <w:shd w:val="clear" w:color="auto" w:fill="F6F8F7"/>
          </w:tcPr>
          <w:p>
            <w:pPr>
              <w:pStyle w:val="Compact"/>
              <w:jc w:val="left"/>
            </w:pPr>
            <w:r>
              <w:rPr>
                <w:sz w:val="18"/>
              </w:rPr>
              <w:t xml:space="preserve">Inversión</w:t>
            </w:r>
          </w:p>
        </w:tc>
        <w:tc>
          <w:tcPr>
            <w:shd w:val="clear" w:color="auto" w:fill="F6F8F7"/>
          </w:tcPr>
          <w:p>
            <w:pPr>
              <w:pStyle w:val="Compact"/>
              <w:jc w:val="left"/>
            </w:pPr>
            <w:r>
              <w:rPr>
                <w:sz w:val="18"/>
              </w:rPr>
              <w:t xml:space="preserve">Si alguien está apostando al futuro: inversión física (construcción, bienes de capital) y capitalización digital e intangible.</w:t>
            </w:r>
          </w:p>
        </w:tc>
        <w:tc>
          <w:tcPr>
            <w:shd w:val="clear" w:color="auto" w:fill="F6F8F7"/>
          </w:tcPr>
          <w:p>
            <w:pPr>
              <w:pStyle w:val="Compact"/>
              <w:jc w:val="left"/>
            </w:pPr>
            <w:r>
              <w:rPr>
                <w:sz w:val="18"/>
              </w:rPr>
              <w:t xml:space="preserve">64,9</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12,0 %</w:t>
            </w:r>
          </w:p>
        </w:tc>
      </w:tr>
      <w:tr>
        <w:trPr>
          <w:cantSplit/>
        </w:trPr>
        <w:tc>
          <w:p>
            <w:pPr>
              <w:pStyle w:val="Compact"/>
              <w:jc w:val="left"/>
            </w:pPr>
            <w:r>
              <w:rPr>
                <w:sz w:val="18"/>
              </w:rPr>
              <w:t xml:space="preserve">Actividad económica</w:t>
            </w:r>
          </w:p>
        </w:tc>
        <w:tc>
          <w:p>
            <w:pPr>
              <w:pStyle w:val="Compact"/>
              <w:jc w:val="left"/>
            </w:pPr>
            <w:r>
              <w:rPr>
                <w:sz w:val="18"/>
              </w:rPr>
              <w:t xml:space="preserve">Si la economía crece o se contrae: el EMAE interanual como pulso general de la actividad.</w:t>
            </w:r>
          </w:p>
        </w:tc>
        <w:tc>
          <w:p>
            <w:pPr>
              <w:pStyle w:val="Compact"/>
              <w:jc w:val="left"/>
            </w:pPr>
            <w:r>
              <w:rPr>
                <w:sz w:val="18"/>
              </w:rPr>
              <w:t xml:space="preserve">46,7</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11,0 %</w:t>
            </w:r>
          </w:p>
        </w:tc>
      </w:tr>
      <w:tr>
        <w:trPr>
          <w:cantSplit/>
        </w:trPr>
        <w:tc>
          <w:tcPr>
            <w:shd w:val="clear" w:color="auto" w:fill="F6F8F7"/>
          </w:tcPr>
          <w:p>
            <w:pPr>
              <w:pStyle w:val="Compact"/>
              <w:jc w:val="left"/>
            </w:pPr>
            <w:r>
              <w:rPr>
                <w:sz w:val="18"/>
              </w:rPr>
              <w:t xml:space="preserve">Competitividad externa</w:t>
            </w:r>
          </w:p>
        </w:tc>
        <w:tc>
          <w:tcPr>
            <w:shd w:val="clear" w:color="auto" w:fill="F6F8F7"/>
          </w:tcPr>
          <w:p>
            <w:pPr>
              <w:pStyle w:val="Compact"/>
              <w:jc w:val="left"/>
            </w:pPr>
            <w:r>
              <w:rPr>
                <w:sz w:val="18"/>
              </w:rPr>
              <w:t xml:space="preserve">Si el tipo de cambio real alcanza para competir: el ITCRM oficial del BCRA contra su propia historia.</w:t>
            </w:r>
          </w:p>
        </w:tc>
        <w:tc>
          <w:tcPr>
            <w:shd w:val="clear" w:color="auto" w:fill="F6F8F7"/>
          </w:tcPr>
          <w:p>
            <w:pPr>
              <w:pStyle w:val="Compact"/>
              <w:jc w:val="left"/>
            </w:pPr>
            <w:r>
              <w:rPr>
                <w:sz w:val="18"/>
              </w:rPr>
              <w:t xml:space="preserve">49,5</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11,0 %</w:t>
            </w:r>
          </w:p>
        </w:tc>
      </w:tr>
    </w:tbl>
    <w:p>
      <w:r>
        <w:br w:type="page"/>
      </w:r>
    </w:p>
    <w:p>
      <w:pPr>
        <w:pStyle w:val="BodyText"/>
      </w:pPr>
      <w:r>
        <w:rPr>
          <w:bCs/>
          <w:b/>
        </w:rPr>
        <w:t xml:space="preserve">CIGOB · INFORME DE COYUNTURA</w:t>
      </w:r>
    </w:p>
    <w:bookmarkEnd w:id="22"/>
    <w:bookmarkStart w:id="23" w:name="todos-los-indicadores"/>
    <w:p>
      <w:pPr>
        <w:pStyle w:val="Heading2"/>
        <w:keepNext/>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Indicador</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Hoy</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 en el ITCM</w:t>
            </w:r>
          </w:p>
        </w:tc>
      </w:tr>
      <w:tr>
        <w:trPr>
          <w:cantSplit/>
        </w:trPr>
        <w:tc>
          <w:tcPr>
            <w:gridSpan w:val="5"/>
            <w:shd w:val="clear" w:color="auto" w:fill="E8EDEB"/>
          </w:tcPr>
          <w:p>
            <w:pPr>
              <w:pStyle w:val="Compact"/>
              <w:jc w:val="left"/>
              <w:keepNext/>
            </w:pPr>
            <w:r>
              <w:rPr>
                <w:b/>
                <w:sz w:val="18"/>
              </w:rPr>
              <w:t>Estabilidad monetaria-inflacionaria</w:t>
            </w:r>
          </w:p>
        </w:tc>
      </w:tr>
      <w:tr>
        <w:trPr>
          <w:cantSplit/>
        </w:trPr>
        <w:tc>
          <w:tcPr>
            <w:shd w:val="clear" w:color="auto" w:fill="F6F8F7"/>
          </w:tcPr>
          <w:p>
            <w:pPr>
              <w:pStyle w:val="Compact"/>
              <w:jc w:val="left"/>
            </w:pPr>
            <w:r>
              <w:rPr>
                <w:sz w:val="18"/>
              </w:rPr>
              <w:t xml:space="preserve">Inflación mensual (IPC)</w:t>
            </w:r>
          </w:p>
        </w:tc>
        <w:tc>
          <w:tcPr>
            <w:shd w:val="clear" w:color="auto" w:fill="F6F8F7"/>
          </w:tcPr>
          <w:p>
            <w:pPr>
              <w:pStyle w:val="Compact"/>
              <w:jc w:val="left"/>
            </w:pPr>
            <w:r>
              <w:rPr>
                <w:sz w:val="18"/>
              </w:rPr>
              <w:t xml:space="preserve">Cuánto suben en el mes los precios al consumidor en general.</w:t>
            </w:r>
          </w:p>
        </w:tc>
        <w:tc>
          <w:tcPr>
            <w:shd w:val="clear" w:color="auto" w:fill="F6F8F7"/>
          </w:tcPr>
          <w:p>
            <w:pPr>
              <w:pStyle w:val="Compact"/>
              <w:jc w:val="left"/>
            </w:pPr>
            <w:r>
              <w:rPr>
                <w:sz w:val="18"/>
              </w:rPr>
              <w:t xml:space="preserve">1,89 % mensual</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10,4 %</w:t>
            </w:r>
          </w:p>
        </w:tc>
      </w:tr>
      <w:tr>
        <w:trPr>
          <w:cantSplit/>
        </w:trPr>
        <w:tc>
          <w:p>
            <w:pPr>
              <w:pStyle w:val="Compact"/>
              <w:jc w:val="left"/>
            </w:pPr>
            <w:r>
              <w:rPr>
                <w:sz w:val="18"/>
              </w:rPr>
              <w:t xml:space="preserve">Expectativas inflación (REM 12m)</w:t>
            </w:r>
          </w:p>
        </w:tc>
        <w:tc>
          <w:p>
            <w:pPr>
              <w:pStyle w:val="Compact"/>
              <w:jc w:val="left"/>
            </w:pPr>
            <w:r>
              <w:rPr>
                <w:sz w:val="18"/>
              </w:rPr>
              <w:t xml:space="preserve">La inflación que el mercado espera para los próximos 12 meses.</w:t>
            </w:r>
          </w:p>
        </w:tc>
        <w:tc>
          <w:p>
            <w:pPr>
              <w:pStyle w:val="Compact"/>
              <w:jc w:val="left"/>
            </w:pPr>
            <w:r>
              <w:rPr>
                <w:sz w:val="18"/>
              </w:rPr>
              <w:t xml:space="preserve">21,8 % anual esperado</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6,5 %</w:t>
            </w:r>
          </w:p>
        </w:tc>
      </w:tr>
      <w:tr>
        <w:trPr>
          <w:cantSplit/>
        </w:trPr>
        <w:tc>
          <w:tcPr>
            <w:shd w:val="clear" w:color="auto" w:fill="F6F8F7"/>
          </w:tcPr>
          <w:p>
            <w:pPr>
              <w:pStyle w:val="Compact"/>
              <w:jc w:val="left"/>
            </w:pPr>
            <w:r>
              <w:rPr>
                <w:sz w:val="18"/>
              </w:rPr>
              <w:t xml:space="preserve">Desequilibrio monetario (IDM)</w:t>
            </w:r>
          </w:p>
        </w:tc>
        <w:tc>
          <w:tcPr>
            <w:shd w:val="clear" w:color="auto" w:fill="F6F8F7"/>
          </w:tcPr>
          <w:p>
            <w:pPr>
              <w:pStyle w:val="Compact"/>
              <w:jc w:val="left"/>
            </w:pPr>
            <w:r>
              <w:rPr>
                <w:sz w:val="18"/>
              </w:rPr>
              <w:t xml:space="preserve">Índice de Desequilibrio Monetario.</w:t>
            </w:r>
          </w:p>
        </w:tc>
        <w:tc>
          <w:tcPr>
            <w:shd w:val="clear" w:color="auto" w:fill="F6F8F7"/>
          </w:tcPr>
          <w:p>
            <w:pPr>
              <w:pStyle w:val="Compact"/>
              <w:jc w:val="left"/>
            </w:pPr>
            <w:r>
              <w:rPr>
                <w:sz w:val="18"/>
              </w:rPr>
              <w:t xml:space="preserve">6,24 pp (brecha i.a. real)</w:t>
            </w:r>
          </w:p>
        </w:tc>
        <w:tc>
          <w:tcPr>
            <w:shd w:val="clear" w:color="auto" w:fill="FFEDD5"/>
          </w:tcPr>
          <w:p>
            <w:pPr>
              <w:pStyle w:val="Compact"/>
              <w:jc w:val="center"/>
            </w:pPr>
            <w:r>
              <w:rPr>
                <w:b/>
                <w:sz w:val="18"/>
                <w:color w:val="7C2D12"/>
              </w:rPr>
              <w:t xml:space="preserve">NARANJA</w:t>
            </w:r>
          </w:p>
        </w:tc>
        <w:tc>
          <w:tcPr>
            <w:shd w:val="clear" w:color="auto" w:fill="F6F8F7"/>
          </w:tcPr>
          <w:p>
            <w:pPr>
              <w:pStyle w:val="Compact"/>
              <w:jc w:val="left"/>
            </w:pPr>
            <w:r>
              <w:rPr>
                <w:sz w:val="18"/>
              </w:rPr>
              <w:t xml:space="preserve">6,5 %</w:t>
            </w:r>
          </w:p>
        </w:tc>
      </w:tr>
      <w:tr>
        <w:trPr>
          <w:cantSplit/>
        </w:trPr>
        <w:tc>
          <w:p>
            <w:pPr>
              <w:pStyle w:val="Compact"/>
              <w:jc w:val="left"/>
            </w:pPr>
            <w:r>
              <w:rPr>
                <w:sz w:val="18"/>
              </w:rPr>
              <w:t xml:space="preserve">Presión de dolarización de carteras</w:t>
            </w:r>
          </w:p>
        </w:tc>
        <w:tc>
          <w:p>
            <w:pPr>
              <w:pStyle w:val="Compact"/>
              <w:jc w:val="left"/>
            </w:pPr>
            <w:r>
              <w:rPr>
                <w:sz w:val="18"/>
              </w:rPr>
              <w:t xml:space="preserve">Una medida de 0 a 100 de la presión por salir del peso.</w:t>
            </w:r>
          </w:p>
        </w:tc>
        <w:tc>
          <w:p>
            <w:pPr>
              <w:pStyle w:val="Compact"/>
              <w:jc w:val="left"/>
            </w:pPr>
            <w:r>
              <w:rPr>
                <w:sz w:val="18"/>
              </w:rPr>
              <w:t xml:space="preserve">45,53 pts (0-100)</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2,6 %</w:t>
            </w:r>
          </w:p>
        </w:tc>
      </w:tr>
      <w:tr>
        <w:trPr>
          <w:cantSplit/>
        </w:trPr>
        <w:tc>
          <w:tcPr>
            <w:gridSpan w:val="5"/>
            <w:shd w:val="clear" w:color="auto" w:fill="E8EDEB"/>
          </w:tcPr>
          <w:p>
            <w:pPr>
              <w:pStyle w:val="Compact"/>
              <w:jc w:val="left"/>
              <w:keepNext/>
            </w:pPr>
            <w:r>
              <w:rPr>
                <w:b/>
                <w:sz w:val="18"/>
              </w:rPr>
              <w:t>Viabilidad fiscal-comercial</w:t>
            </w:r>
          </w:p>
        </w:tc>
      </w:tr>
      <w:tr>
        <w:trPr>
          <w:cantSplit/>
        </w:trPr>
        <w:tc>
          <w:p>
            <w:pPr>
              <w:pStyle w:val="Compact"/>
              <w:jc w:val="left"/>
            </w:pPr>
            <w:r>
              <w:rPr>
                <w:sz w:val="18"/>
              </w:rPr>
              <w:t xml:space="preserve">Saldo comercial 12m</w:t>
            </w:r>
          </w:p>
        </w:tc>
        <w:tc>
          <w:p>
            <w:pPr>
              <w:pStyle w:val="Compact"/>
              <w:jc w:val="left"/>
            </w:pPr>
            <w:r>
              <w:rPr>
                <w:sz w:val="18"/>
              </w:rPr>
              <w:t xml:space="preserve">El balance entre lo que el país exporta y lo que importa, acumulado en los últimos 12 meses.</w:t>
            </w:r>
          </w:p>
        </w:tc>
        <w:tc>
          <w:p>
            <w:pPr>
              <w:pStyle w:val="Compact"/>
              <w:jc w:val="left"/>
            </w:pPr>
            <w:r>
              <w:rPr>
                <w:sz w:val="18"/>
              </w:rPr>
              <w:t xml:space="preserve">22.481 Millones de USD (acum. 12 meses)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4,8 %</w:t>
            </w:r>
          </w:p>
        </w:tc>
      </w:tr>
      <w:tr>
        <w:trPr>
          <w:cantSplit/>
        </w:trPr>
        <w:tc>
          <w:tcPr>
            <w:shd w:val="clear" w:color="auto" w:fill="F6F8F7"/>
          </w:tcPr>
          <w:p>
            <w:pPr>
              <w:pStyle w:val="Compact"/>
              <w:jc w:val="left"/>
            </w:pPr>
            <w:r>
              <w:rPr>
                <w:sz w:val="18"/>
              </w:rPr>
              <w:t xml:space="preserve">Base imponible real (nación + provincias)</w:t>
            </w:r>
          </w:p>
        </w:tc>
        <w:tc>
          <w:tcPr>
            <w:shd w:val="clear" w:color="auto" w:fill="F6F8F7"/>
          </w:tcPr>
          <w:p>
            <w:pPr>
              <w:pStyle w:val="Compact"/>
              <w:jc w:val="left"/>
            </w:pPr>
            <w:r>
              <w:rPr>
                <w:sz w:val="18"/>
              </w:rPr>
              <w:t xml:space="preserve">Cuánta economía formal hay para gravar, medida en pesos constantes y comparada contra el cuarto trimestre de 2023, que…</w:t>
            </w:r>
          </w:p>
        </w:tc>
        <w:tc>
          <w:tcPr>
            <w:shd w:val="clear" w:color="auto" w:fill="F6F8F7"/>
          </w:tcPr>
          <w:p>
            <w:pPr>
              <w:pStyle w:val="Compact"/>
              <w:jc w:val="left"/>
            </w:pPr>
            <w:r>
              <w:rPr>
                <w:sz w:val="18"/>
              </w:rPr>
              <w:t xml:space="preserve">88,2 índice (100 = 4T-2023)</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7,2 %</w:t>
            </w:r>
          </w:p>
        </w:tc>
      </w:tr>
      <w:tr>
        <w:trPr>
          <w:cantSplit/>
        </w:trPr>
        <w:tc>
          <w:p>
            <w:pPr>
              <w:pStyle w:val="Compact"/>
              <w:jc w:val="left"/>
            </w:pPr>
            <w:r>
              <w:rPr>
                <w:sz w:val="18"/>
              </w:rPr>
              <w:t xml:space="preserve">Resultado primario del Estado nacional</w:t>
            </w:r>
          </w:p>
        </w:tc>
        <w:tc>
          <w:p>
            <w:pPr>
              <w:pStyle w:val="Compact"/>
              <w:jc w:val="left"/>
            </w:pPr>
            <w:r>
              <w:rPr>
                <w:sz w:val="18"/>
              </w:rPr>
              <w:t xml:space="preserve">Cuánto le sobra (o le falta) al Estado nacional después de pagar todo su gasto, antes de los intereses de la deuda…</w:t>
            </w:r>
          </w:p>
        </w:tc>
        <w:tc>
          <w:p>
            <w:pPr>
              <w:pStyle w:val="Compact"/>
              <w:jc w:val="left"/>
            </w:pPr>
            <w:r>
              <w:rPr>
                <w:sz w:val="18"/>
              </w:rPr>
              <w:t xml:space="preserve">5,55 % de la recaudación (acum. 12 meses)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12,0 %</w:t>
            </w:r>
          </w:p>
        </w:tc>
      </w:tr>
      <w:tr>
        <w:trPr>
          <w:cantSplit/>
        </w:trPr>
        <w:tc>
          <w:tcPr>
            <w:gridSpan w:val="5"/>
            <w:shd w:val="clear" w:color="auto" w:fill="E8EDEB"/>
          </w:tcPr>
          <w:p>
            <w:pPr>
              <w:pStyle w:val="Compact"/>
              <w:jc w:val="left"/>
              <w:keepNext/>
            </w:pPr>
            <w:r>
              <w:rPr>
                <w:b/>
                <w:sz w:val="18"/>
              </w:rPr>
              <w:t>Capacidad y costo del financiamiento</w:t>
            </w:r>
          </w:p>
        </w:tc>
      </w:tr>
      <w:tr>
        <w:trPr>
          <w:cantSplit/>
        </w:trPr>
        <w:tc>
          <w:p>
            <w:pPr>
              <w:pStyle w:val="Compact"/>
              <w:jc w:val="left"/>
            </w:pPr>
            <w:r>
              <w:rPr>
                <w:sz w:val="18"/>
              </w:rPr>
              <w:t xml:space="preserve">Reservas netas</w:t>
            </w:r>
          </w:p>
        </w:tc>
        <w:tc>
          <w:p>
            <w:pPr>
              <w:pStyle w:val="Compact"/>
              <w:jc w:val="left"/>
            </w:pPr>
            <w:r>
              <w:rPr>
                <w:sz w:val="18"/>
              </w:rPr>
              <w:t xml:space="preserve">Los dólares de libre disponibilidad del Banco Central.</w:t>
            </w:r>
          </w:p>
        </w:tc>
        <w:tc>
          <w:p>
            <w:pPr>
              <w:pStyle w:val="Compact"/>
              <w:jc w:val="left"/>
            </w:pPr>
            <w:r>
              <w:rPr>
                <w:sz w:val="18"/>
              </w:rPr>
              <w:t xml:space="preserve">4.885 Millones de USD</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5,4 %</w:t>
            </w:r>
          </w:p>
        </w:tc>
      </w:tr>
      <w:tr>
        <w:trPr>
          <w:cantSplit/>
        </w:trPr>
        <w:tc>
          <w:tcPr>
            <w:shd w:val="clear" w:color="auto" w:fill="F6F8F7"/>
          </w:tcPr>
          <w:p>
            <w:pPr>
              <w:pStyle w:val="Compact"/>
              <w:jc w:val="left"/>
            </w:pPr>
            <w:r>
              <w:rPr>
                <w:sz w:val="18"/>
              </w:rPr>
              <w:t xml:space="preserve">Capacidad prestable (IdC)</w:t>
            </w:r>
          </w:p>
        </w:tc>
        <w:tc>
          <w:tcPr>
            <w:shd w:val="clear" w:color="auto" w:fill="F6F8F7"/>
          </w:tcPr>
          <w:p>
            <w:pPr>
              <w:pStyle w:val="Compact"/>
              <w:jc w:val="left"/>
            </w:pPr>
            <w:r>
              <w:rPr>
                <w:sz w:val="18"/>
              </w:rPr>
              <w:t xml:space="preserve">Índice de Capacidad Prestable.</w:t>
            </w:r>
          </w:p>
        </w:tc>
        <w:tc>
          <w:tcPr>
            <w:shd w:val="clear" w:color="auto" w:fill="F6F8F7"/>
          </w:tcPr>
          <w:p>
            <w:pPr>
              <w:pStyle w:val="Compact"/>
              <w:jc w:val="left"/>
            </w:pPr>
            <w:r>
              <w:rPr>
                <w:sz w:val="18"/>
              </w:rPr>
              <w:t xml:space="preserve">−0,25 σ vs. su historia</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3,4 %</w:t>
            </w:r>
          </w:p>
        </w:tc>
      </w:tr>
      <w:tr>
        <w:trPr>
          <w:cantSplit/>
        </w:trPr>
        <w:tc>
          <w:p>
            <w:pPr>
              <w:pStyle w:val="Compact"/>
              <w:jc w:val="left"/>
            </w:pPr>
            <w:r>
              <w:rPr>
                <w:sz w:val="18"/>
              </w:rPr>
              <w:t xml:space="preserve">Crédito privado real</w:t>
            </w:r>
          </w:p>
        </w:tc>
        <w:tc>
          <w:p>
            <w:pPr>
              <w:pStyle w:val="Compact"/>
              <w:jc w:val="left"/>
            </w:pPr>
            <w:r>
              <w:rPr>
                <w:sz w:val="18"/>
              </w:rPr>
              <w:t xml:space="preserve">Cuánto crece el crédito al sector privado en términos reales (variación interanual de los préstamos, deflactada por el…</w:t>
            </w:r>
          </w:p>
        </w:tc>
        <w:tc>
          <w:p>
            <w:pPr>
              <w:pStyle w:val="Compact"/>
              <w:jc w:val="left"/>
            </w:pPr>
            <w:r>
              <w:rPr>
                <w:sz w:val="18"/>
              </w:rPr>
              <w:t xml:space="preserve">8,5 % i.a. real</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3,2 %</w:t>
            </w:r>
          </w:p>
        </w:tc>
      </w:tr>
      <w:tr>
        <w:trPr>
          <w:cantSplit/>
        </w:trPr>
        <w:tc>
          <w:tcPr>
            <w:shd w:val="clear" w:color="auto" w:fill="F6F8F7"/>
          </w:tcPr>
          <w:p>
            <w:pPr>
              <w:pStyle w:val="Compact"/>
              <w:jc w:val="left"/>
            </w:pPr>
            <w:r>
              <w:rPr>
                <w:sz w:val="18"/>
              </w:rPr>
              <w:t xml:space="preserve">Costo real del financiamiento del Tesoro</w:t>
            </w:r>
          </w:p>
        </w:tc>
        <w:tc>
          <w:tcPr>
            <w:shd w:val="clear" w:color="auto" w:fill="F6F8F7"/>
          </w:tcPr>
          <w:p>
            <w:pPr>
              <w:pStyle w:val="Compact"/>
              <w:jc w:val="left"/>
            </w:pPr>
            <w:r>
              <w:rPr>
                <w:sz w:val="18"/>
              </w:rPr>
              <w:t xml:space="preserve">Qué tasa de interés real paga el Tesoro para renovar su deuda en pesos.</w:t>
            </w:r>
          </w:p>
        </w:tc>
        <w:tc>
          <w:tcPr>
            <w:shd w:val="clear" w:color="auto" w:fill="F6F8F7"/>
          </w:tcPr>
          <w:p>
            <w:pPr>
              <w:pStyle w:val="Compact"/>
              <w:jc w:val="left"/>
            </w:pPr>
            <w:r>
              <w:rPr>
                <w:sz w:val="18"/>
              </w:rPr>
              <w:t xml:space="preserve">8,07 % real anual (TIREA vs. inflación esperada REM)</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4,0 %</w:t>
            </w:r>
          </w:p>
        </w:tc>
      </w:tr>
      <w:tr>
        <w:trPr>
          <w:cantSplit/>
        </w:trPr>
        <w:tc>
          <w:tcPr>
            <w:gridSpan w:val="5"/>
            <w:shd w:val="clear" w:color="auto" w:fill="E8EDEB"/>
          </w:tcPr>
          <w:p>
            <w:pPr>
              <w:pStyle w:val="Compact"/>
              <w:jc w:val="left"/>
              <w:keepNext/>
            </w:pPr>
            <w:r>
              <w:rPr>
                <w:b/>
                <w:sz w:val="18"/>
              </w:rPr>
              <w:t>Inversión</w:t>
            </w:r>
          </w:p>
        </w:tc>
      </w:tr>
      <w:tr>
        <w:trPr>
          <w:cantSplit/>
        </w:trPr>
        <w:tc>
          <w:tcPr>
            <w:shd w:val="clear" w:color="auto" w:fill="F6F8F7"/>
          </w:tcPr>
          <w:p>
            <w:pPr>
              <w:pStyle w:val="Compact"/>
              <w:jc w:val="left"/>
            </w:pPr>
            <w:r>
              <w:rPr>
                <w:sz w:val="18"/>
              </w:rPr>
              <w:t xml:space="preserve">Inversión física (IAI)</w:t>
            </w:r>
          </w:p>
        </w:tc>
        <w:tc>
          <w:tcPr>
            <w:shd w:val="clear" w:color="auto" w:fill="F6F8F7"/>
          </w:tcPr>
          <w:p>
            <w:pPr>
              <w:pStyle w:val="Compact"/>
              <w:jc w:val="left"/>
            </w:pPr>
            <w:r>
              <w:rPr>
                <w:sz w:val="18"/>
              </w:rPr>
              <w:t xml:space="preserve">Índice Anticipador de Inversión.</w:t>
            </w:r>
          </w:p>
        </w:tc>
        <w:tc>
          <w:tcPr>
            <w:shd w:val="clear" w:color="auto" w:fill="F6F8F7"/>
          </w:tcPr>
          <w:p>
            <w:pPr>
              <w:pStyle w:val="Compact"/>
              <w:jc w:val="left"/>
            </w:pPr>
            <w:r>
              <w:rPr>
                <w:sz w:val="18"/>
              </w:rPr>
              <w:t xml:space="preserve">−0,18 % i.a. ponderado</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7,2 %</w:t>
            </w:r>
          </w:p>
        </w:tc>
      </w:tr>
      <w:tr>
        <w:trPr>
          <w:cantSplit/>
        </w:trPr>
        <w:tc>
          <w:p>
            <w:pPr>
              <w:pStyle w:val="Compact"/>
              <w:jc w:val="left"/>
            </w:pPr>
            <w:r>
              <w:rPr>
                <w:sz w:val="18"/>
              </w:rPr>
              <w:t xml:space="preserve">Capitalización digital (ICIP)</w:t>
            </w:r>
          </w:p>
        </w:tc>
        <w:tc>
          <w:p>
            <w:pPr>
              <w:pStyle w:val="Compact"/>
              <w:jc w:val="left"/>
            </w:pPr>
            <w:r>
              <w:rPr>
                <w:sz w:val="18"/>
              </w:rPr>
              <w:t xml:space="preserve">Índice de Capitalización Inteligente y Productividad.</w:t>
            </w:r>
          </w:p>
        </w:tc>
        <w:tc>
          <w:p>
            <w:pPr>
              <w:pStyle w:val="Compact"/>
              <w:jc w:val="left"/>
            </w:pPr>
            <w:r>
              <w:rPr>
                <w:sz w:val="18"/>
              </w:rPr>
              <w:t xml:space="preserve">8,36 % i.a. ponderado</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4,8 %</w:t>
            </w:r>
          </w:p>
        </w:tc>
      </w:tr>
      <w:tr>
        <w:trPr>
          <w:cantSplit/>
        </w:trPr>
        <w:tc>
          <w:tcPr>
            <w:gridSpan w:val="5"/>
            <w:shd w:val="clear" w:color="auto" w:fill="E8EDEB"/>
          </w:tcPr>
          <w:p>
            <w:pPr>
              <w:pStyle w:val="Compact"/>
              <w:jc w:val="left"/>
              <w:keepNext/>
            </w:pPr>
            <w:r>
              <w:rPr>
                <w:b/>
                <w:sz w:val="18"/>
              </w:rPr>
              <w:t>Actividad económica</w:t>
            </w:r>
          </w:p>
        </w:tc>
      </w:tr>
      <w:tr>
        <w:trPr>
          <w:cantSplit/>
        </w:trPr>
        <w:tc>
          <w:p>
            <w:pPr>
              <w:pStyle w:val="Compact"/>
              <w:jc w:val="left"/>
            </w:pPr>
            <w:r>
              <w:rPr>
                <w:sz w:val="18"/>
              </w:rPr>
              <w:t xml:space="preserve">Actividad económica (EMAE i.a.)</w:t>
            </w:r>
          </w:p>
        </w:tc>
        <w:tc>
          <w:p>
            <w:pPr>
              <w:pStyle w:val="Compact"/>
              <w:jc w:val="left"/>
            </w:pPr>
            <w:r>
              <w:rPr>
                <w:sz w:val="18"/>
              </w:rPr>
              <w:t xml:space="preserve">El pulso mensual de la actividad económica: cuánto creció o cayó respecto de un año atrás.</w:t>
            </w:r>
          </w:p>
        </w:tc>
        <w:tc>
          <w:p>
            <w:pPr>
              <w:pStyle w:val="Compact"/>
              <w:jc w:val="left"/>
            </w:pPr>
            <w:r>
              <w:rPr>
                <w:sz w:val="18"/>
              </w:rPr>
              <w:t xml:space="preserve">0,24 % i.a.</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6,6 %</w:t>
            </w:r>
          </w:p>
        </w:tc>
      </w:tr>
      <w:tr>
        <w:trPr>
          <w:cantSplit/>
        </w:trPr>
        <w:tc>
          <w:tcPr>
            <w:shd w:val="clear" w:color="auto" w:fill="F6F8F7"/>
          </w:tcPr>
          <w:p>
            <w:pPr>
              <w:pStyle w:val="Compact"/>
              <w:jc w:val="left"/>
            </w:pPr>
            <w:r>
              <w:rPr>
                <w:sz w:val="18"/>
              </w:rPr>
              <w:t xml:space="preserve">Amplitud del crecimiento (sectores en alza)</w:t>
            </w:r>
          </w:p>
        </w:tc>
        <w:tc>
          <w:tcPr>
            <w:shd w:val="clear" w:color="auto" w:fill="F6F8F7"/>
          </w:tcPr>
          <w:p>
            <w:pPr>
              <w:pStyle w:val="Compact"/>
              <w:jc w:val="left"/>
            </w:pPr>
            <w:r>
              <w:rPr>
                <w:sz w:val="18"/>
              </w:rPr>
              <w:t xml:space="preserve">De los quince sectores en que el INDEC divide la actividad económica, cuántos crecen respecto de un año atrás.</w:t>
            </w:r>
          </w:p>
        </w:tc>
        <w:tc>
          <w:tcPr>
            <w:shd w:val="clear" w:color="auto" w:fill="F6F8F7"/>
          </w:tcPr>
          <w:p>
            <w:pPr>
              <w:pStyle w:val="Compact"/>
              <w:jc w:val="left"/>
            </w:pPr>
            <w:r>
              <w:rPr>
                <w:sz w:val="18"/>
              </w:rPr>
              <w:t xml:space="preserve">53,33 % de sectores en crecimiento i.a.</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2,2 %</w:t>
            </w:r>
          </w:p>
        </w:tc>
      </w:tr>
      <w:tr>
        <w:trPr>
          <w:cantSplit/>
        </w:trPr>
        <w:tc>
          <w:p>
            <w:pPr>
              <w:pStyle w:val="Compact"/>
              <w:jc w:val="left"/>
            </w:pPr>
            <w:r>
              <w:rPr>
                <w:sz w:val="18"/>
              </w:rPr>
              <w:t xml:space="preserve">Producción industrial (IPI i.a.)</w:t>
            </w:r>
          </w:p>
        </w:tc>
        <w:tc>
          <w:p>
            <w:pPr>
              <w:pStyle w:val="Compact"/>
              <w:jc w:val="left"/>
            </w:pPr>
            <w:r>
              <w:rPr>
                <w:sz w:val="18"/>
              </w:rPr>
              <w:t xml:space="preserve">Cuánto produce la industria manufacturera respecto de un año atrás, promediado en tres meses.</w:t>
            </w:r>
          </w:p>
        </w:tc>
        <w:tc>
          <w:p>
            <w:pPr>
              <w:pStyle w:val="Compact"/>
              <w:jc w:val="left"/>
            </w:pPr>
            <w:r>
              <w:rPr>
                <w:sz w:val="18"/>
              </w:rPr>
              <w:t xml:space="preserve">−2 % i.a. (promedio 3 meses)</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2,2 %</w:t>
            </w:r>
          </w:p>
        </w:tc>
      </w:tr>
      <w:tr>
        <w:trPr>
          <w:cantSplit/>
        </w:trPr>
        <w:tc>
          <w:tcPr>
            <w:gridSpan w:val="5"/>
            <w:shd w:val="clear" w:color="auto" w:fill="E8EDEB"/>
          </w:tcPr>
          <w:p>
            <w:pPr>
              <w:pStyle w:val="Compact"/>
              <w:jc w:val="left"/>
              <w:keepNext/>
            </w:pPr>
            <w:r>
              <w:rPr>
                <w:b/>
                <w:sz w:val="18"/>
              </w:rPr>
              <w:t>Competitividad externa</w:t>
            </w:r>
          </w:p>
        </w:tc>
      </w:tr>
      <w:tr>
        <w:trPr>
          <w:cantSplit/>
        </w:trPr>
        <w:tc>
          <w:p>
            <w:pPr>
              <w:pStyle w:val="Compact"/>
              <w:jc w:val="left"/>
            </w:pPr>
            <w:r>
              <w:rPr>
                <w:sz w:val="18"/>
              </w:rPr>
              <w:t xml:space="preserve">Tipo de cambio real (TCRM)</w:t>
            </w:r>
          </w:p>
        </w:tc>
        <w:tc>
          <w:p>
            <w:pPr>
              <w:pStyle w:val="Compact"/>
              <w:jc w:val="left"/>
            </w:pPr>
            <w:r>
              <w:rPr>
                <w:sz w:val="18"/>
              </w:rPr>
              <w:t xml:space="preserve">Si el peso está caro o barato frente a los socios comerciales, en términos reales (competitividad cambiaria).</w:t>
            </w:r>
          </w:p>
        </w:tc>
        <w:tc>
          <w:p>
            <w:pPr>
              <w:pStyle w:val="Compact"/>
              <w:jc w:val="left"/>
            </w:pPr>
            <w:r>
              <w:rPr>
                <w:sz w:val="18"/>
              </w:rPr>
              <w:t xml:space="preserve">85,82 Índice (base dic-2015=100)</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11,0 %</w:t>
            </w:r>
          </w:p>
        </w:tc>
      </w:tr>
    </w:tbl>
    <w:p>
      <w:pPr>
        <w:pStyle w:val="BodyText"/>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23"/>
    <w:bookmarkEnd w:id="24"/>
    <w:bookmarkStart w:id="34" w:name="inflación-mensual-ipc"/>
    <w:p>
      <w:pPr>
        <w:pStyle w:val="Heading1"/>
        <w:keepNext/>
      </w:pPr>
      <w:r>
        <w:t xml:space="preserve">Inflación mensual (IPC)</w:t>
      </w:r>
    </w:p>
    <w:p>
      <w:pPr>
        <w:pStyle w:val="FirstParagraph"/>
      </w:pPr>
      <w:r>
        <w:t xml:space="preserve">Cuánto suben en el mes los precios al consumidor en general.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1,89 % mensual</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10,4 % del ITCM</w:t>
            </w:r>
          </w:p>
        </w:tc>
        <w:tc>
          <w:p>
            <w:pPr>
              <w:pStyle w:val="Compact"/>
              <w:jc w:val="left"/>
            </w:pPr>
            <w:r>
              <w:rPr>
                <w:sz w:val="18"/>
              </w:rPr>
              <w:t xml:space="preserve">Cinturón Macroeconomía</w:t>
            </w:r>
          </w:p>
        </w:tc>
      </w:tr>
    </w:tbl>
    <w:bookmarkStart w:id="25" w:name="identificación"/>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ipc_total</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 mensual</w:t>
            </w:r>
          </w:p>
        </w:tc>
      </w:tr>
      <w:tr>
        <w:trPr>
          <w:cantSplit/>
        </w:trPr>
        <w:tc>
          <w:p>
            <w:pPr>
              <w:pStyle w:val="Compact"/>
              <w:jc w:val="left"/>
            </w:pPr>
            <w:r>
              <w:rPr>
                <w:bCs/>
                <w:b/>
                <w:sz w:val="18"/>
              </w:rPr>
              <w:t xml:space="preserve">SERIE DISPONIBLE</w:t>
            </w:r>
          </w:p>
        </w:tc>
        <w:tc>
          <w:p>
            <w:pPr>
              <w:pStyle w:val="Compact"/>
              <w:jc w:val="left"/>
            </w:pPr>
            <w:r>
              <w:rPr>
                <w:sz w:val="18"/>
              </w:rPr>
              <w:t xml:space="preserve">2021-08 → 2026-06 (59 puntos)</w:t>
            </w:r>
          </w:p>
        </w:tc>
        <w:tc>
          <w:p>
            <w:pPr>
              <w:pStyle w:val="Compact"/>
              <w:jc w:val="left"/>
            </w:pPr>
            <w:r>
              <w:rPr>
                <w:bCs/>
                <w:b/>
                <w:sz w:val="18"/>
              </w:rPr>
              <w:t xml:space="preserve">REZAGO DE PUBLICACIÓN</w:t>
            </w:r>
          </w:p>
        </w:tc>
        <w:tc>
          <w:p>
            <w:pPr>
              <w:pStyle w:val="Compact"/>
              <w:jc w:val="left"/>
            </w:pPr>
            <w:r>
              <w:rPr>
                <w:sz w:val="18"/>
              </w:rPr>
              <w:t xml:space="preserve">El INDEC difunde el IPC de cada mes a mediados del mes siguiente, según su calendario oficial. El informe lo incorpora en forma automática el mismo día de la publicación.</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Índice de Precios al Consumidor (IPC) — cobertura nacional, nivel general, variación mensual</w:t>
            </w:r>
          </w:p>
        </w:tc>
      </w:tr>
      <w:tr>
        <w:trPr>
          <w:cantSplit/>
        </w:trPr>
        <w:tc>
          <w:p>
            <w:pPr>
              <w:pStyle w:val="Compact"/>
              <w:jc w:val="left"/>
            </w:pPr>
            <w:r>
              <w:rPr>
                <w:bCs/>
                <w:b/>
                <w:sz w:val="18"/>
              </w:rPr>
              <w:t xml:space="preserve">MODO DE ACCESO</w:t>
            </w:r>
          </w:p>
        </w:tc>
        <w:tc>
          <w:p>
            <w:pPr>
              <w:pStyle w:val="Compact"/>
              <w:jc w:val="left"/>
            </w:pPr>
            <w:r>
              <w:rPr>
                <w:sz w:val="18"/>
              </w:rPr>
              <w:t xml:space="preserve">Automático: el dato se extrae de la API pública y se publica sin intervención manual.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25"/>
    <w:bookmarkStart w:id="26" w:name="definición-qué-mide-y-por-qué-importa"/>
    <w:p>
      <w:pPr>
        <w:pStyle w:val="Heading2"/>
        <w:keepNext/>
      </w:pPr>
      <w:r>
        <w:t xml:space="preserve">Definición — qué mide y por qué importa</w:t>
      </w:r>
    </w:p>
    <w:p>
      <w:pPr>
        <w:pStyle w:val="FirstParagraph"/>
      </w:pPr>
      <w:r>
        <w:t xml:space="preserve">Cuánto suben en el mes los precios al consumidor en general.</w:t>
      </w:r>
    </w:p>
    <w:p>
      <w:pPr>
        <w:pStyle w:val="BodyText"/>
      </w:pPr>
      <w:r>
        <w:t xml:space="preserve">Es el termómetro central de la estabilización: marca si el programa antiinflacionario avanza o se estanca.</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26"/>
    <w:bookmarkStart w:id="27" w:name="método-de-cómputo"/>
    <w:p>
      <w:pPr>
        <w:pStyle w:val="Heading2"/>
        <w:keepNext/>
      </w:pPr>
      <w:r>
        <w:t xml:space="preserve">Método de cómputo</w:t>
      </w:r>
    </w:p>
    <w:p>
      <w:pPr>
        <w:numPr>
          <w:ilvl w:val="0"/>
          <w:numId w:val="1001"/>
        </w:numPr>
        <w:pStyle w:val="Compact"/>
      </w:pPr>
      <w:r>
        <w:t xml:space="preserve">Variación porcentual del índice de nivel general contra el mes anterior, tal como la publica el INDEC.</w:t>
      </w:r>
    </w:p>
    <w:p>
      <w:pPr>
        <w:numPr>
          <w:ilvl w:val="0"/>
          <w:numId w:val="1001"/>
        </w:numPr>
        <w:pStyle w:val="Compact"/>
      </w:pPr>
      <w:r>
        <w:t xml:space="preserve">No se aplican ajustes propios: ni desestacionalización, ni promedios, ni recortes.</w:t>
      </w:r>
    </w:p>
    <w:bookmarkEnd w:id="27"/>
    <w:bookmarkStart w:id="28" w:name="semáforo-valores-que-determinan-el-color"/>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mensual)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2,8</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2,8 – 4</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4 – 4,67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4,67</w:t>
            </w:r>
          </w:p>
        </w:tc>
        <w:tc>
          <w:tcPr>
            <w:shd w:val="clear" w:color="auto" w:fill="FEE2E2"/>
          </w:tcPr>
          <w:p>
            <w:pPr>
              <w:pStyle w:val="Compact"/>
              <w:jc w:val="center"/>
            </w:pPr>
            <w:r>
              <w:rPr>
                <w:b/>
                <w:sz w:val="18"/>
                <w:color w:val="7F1D1D"/>
              </w:rPr>
              <w:t xml:space="preserve">ROJO</w:t>
            </w:r>
          </w:p>
        </w:tc>
      </w:tr>
    </w:tbl>
    <w:bookmarkEnd w:id="28"/>
    <w:bookmarkStart w:id="29"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El informe publica el valor (1,89 % mensual) pero no los números que lo componen: la fuente entrega la serie ya calculada. Para auditar el dato hay que ir a la operación estadística citada más arriba.</w:t>
      </w:r>
    </w:p>
    <w:bookmarkEnd w:id="29"/>
    <w:bookmarkStart w:id="30" w:name="color-vigente-y-por-qué"/>
    <w:p>
      <w:pPr>
        <w:pStyle w:val="Heading2"/>
        <w:keepNext/>
      </w:pPr>
      <w:r>
        <w:t xml:space="preserve">Color vigente y por qué</w:t>
      </w:r>
    </w:p>
    <w:p>
      <w:pPr>
        <w:pStyle w:val="FirstParagraph"/>
      </w:pPr>
      <w:r>
        <w:t xml:space="preserve">Dato vigente: 1,89 % mensual (2026-06).</w:t>
      </w:r>
    </w:p>
    <w:p>
      <w:pPr>
        <w:pStyle w:val="BodyText"/>
      </w:pPr>
      <w:r>
        <w:t xml:space="preserve">1,89 % mensual cae en el tramo que corresponde a Verde, a 0,91 del corte más cercano.</w:t>
      </w:r>
    </w:p>
    <w:p>
      <w:pPr>
        <w:pStyle w:val="BodyText"/>
      </w:pPr>
      <w:r>
        <w:rPr>
          <w:bCs/>
          <w:b/>
        </w:rPr>
        <w:t xml:space="preserve">Color vigente: VERDE</w:t>
      </w:r>
    </w:p>
    <w:p>
      <w:pPr>
        <w:pStyle w:val="BodyText"/>
      </w:pPr>
      <w:r>
        <w:t xml:space="preserve">Ponderación vigente en el ITCM: 10,4 % efectivo. El color es una lectura adicional — no reemplaza ni cambia esta ponderación.</w:t>
      </w:r>
    </w:p>
    <w:p>
      <w:pPr>
        <w:numPr>
          <w:ilvl w:val="0"/>
          <w:numId w:val="1003"/>
        </w:numPr>
        <w:pStyle w:val="Compact"/>
      </w:pPr>
      <w:r>
        <w:rPr>
          <w:bCs/>
          <w:b/>
        </w:rPr>
        <w:t xml:space="preserve">Participación en otros indicadores.</w:t>
      </w:r>
      <w:r>
        <w:t xml:space="preserve"> </w:t>
      </w:r>
      <w:r>
        <w:t xml:space="preserve">El IPC participa además como deflactor de otros componentes del sistema: la recaudación real, el crédito privado real, el IDM y la tasa real del IdC. Un error de medición de la fuente se propagaría a esos indicadores.</w:t>
      </w:r>
    </w:p>
    <w:bookmarkEnd w:id="30"/>
    <w:bookmarkStart w:id="31" w:name="transparencia-limitaciones-declaradas"/>
    <w:p>
      <w:pPr>
        <w:pStyle w:val="Heading2"/>
        <w:keepNext/>
      </w:pPr>
      <w:r>
        <w:t xml:space="preserve">Transparencia — limitaciones declaradas</w:t>
      </w:r>
    </w:p>
    <w:p>
      <w:pPr>
        <w:numPr>
          <w:ilvl w:val="0"/>
          <w:numId w:val="1004"/>
        </w:numPr>
        <w:pStyle w:val="Compact"/>
      </w:pPr>
      <w:r>
        <w:t xml:space="preserve">Mide el promedio nacional del nivel general: no distingue núcleo, regulados y estacionales, ni las diferencias regionales que el propio INDEC publica por separado.</w:t>
      </w:r>
    </w:p>
    <w:p>
      <w:pPr>
        <w:numPr>
          <w:ilvl w:val="0"/>
          <w:numId w:val="1004"/>
        </w:numPr>
        <w:pStyle w:val="Compact"/>
      </w:pPr>
      <w:r>
        <w:t xml:space="preserve">Llega con rezago: al momento de cada informe, el último dato disponible puede tener entre dos y seis semanas de antigüedad. Las expectativas del REM, dentro de la misma dimensión, cubren parcialmente ese hueco.</w:t>
      </w:r>
    </w:p>
    <w:p>
      <w:pPr>
        <w:numPr>
          <w:ilvl w:val="0"/>
          <w:numId w:val="1004"/>
        </w:numPr>
        <w:pStyle w:val="Compact"/>
      </w:pPr>
      <w:r>
        <w:t xml:space="preserve">La variación de un solo mes es sensible a factores puntuales (correcciones tarifarias, estacionalidad de rubros) que no permiten distinguir el dato suelto de la tendencia.</w:t>
      </w:r>
    </w:p>
    <w:p>
      <w:pPr>
        <w:numPr>
          <w:ilvl w:val="0"/>
          <w:numId w:val="1004"/>
        </w:numPr>
        <w:pStyle w:val="Compact"/>
      </w:pPr>
      <w:r>
        <w:t xml:space="preserve">El IPC es además el deflactor de otros tres indicadores del cinturón (recaudación, crédito y tasa real del clima financiero): su peso real en el índice es mayor que su peso nominal, porque un error de medición se propagaría también a ellos. Se documenta como riesgo sistémico en la metodología general del índice.</w:t>
      </w:r>
    </w:p>
    <w:bookmarkEnd w:id="31"/>
    <w:bookmarkStart w:id="32" w:name="si-falta-el-dato-política-de-revisiones"/>
    <w:p>
      <w:pPr>
        <w:pStyle w:val="Heading2"/>
        <w:keepNext/>
      </w:pPr>
      <w:r>
        <w:t xml:space="preserve">Si falta el dato / Política de revisiones</w:t>
      </w:r>
    </w:p>
    <w:p>
      <w:pPr>
        <w:numPr>
          <w:ilvl w:val="0"/>
          <w:numId w:val="1005"/>
        </w:numPr>
      </w:pPr>
      <w:r>
        <w:rPr>
          <w:bCs/>
          <w:b/>
        </w:rPr>
        <w:t xml:space="preserve">Si falta el dato:</w:t>
      </w:r>
      <w:r>
        <w:t xml:space="preserve"> </w:t>
      </w:r>
      <w:r>
        <w:t xml:space="preserve">Si al calcular el índice el dato del mes no está publicado, el indicador queda fuera de esa actualización y los pesos de su dimensión se renormalizan entre los presentes: la ausencia no puntúa ni a favor ni en contra.</w:t>
      </w:r>
    </w:p>
    <w:p>
      <w:pPr>
        <w:numPr>
          <w:ilvl w:val="0"/>
          <w:numId w:val="1005"/>
        </w:numPr>
      </w:pPr>
      <w:r>
        <w:rPr>
          <w:bCs/>
          <w:b/>
        </w:rPr>
        <w:t xml:space="preserve">Política de revisiones:</w:t>
      </w:r>
      <w:r>
        <w:t xml:space="preserve"> </w:t>
      </w:r>
      <w:r>
        <w:t xml:space="preserve">El INDEC no revisa retroactivamente el IPC publicado: la serie de la fuente es definitiva. Del lado del informe, la serie se reconstruyó hacia atrás hasta julio de 2021 y todo cambio de método propio queda asentado en el historial de cambios (abajo).</w:t>
      </w:r>
    </w:p>
    <w:bookmarkEnd w:id="32"/>
    <w:bookmarkStart w:id="33" w:name="Xa4c99cad3d412932a0237e958bf70f8f0cdbe7e"/>
    <w:p>
      <w:pPr>
        <w:pStyle w:val="Heading2"/>
        <w:keepNext/>
      </w:pPr>
      <w:r>
        <w:t xml:space="preserve">Historial — cambios metodológicos documentados</w:t>
      </w:r>
    </w:p>
    <w:p>
      <w:pPr>
        <w:pStyle w:val="FirstParagraph"/>
      </w:pPr>
      <w:r>
        <w:rPr>
          <w:bCs/>
          <w:b/>
        </w:rPr>
        <w:t xml:space="preserve">2026-06</w:t>
      </w:r>
      <w:r>
        <w:t xml:space="preserve"> </w:t>
      </w:r>
      <w:r>
        <w:t xml:space="preserve">— El indicador deja de promediarse directamente como tensión 0–10 y pasa a puntuar dentro del ITCM según los umbrales institucionales de la paramétrica CIGOB (documento de mayo de 2026).</w:t>
      </w:r>
    </w:p>
    <w:p>
      <w:pPr>
        <w:pStyle w:val="BodyText"/>
      </w:pPr>
      <w:r>
        <w:rPr>
          <w:bCs/>
          <w:b/>
        </w:rPr>
        <w:t xml:space="preserve">2026-07-03</w:t>
      </w:r>
      <w:r>
        <w:t xml:space="preserve"> </w:t>
      </w:r>
      <w:r>
        <w:t xml:space="preserve">— El puntaje escalonado por banda se reemplaza por interpolación lineal entre anclas: se eliminan los saltos de 15–25 puntos entre valores casi iguales a ambos lados de un umbral. Los umbrales institucionales no cambian.</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33"/>
    <w:bookmarkEnd w:id="34"/>
    <w:bookmarkStart w:id="44" w:name="reservas-netas"/>
    <w:p>
      <w:pPr>
        <w:pStyle w:val="Heading1"/>
        <w:keepNext/>
      </w:pPr>
      <w:r>
        <w:t xml:space="preserve">Reservas netas</w:t>
      </w:r>
    </w:p>
    <w:p>
      <w:pPr>
        <w:pStyle w:val="FirstParagraph"/>
      </w:pPr>
      <w:r>
        <w:t xml:space="preserve">Los dólares de libre disponibilidad del Banco Central: lo que realmente posee, descontada la deuda en moneda extranjera de corto plazo. Más exigente que las brutas.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4.885 Millones de USD</w:t>
            </w:r>
            <w:r>
              <w:rPr>
                <w:sz w:val="18"/>
              </w:rPr>
              <w:t xml:space="preserve"> </w:t>
            </w:r>
            <w:r>
              <w:rPr>
                <w:sz w:val="18"/>
              </w:rPr>
              <w:t xml:space="preserve">(2026-06)</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5,4 % del ITCM</w:t>
            </w:r>
          </w:p>
        </w:tc>
        <w:tc>
          <w:p>
            <w:pPr>
              <w:pStyle w:val="Compact"/>
              <w:jc w:val="left"/>
            </w:pPr>
            <w:r>
              <w:rPr>
                <w:sz w:val="18"/>
              </w:rPr>
              <w:t xml:space="preserve">Cinturón Macroeconomía</w:t>
            </w:r>
          </w:p>
        </w:tc>
      </w:tr>
    </w:tbl>
    <w:bookmarkStart w:id="35" w:name="identificación-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reservas_bcra</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Millones de USD</w:t>
            </w:r>
          </w:p>
        </w:tc>
      </w:tr>
      <w:tr>
        <w:trPr>
          <w:cantSplit/>
        </w:trPr>
        <w:tc>
          <w:p>
            <w:pPr>
              <w:pStyle w:val="Compact"/>
              <w:jc w:val="left"/>
            </w:pPr>
            <w:r>
              <w:rPr>
                <w:bCs/>
                <w:b/>
                <w:sz w:val="18"/>
              </w:rPr>
              <w:t xml:space="preserve">SERIE DISPONIBLE</w:t>
            </w:r>
          </w:p>
        </w:tc>
        <w:tc>
          <w:p>
            <w:pPr>
              <w:pStyle w:val="Compact"/>
              <w:jc w:val="left"/>
            </w:pPr>
            <w:r>
              <w:rPr>
                <w:sz w:val="18"/>
              </w:rPr>
              <w:t xml:space="preserve">2024-06 → 2026-06 (25 puntos)</w:t>
            </w:r>
          </w:p>
        </w:tc>
        <w:tc>
          <w:p>
            <w:pPr>
              <w:pStyle w:val="Compact"/>
              <w:jc w:val="left"/>
            </w:pPr>
            <w:r>
              <w:rPr>
                <w:bCs/>
                <w:b/>
                <w:sz w:val="18"/>
              </w:rPr>
              <w:t xml:space="preserve">REZAGO DE PUBLICACIÓN</w:t>
            </w:r>
          </w:p>
        </w:tc>
        <w:tc>
          <w:p>
            <w:pPr>
              <w:pStyle w:val="Compact"/>
              <w:jc w:val="left"/>
            </w:pPr>
            <w:r>
              <w:rPr>
                <w:sz w:val="18"/>
              </w:rPr>
              <w:t xml:space="preserve">La planilla de reservas y liquidez del BCRA se publica unas tres semanas después del cierre de cada mes; el informe la incorpora automáticamente.</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Planilla SDDS «Reservas internacionales y liquidez en moneda extranjera» + Balance Consolidado del BCRA (depósitos del Tesoro en dólares)</w:t>
            </w:r>
          </w:p>
        </w:tc>
      </w:tr>
      <w:tr>
        <w:trPr>
          <w:cantSplit/>
        </w:trPr>
        <w:tc>
          <w:p>
            <w:pPr>
              <w:pStyle w:val="Compact"/>
              <w:jc w:val="left"/>
            </w:pPr>
            <w:r>
              <w:rPr>
                <w:bCs/>
                <w:b/>
                <w:sz w:val="18"/>
              </w:rPr>
              <w:t xml:space="preserve">MODO DE ACCESO</w:t>
            </w:r>
          </w:p>
        </w:tc>
        <w:tc>
          <w:p>
            <w:pPr>
              <w:pStyle w:val="Compact"/>
              <w:jc w:val="left"/>
            </w:pPr>
            <w:r>
              <w:rPr>
                <w:sz w:val="18"/>
              </w:rPr>
              <w:t xml:space="preserve">Automático: se leen la planilla oficial del mes y el Balance Consolidado; el resultado se valida contra las reservas brutas de la API de estadísticas.</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35"/>
    <w:bookmarkStart w:id="36" w:name="definición-qué-mide-y-por-qué-importa-1"/>
    <w:p>
      <w:pPr>
        <w:pStyle w:val="Heading2"/>
        <w:keepNext/>
      </w:pPr>
      <w:r>
        <w:t xml:space="preserve">Definición — qué mide y por qué importa</w:t>
      </w:r>
    </w:p>
    <w:p>
      <w:pPr>
        <w:pStyle w:val="FirstParagraph"/>
      </w:pPr>
      <w:r>
        <w:t xml:space="preserve">Los dólares de libre disponibilidad del Banco Central: lo que realmente posee, descontada la deuda en moneda extranjera de corto plazo. Más exigente que las brutas.</w:t>
      </w:r>
    </w:p>
    <w:p>
      <w:pPr>
        <w:pStyle w:val="BodyText"/>
      </w:pPr>
      <w:r>
        <w:t xml:space="preserve">Es el termómetro real de la solvencia externa: con netas bajas o negativas, cualquier shock obliga a devaluar o a frenar importaciones. Las brutas pueden lucir altas y ocultar esa fragilidad.</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36"/>
    <w:bookmarkStart w:id="37" w:name="método-de-cómputo-1"/>
    <w:p>
      <w:pPr>
        <w:pStyle w:val="Heading2"/>
        <w:keepNext/>
      </w:pPr>
      <w:r>
        <w:t xml:space="preserve">Método de cómputo</w:t>
      </w:r>
    </w:p>
    <w:p>
      <w:pPr>
        <w:numPr>
          <w:ilvl w:val="0"/>
          <w:numId w:val="1006"/>
        </w:numPr>
        <w:pStyle w:val="Compact"/>
      </w:pPr>
      <w:r>
        <w:t xml:space="preserve">Reservas netas «a secas», el número que sigue el mercado: activos de reserva menos los fondos comprometidos (préstamos y depósitos en divisa, operaciones a término y pases).</w:t>
      </w:r>
    </w:p>
    <w:p>
      <w:pPr>
        <w:numPr>
          <w:ilvl w:val="0"/>
          <w:numId w:val="1006"/>
        </w:numPr>
        <w:pStyle w:val="Compact"/>
      </w:pPr>
      <w:r>
        <w:t xml:space="preserve">Se suman de vuelta los depósitos del Tesoro en dólares y los vencimientos de deuda en divisa a 12 meses, que figuran como pasivos pero no son pasivos del Banco Central para defender el tipo de cambio.</w:t>
      </w:r>
    </w:p>
    <w:p>
      <w:pPr>
        <w:numPr>
          <w:ilvl w:val="0"/>
          <w:numId w:val="1006"/>
        </w:numPr>
        <w:pStyle w:val="Compact"/>
      </w:pPr>
      <w:r>
        <w:t xml:space="preserve">Los tres términos salen de fuentes oficiales: no hay constantes cargadas a mano.</w:t>
      </w:r>
    </w:p>
    <w:bookmarkEnd w:id="37"/>
    <w:bookmarkStart w:id="38" w:name="Xb12ddc46376972206f8477b880174f9cd0b319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(Millones de USD)</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10.000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5.000 – 10.000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 5.000</w:t>
            </w:r>
          </w:p>
        </w:tc>
        <w:tc>
          <w:tcPr>
            <w:shd w:val="clear" w:color="auto" w:fill="FFEDD5"/>
          </w:tcPr>
          <w:p>
            <w:pPr>
              <w:pStyle w:val="Compact"/>
              <w:jc w:val="center"/>
            </w:pPr>
            <w:r>
              <w:rPr>
                <w:b/>
                <w:sz w:val="18"/>
                <w:color w:val="7C2D12"/>
              </w:rPr>
              <w:t xml:space="preserve">NARANJA</w:t>
            </w:r>
          </w:p>
        </w:tc>
      </w:tr>
    </w:tbl>
    <w:bookmarkEnd w:id="38"/>
    <w:bookmarkStart w:id="39"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7"/>
        </w:numPr>
        <w:pStyle w:val="Compact"/>
      </w:pPr>
      <w:r>
        <w:t xml:space="preserve">netas 4885 = SDDS estricto -1704 + Tesoro 3920 + Bopreal 2670 (M USD)</w:t>
      </w:r>
    </w:p>
    <w:bookmarkEnd w:id="39"/>
    <w:bookmarkStart w:id="40" w:name="color-vigente-y-por-qué-1"/>
    <w:p>
      <w:pPr>
        <w:pStyle w:val="Heading2"/>
        <w:keepNext/>
      </w:pPr>
      <w:r>
        <w:t xml:space="preserve">Color vigente y por qué</w:t>
      </w:r>
    </w:p>
    <w:p>
      <w:pPr>
        <w:pStyle w:val="FirstParagraph"/>
      </w:pPr>
      <w:r>
        <w:t xml:space="preserve">Dato vigente: 4.885 Millones de USD (2026-06).</w:t>
      </w:r>
    </w:p>
    <w:p>
      <w:pPr>
        <w:pStyle w:val="BodyText"/>
      </w:pPr>
      <w:r>
        <w:t xml:space="preserve">4885,0 Millones de USD cae en el tramo que corresponde a Naranja, a 115,0 del corte más cercano.</w:t>
      </w:r>
    </w:p>
    <w:p>
      <w:pPr>
        <w:pStyle w:val="BodyText"/>
      </w:pPr>
      <w:r>
        <w:rPr>
          <w:bCs/>
          <w:b/>
        </w:rPr>
        <w:t xml:space="preserve">Color vigente: NARANJA</w:t>
      </w:r>
    </w:p>
    <w:p>
      <w:pPr>
        <w:pStyle w:val="BodyText"/>
      </w:pPr>
      <w:r>
        <w:t xml:space="preserve">Ponderación vigente en el ITCM: 5,4 % efectivo. El color es una lectura adicional — no reemplaza ni cambia esta ponderación.</w:t>
      </w:r>
    </w:p>
    <w:bookmarkEnd w:id="40"/>
    <w:bookmarkStart w:id="41" w:name="transparencia-limitaciones-declaradas-1"/>
    <w:p>
      <w:pPr>
        <w:pStyle w:val="Heading2"/>
        <w:keepNext/>
      </w:pPr>
      <w:r>
        <w:t xml:space="preserve">Transparencia — limitaciones declaradas</w:t>
      </w:r>
    </w:p>
    <w:p>
      <w:pPr>
        <w:numPr>
          <w:ilvl w:val="0"/>
          <w:numId w:val="1008"/>
        </w:numPr>
        <w:pStyle w:val="Compact"/>
      </w:pPr>
      <w:r>
        <w:t xml:space="preserve">«Reservas netas» no es un número único: es un espectro según qué pasivos se descuentan. Otras mediciones más exigentes (o la del FMI) pueden diferir en miles de millones por criterio, no por error.</w:t>
      </w:r>
    </w:p>
    <w:p>
      <w:pPr>
        <w:numPr>
          <w:ilvl w:val="0"/>
          <w:numId w:val="1008"/>
        </w:numPr>
        <w:pStyle w:val="Compact"/>
      </w:pPr>
      <w:r>
        <w:t xml:space="preserve">El dato es a cierre de mes; el número diario que circula en el mercado puede diferir en algunos cientos de millones por la fecha de corte.</w:t>
      </w:r>
    </w:p>
    <w:p>
      <w:pPr>
        <w:numPr>
          <w:ilvl w:val="0"/>
          <w:numId w:val="1008"/>
        </w:numPr>
        <w:pStyle w:val="Compact"/>
      </w:pPr>
      <w:r>
        <w:t xml:space="preserve">El BCRA retira las planillas viejas de su sitio: la serie histórica propia solo llega hasta mediados de 2024 hacia atrás.</w:t>
      </w:r>
    </w:p>
    <w:bookmarkEnd w:id="41"/>
    <w:bookmarkStart w:id="42" w:name="X5bd7fb7e3de0539204b5af8f15d14927966600e"/>
    <w:p>
      <w:pPr>
        <w:pStyle w:val="Heading2"/>
        <w:keepNext/>
      </w:pPr>
      <w:r>
        <w:t xml:space="preserve">Si falta el dato / Política de revisiones</w:t>
      </w:r>
    </w:p>
    <w:p>
      <w:pPr>
        <w:numPr>
          <w:ilvl w:val="0"/>
          <w:numId w:val="1009"/>
        </w:numPr>
      </w:pPr>
      <w:r>
        <w:rPr>
          <w:bCs/>
          <w:b/>
        </w:rPr>
        <w:t xml:space="preserve">Si falta el dato:</w:t>
      </w:r>
      <w:r>
        <w:t xml:space="preserve"> </w:t>
      </w:r>
      <w:r>
        <w:t xml:space="preserve">Si la planilla no está disponible, el cálculo cae a las reservas brutas de la API menos los últimos drenajes conocidos; si todo falla, se mantiene el último valor disponible, señalado como desactualizado y los pesos del índice se renormalizan.</w:t>
      </w:r>
    </w:p>
    <w:p>
      <w:pPr>
        <w:numPr>
          <w:ilvl w:val="0"/>
          <w:numId w:val="1009"/>
        </w:numPr>
      </w:pPr>
      <w:r>
        <w:rPr>
          <w:bCs/>
          <w:b/>
        </w:rPr>
        <w:t xml:space="preserve">Política de revisiones:</w:t>
      </w:r>
      <w:r>
        <w:t xml:space="preserve"> </w:t>
      </w:r>
      <w:r>
        <w:t xml:space="preserve">La planilla publicada no se revisa; el informe reconstruye la serie completa releyendo todas las planillas disponibles en cada actualización.</w:t>
      </w:r>
    </w:p>
    <w:bookmarkEnd w:id="42"/>
    <w:bookmarkStart w:id="43" w:name="X96d65d75de98372a532c7c1fba300d7558b9e4c"/>
    <w:p>
      <w:pPr>
        <w:pStyle w:val="Heading2"/>
        <w:keepNext/>
      </w:pPr>
      <w:r>
        <w:t xml:space="preserve">Historial — cambios metodológicos documentados</w:t>
      </w:r>
    </w:p>
    <w:p>
      <w:pPr>
        <w:pStyle w:val="FirstParagraph"/>
      </w:pPr>
      <w:r>
        <w:rPr>
          <w:bCs/>
          <w:b/>
        </w:rPr>
        <w:t xml:space="preserve">2026-06-26</w:t>
      </w:r>
      <w:r>
        <w:t xml:space="preserve"> </w:t>
      </w:r>
      <w:r>
        <w:t xml:space="preserve">— El indicador deja las reservas brutas del documento original y pasa a las netas «a secas», con los tres términos calculados de fuentes oficiales y escala propia.</w:t>
      </w:r>
    </w:p>
    <w:p>
      <w:pPr>
        <w:pStyle w:val="BodyText"/>
      </w:pPr>
      <w:r>
        <w:rPr>
          <w:bCs/>
          <w:b/>
        </w:rPr>
        <w:t xml:space="preserve">2026-07-03</w:t>
      </w:r>
      <w:r>
        <w:t xml:space="preserve"> </w:t>
      </w:r>
      <w:r>
        <w:t xml:space="preserve">— Puntaje interpolado entre anclas en lugar de escalones por banda.</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43"/>
    <w:bookmarkEnd w:id="44"/>
    <w:bookmarkStart w:id="54" w:name="capacidad-prestable-idc"/>
    <w:p>
      <w:pPr>
        <w:pStyle w:val="Heading1"/>
        <w:keepNext/>
      </w:pPr>
      <w:r>
        <w:t xml:space="preserve">Capacidad prestable (IdC)</w:t>
      </w:r>
    </w:p>
    <w:p>
      <w:pPr>
        <w:pStyle w:val="FirstParagraph"/>
      </w:pPr>
      <w:r>
        <w:t xml:space="preserve">Índice de Capacidad Prestable: mide si el sistema financiero tiene fondos y margen para prestar, comparando tres niveles contra su propia historia — la tasa real que reciben los depositantes (precio), el crecimiento interanual real de los depósitos privados (volumen) y la holgura entre depósitos y préstamos (asignación).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−0,25 σ vs. su historia</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3,4 % del ITCM</w:t>
            </w:r>
          </w:p>
        </w:tc>
        <w:tc>
          <w:p>
            <w:pPr>
              <w:pStyle w:val="Compact"/>
              <w:jc w:val="left"/>
            </w:pPr>
            <w:r>
              <w:rPr>
                <w:sz w:val="18"/>
              </w:rPr>
              <w:t xml:space="preserve">Cinturón Macroeconomía</w:t>
            </w:r>
          </w:p>
        </w:tc>
      </w:tr>
    </w:tbl>
    <w:bookmarkStart w:id="45" w:name="identificación-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idc</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σ vs. su historia</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2026-06 (33 puntos)</w:t>
            </w:r>
          </w:p>
        </w:tc>
        <w:tc>
          <w:p>
            <w:pPr>
              <w:pStyle w:val="Compact"/>
              <w:jc w:val="left"/>
            </w:pPr>
            <w:r>
              <w:rPr>
                <w:bCs/>
                <w:b/>
                <w:sz w:val="18"/>
              </w:rPr>
              <w:t xml:space="preserve">REZAGO DE PUBLICACIÓN</w:t>
            </w:r>
          </w:p>
        </w:tc>
        <w:tc>
          <w:p>
            <w:pPr>
              <w:pStyle w:val="Compact"/>
              <w:jc w:val="left"/>
            </w:pPr>
            <w:r>
              <w:rPr>
                <w:sz w:val="18"/>
              </w:rPr>
              <w:t xml:space="preserve">El IdC se publica para el último mes con IPC cerrado: unas dos semanas después de mediados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 (tasa BADLAR, depósitos y préstamos privados) + INDEC (IPC como deflactor)</w:t>
            </w:r>
          </w:p>
        </w:tc>
        <w:tc>
          <w:p>
            <w:pPr>
              <w:pStyle w:val="Compact"/>
              <w:jc w:val="left"/>
            </w:pPr>
            <w:r>
              <w:rPr>
                <w:bCs/>
                <w:b/>
                <w:sz w:val="18"/>
              </w:rPr>
              <w:t xml:space="preserve">OPERACIÓN ESTADÍSTICA</w:t>
            </w:r>
          </w:p>
        </w:tc>
        <w:tc>
          <w:p>
            <w:pPr>
              <w:pStyle w:val="Compact"/>
              <w:jc w:val="left"/>
            </w:pPr>
            <w:r>
              <w:rPr>
                <w:sz w:val="18"/>
              </w:rPr>
              <w:t xml:space="preserve">Estadísticas monetarias del BCRA: BADLAR bancos privados, depósitos del sector privado y préstamos al sector privado; índice compuesto de elaboración propia</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 y API de series de datos.gob.ar; el índice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45"/>
    <w:bookmarkStart w:id="46" w:name="definición-qué-mide-y-por-qué-importa-2"/>
    <w:p>
      <w:pPr>
        <w:pStyle w:val="Heading2"/>
        <w:keepNext/>
      </w:pPr>
      <w:r>
        <w:t xml:space="preserve">Definición — qué mide y por qué importa</w:t>
      </w:r>
    </w:p>
    <w:p>
      <w:pPr>
        <w:pStyle w:val="FirstParagraph"/>
      </w:pPr>
      <w:r>
        <w:t xml:space="preserve">Índice de Capacidad Prestable: mide si el sistema financiero tiene fondos y margen para prestar, comparando tres niveles contra su propia historia — la tasa real que reciben los depositantes (precio), el crecimiento interanual real de los depósitos privados (volumen) y la holgura entre depósitos y préstamos (asignación).</w:t>
      </w:r>
    </w:p>
    <w:p>
      <w:pPr>
        <w:pStyle w:val="BodyText"/>
      </w:pPr>
      <w:r>
        <w:t xml:space="preserve">Un sistema con capacidad de fondeo por encima de lo habitual puede acompañar la inversión y la actividad; uno sin margen, no. Se publica en desvíos estándar respecto de la historia 2018→hoy: 0 es el mes típico · por encima de +0,5 expansión (verde) · por debajo de −0,5 contracción (rojo). Datos del BCRA (BADLAR, depósitos y préstamos privados) e IPC del INDEC.</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46"/>
    <w:bookmarkStart w:id="47" w:name="método-de-cómputo-2"/>
    <w:p>
      <w:pPr>
        <w:pStyle w:val="Heading2"/>
        <w:keepNext/>
      </w:pPr>
      <w:r>
        <w:t xml:space="preserve">Método de cómputo</w:t>
      </w:r>
    </w:p>
    <w:p>
      <w:pPr>
        <w:numPr>
          <w:ilvl w:val="0"/>
          <w:numId w:val="1010"/>
        </w:numPr>
        <w:pStyle w:val="Compact"/>
      </w:pPr>
      <w:r>
        <w:t xml:space="preserve">Tres niveles mensuales: la tasa real que reciben los depositantes (precio), el crecimiento interanual real de los depósitos privados (volumen) y la holgura entre depósitos y préstamos (asignación).</w:t>
      </w:r>
    </w:p>
    <w:p>
      <w:pPr>
        <w:numPr>
          <w:ilvl w:val="0"/>
          <w:numId w:val="1010"/>
        </w:numPr>
        <w:pStyle w:val="Compact"/>
      </w:pPr>
      <w:r>
        <w:t xml:space="preserve">Cada nivel se compara contra toda su propia historia (2018 en adelante) y se expresa en desvíos estándar: 0 es el mes histórico típico.</w:t>
      </w:r>
    </w:p>
    <w:p>
      <w:pPr>
        <w:numPr>
          <w:ilvl w:val="0"/>
          <w:numId w:val="1010"/>
        </w:numPr>
        <w:pStyle w:val="Compact"/>
      </w:pPr>
      <w:r>
        <w:t xml:space="preserve">Combinación 30% precio + 40% volumen + 30% asignación; semáforo: por encima de +0,5 desvíos, capacidad mayor a la habitual; por debajo de −0,5, menor.</w:t>
      </w:r>
    </w:p>
    <w:bookmarkEnd w:id="47"/>
    <w:bookmarkStart w:id="48" w:name="Xeaceac25dc22f621ad8bee78d29eedd39b8dc62"/>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(σ vs. su historia)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−0,6 – 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−0,9 – −0,6</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−0,9</w:t>
            </w:r>
          </w:p>
        </w:tc>
        <w:tc>
          <w:tcPr>
            <w:shd w:val="clear" w:color="auto" w:fill="FEE2E2"/>
          </w:tcPr>
          <w:p>
            <w:pPr>
              <w:pStyle w:val="Compact"/>
              <w:jc w:val="center"/>
            </w:pPr>
            <w:r>
              <w:rPr>
                <w:b/>
                <w:sz w:val="18"/>
                <w:color w:val="7F1D1D"/>
              </w:rPr>
              <w:t xml:space="preserve">ROJO</w:t>
            </w:r>
          </w:p>
        </w:tc>
      </w:tr>
    </w:tbl>
    <w:bookmarkEnd w:id="48"/>
    <w:bookmarkStart w:id="49"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1"/>
        </w:numPr>
        <w:pStyle w:val="Compact"/>
      </w:pPr>
      <w:r>
        <w:t xml:space="preserve">−0,25 σ = precio 0,43 · volumen −0,13 · asignación −1,1 (banda propia del IdC: amarillo) — niveles: tasa real −0,29 pp · depósitos −1,4% i.a. real · holgura 18,2%</w:t>
      </w:r>
    </w:p>
    <w:bookmarkEnd w:id="49"/>
    <w:bookmarkStart w:id="50" w:name="color-vigente-y-por-qué-2"/>
    <w:p>
      <w:pPr>
        <w:pStyle w:val="Heading2"/>
        <w:keepNext/>
      </w:pPr>
      <w:r>
        <w:t xml:space="preserve">Color vigente y por qué</w:t>
      </w:r>
    </w:p>
    <w:p>
      <w:pPr>
        <w:pStyle w:val="FirstParagraph"/>
      </w:pPr>
      <w:r>
        <w:t xml:space="preserve">Dato vigente: −0,25 σ vs. su historia (2026-06).</w:t>
      </w:r>
    </w:p>
    <w:p>
      <w:pPr>
        <w:pStyle w:val="BodyText"/>
      </w:pPr>
      <w:r>
        <w:t xml:space="preserve">−0,25 σ vs. su historia cae en el tramo que corresponde a Amarillo, a 0,25 del corte más cercano.</w:t>
      </w:r>
    </w:p>
    <w:p>
      <w:pPr>
        <w:pStyle w:val="BodyText"/>
      </w:pPr>
      <w:r>
        <w:rPr>
          <w:bCs/>
          <w:b/>
        </w:rPr>
        <w:t xml:space="preserve">Color vigente: AMARILLO</w:t>
      </w:r>
    </w:p>
    <w:p>
      <w:pPr>
        <w:pStyle w:val="BodyText"/>
      </w:pPr>
      <w:r>
        <w:t xml:space="preserve">Ponderación vigente en el ITCM: 3,4 % efectivo. El color es una lectura adicional — no reemplaza ni cambia esta ponderación.</w:t>
      </w:r>
    </w:p>
    <w:p>
      <w:pPr>
        <w:numPr>
          <w:ilvl w:val="0"/>
          <w:numId w:val="1012"/>
        </w:numPr>
        <w:pStyle w:val="Compact"/>
      </w:pPr>
      <w:r>
        <w:rPr>
          <w:bCs/>
          <w:b/>
        </w:rPr>
        <w:t xml:space="preserve">Participación en otros indicadores.</w:t>
      </w:r>
      <w:r>
        <w:t xml:space="preserve"> </w:t>
      </w:r>
      <w:r>
        <w:t xml:space="preserve">Comparte insumos con otros indicadores del sistema: los depósitos privados también entran al IDM, y la tasa BADLAR se sigue extrayendo como insumo aunque no se publique como indicador propio.</w:t>
      </w:r>
    </w:p>
    <w:bookmarkEnd w:id="50"/>
    <w:bookmarkStart w:id="51" w:name="transparencia-limitaciones-declaradas-2"/>
    <w:p>
      <w:pPr>
        <w:pStyle w:val="Heading2"/>
        <w:keepNext/>
      </w:pPr>
      <w:r>
        <w:t xml:space="preserve">Transparencia — limitaciones declaradas</w:t>
      </w:r>
    </w:p>
    <w:p>
      <w:pPr>
        <w:numPr>
          <w:ilvl w:val="0"/>
          <w:numId w:val="1013"/>
        </w:numPr>
        <w:pStyle w:val="Compact"/>
      </w:pPr>
      <w:r>
        <w:t xml:space="preserve">Queda una correlación residual entre los componentes de volumen y asignación (ambos usan los depósitos), remanente declarado del rediseño.</w:t>
      </w:r>
    </w:p>
    <w:p>
      <w:pPr>
        <w:numPr>
          <w:ilvl w:val="0"/>
          <w:numId w:val="1013"/>
        </w:numPr>
        <w:pStyle w:val="Compact"/>
      </w:pPr>
      <w:r>
        <w:t xml:space="preserve">Sin pretensión predictiva, y con la validación en contra documentada: sobre más de cien meses, el IdC no anticipa el crédito futuro. Es un descriptor del estado de las condiciones de fondeo, no un pronóstico.</w:t>
      </w:r>
    </w:p>
    <w:p>
      <w:pPr>
        <w:numPr>
          <w:ilvl w:val="0"/>
          <w:numId w:val="1013"/>
        </w:numPr>
        <w:pStyle w:val="Compact"/>
      </w:pPr>
      <w:r>
        <w:t xml:space="preserve">Los desvíos se recalculan contra la historia completa en cada actualización: los puntos históricos pueden moverse levemente entre ediciones.</w:t>
      </w:r>
    </w:p>
    <w:bookmarkEnd w:id="51"/>
    <w:bookmarkStart w:id="52" w:name="Xef0254494c8cbb948c0e61c654d5e9b1983623c"/>
    <w:p>
      <w:pPr>
        <w:pStyle w:val="Heading2"/>
        <w:keepNext/>
      </w:pPr>
      <w:r>
        <w:t xml:space="preserve">Si falta el dato / Política de revisiones</w:t>
      </w:r>
    </w:p>
    <w:p>
      <w:pPr>
        <w:numPr>
          <w:ilvl w:val="0"/>
          <w:numId w:val="1014"/>
        </w:numPr>
      </w:pPr>
      <w:r>
        <w:rPr>
          <w:bCs/>
          <w:b/>
        </w:rPr>
        <w:t xml:space="preserve">Si falta el dato:</w:t>
      </w:r>
      <w:r>
        <w:t xml:space="preserve"> </w:t>
      </w:r>
      <w:r>
        <w:t xml:space="preserve">Si la historia disponible baja de 60 meses o falla algún insumo, se mantiene el último valor disponible, señalado como desactualizado; sin dato, los pesos de la dimensión de financiamiento se renormalizan.</w:t>
      </w:r>
    </w:p>
    <w:p>
      <w:pPr>
        <w:numPr>
          <w:ilvl w:val="0"/>
          <w:numId w:val="1014"/>
        </w:numPr>
      </w:pPr>
      <w:r>
        <w:rPr>
          <w:bCs/>
          <w:b/>
        </w:rPr>
        <w:t xml:space="preserve">Política de revisiones:</w:t>
      </w:r>
      <w:r>
        <w:t xml:space="preserve"> </w:t>
      </w:r>
      <w:r>
        <w:t xml:space="preserve">Al redefinirse la métrica, el histórico de la versión anterior se purgó: la serie publicada es homogénea. Se regenera completa en cada actualización.</w:t>
      </w:r>
    </w:p>
    <w:bookmarkEnd w:id="52"/>
    <w:bookmarkStart w:id="53" w:name="X26b91c30c62ddbbdbd672bb193ae636df8c7ae1"/>
    <w:p>
      <w:pPr>
        <w:pStyle w:val="Heading2"/>
        <w:keepNext/>
      </w:pPr>
      <w:r>
        <w:t xml:space="preserve">Historial — cambios metodológicos documentados</w:t>
      </w:r>
    </w:p>
    <w:p>
      <w:pPr>
        <w:pStyle w:val="FirstParagraph"/>
      </w:pPr>
      <w:r>
        <w:rPr>
          <w:bCs/>
          <w:b/>
        </w:rPr>
        <w:t xml:space="preserve">2026-06-26</w:t>
      </w:r>
      <w:r>
        <w:t xml:space="preserve"> </w:t>
      </w:r>
      <w:r>
        <w:t xml:space="preserve">— Nace el IdC en reemplazo de la tasa BADLAR dentro de la dimensión de financiamiento, como índice de ratios mensuales.</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Rediseño de la métrica: pasa de ratios mes a mes a niveles estandarizados contra la propia historia, publicados en desvíos estándar.</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53"/>
    <w:bookmarkEnd w:id="54"/>
    <w:bookmarkStart w:id="64" w:name="actividad-económica-emae-i.a."/>
    <w:p>
      <w:pPr>
        <w:pStyle w:val="Heading1"/>
        <w:keepNext/>
      </w:pPr>
      <w:r>
        <w:t xml:space="preserve">Actividad económica (EMAE i.a.)</w:t>
      </w:r>
    </w:p>
    <w:p>
      <w:pPr>
        <w:pStyle w:val="FirstParagraph"/>
      </w:pPr>
      <w:r>
        <w:t xml:space="preserve">El pulso mensual de la actividad económica: cuánto creció o cayó respecto de un año atrás.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0,24 % i.a.</w:t>
            </w:r>
            <w:r>
              <w:rPr>
                <w:sz w:val="18"/>
              </w:rPr>
              <w:t xml:space="preserve"> </w:t>
            </w:r>
            <w:r>
              <w:rPr>
                <w:sz w:val="18"/>
              </w:rPr>
              <w:t xml:space="preserve">(2026-05)</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6,6 % del ITCM</w:t>
            </w:r>
          </w:p>
        </w:tc>
        <w:tc>
          <w:p>
            <w:pPr>
              <w:pStyle w:val="Compact"/>
              <w:jc w:val="left"/>
            </w:pPr>
            <w:r>
              <w:rPr>
                <w:sz w:val="18"/>
              </w:rPr>
              <w:t xml:space="preserve">Cinturón Macroeconomía</w:t>
            </w:r>
          </w:p>
        </w:tc>
      </w:tr>
    </w:tbl>
    <w:bookmarkStart w:id="55" w:name="identificación-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emae_ia</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Actividad económica</w:t>
            </w:r>
          </w:p>
        </w:tc>
        <w:tc>
          <w:p>
            <w:pPr>
              <w:pStyle w:val="Compact"/>
              <w:jc w:val="left"/>
            </w:pPr>
            <w:r>
              <w:rPr>
                <w:bCs/>
                <w:b/>
                <w:sz w:val="18"/>
              </w:rPr>
              <w:t xml:space="preserve">UNIDAD DE MEDIDA</w:t>
            </w:r>
          </w:p>
        </w:tc>
        <w:tc>
          <w:p>
            <w:pPr>
              <w:pStyle w:val="Compact"/>
              <w:jc w:val="left"/>
            </w:pPr>
            <w:r>
              <w:rPr>
                <w:sz w:val="18"/>
              </w:rPr>
              <w:t xml:space="preserve">% i.a.</w:t>
            </w:r>
          </w:p>
        </w:tc>
      </w:tr>
      <w:tr>
        <w:trPr>
          <w:cantSplit/>
        </w:trPr>
        <w:tc>
          <w:p>
            <w:pPr>
              <w:pStyle w:val="Compact"/>
              <w:jc w:val="left"/>
            </w:pPr>
            <w:r>
              <w:rPr>
                <w:bCs/>
                <w:b/>
                <w:sz w:val="18"/>
              </w:rPr>
              <w:t xml:space="preserve">SERIE DISPONIBLE</w:t>
            </w:r>
          </w:p>
        </w:tc>
        <w:tc>
          <w:p>
            <w:pPr>
              <w:pStyle w:val="Compact"/>
              <w:jc w:val="left"/>
            </w:pPr>
            <w:r>
              <w:rPr>
                <w:sz w:val="18"/>
              </w:rPr>
              <w:t xml:space="preserve">2021-06 → 2026-05 (60 puntos)</w:t>
            </w:r>
          </w:p>
        </w:tc>
        <w:tc>
          <w:p>
            <w:pPr>
              <w:pStyle w:val="Compact"/>
              <w:jc w:val="left"/>
            </w:pPr>
            <w:r>
              <w:rPr>
                <w:bCs/>
                <w:b/>
                <w:sz w:val="18"/>
              </w:rPr>
              <w:t xml:space="preserve">REZAGO DE PUBLICACIÓN</w:t>
            </w:r>
          </w:p>
        </w:tc>
        <w:tc>
          <w:p>
            <w:pPr>
              <w:pStyle w:val="Compact"/>
              <w:jc w:val="left"/>
            </w:pPr>
            <w:r>
              <w:rPr>
                <w:sz w:val="18"/>
              </w:rPr>
              <w:t xml:space="preserve">El INDEC publica el EMAE de cada mes hacia fines del segundo mes siguiente: es el indicador simple más rezagado del índice (~2 meses).</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EMAE — Estimador Mensual de Actividad Económica, variación interanual de la serie original (base 2004)</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de datos.gob.ar.</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55"/>
    <w:bookmarkStart w:id="56" w:name="definición-qué-mide-y-por-qué-importa-3"/>
    <w:p>
      <w:pPr>
        <w:pStyle w:val="Heading2"/>
        <w:keepNext/>
      </w:pPr>
      <w:r>
        <w:t xml:space="preserve">Definición — qué mide y por qué importa</w:t>
      </w:r>
    </w:p>
    <w:p>
      <w:pPr>
        <w:pStyle w:val="FirstParagraph"/>
      </w:pPr>
      <w:r>
        <w:t xml:space="preserve">El pulso mensual de la actividad económica: cuánto creció o cayó respecto de un año atrás.</w:t>
      </w:r>
    </w:p>
    <w:p>
      <w:pPr>
        <w:pStyle w:val="BodyText"/>
      </w:pPr>
      <w:r>
        <w:t xml:space="preserve">Adelanta el ritmo del PBI: si la economía se expande o se contrae.</w:t>
      </w:r>
    </w:p>
    <w:p>
      <w:pPr>
        <w:pStyle w:val="BodyText"/>
      </w:pPr>
      <w:r>
        <w:rPr>
          <w:bCs/>
          <w:b/>
        </w:rPr>
        <w:t xml:space="preserve">Dimensión que integra — Actividad económica.</w:t>
      </w:r>
      <w:r>
        <w:t xml:space="preserve"> </w:t>
      </w:r>
      <w:r>
        <w:t xml:space="preserve">Si la economía crece o se contrae: el EMAE interanual como pulso general de la actividad.</w:t>
      </w:r>
    </w:p>
    <w:bookmarkEnd w:id="56"/>
    <w:bookmarkStart w:id="57" w:name="método-de-cómputo-3"/>
    <w:p>
      <w:pPr>
        <w:pStyle w:val="Heading2"/>
        <w:keepNext/>
      </w:pPr>
      <w:r>
        <w:t xml:space="preserve">Método de cómputo</w:t>
      </w:r>
    </w:p>
    <w:p>
      <w:pPr>
        <w:numPr>
          <w:ilvl w:val="0"/>
          <w:numId w:val="1015"/>
        </w:numPr>
        <w:pStyle w:val="Compact"/>
      </w:pPr>
      <w:r>
        <w:t xml:space="preserve">La variación interanual viene calculada por la fuente; la única transformación es de formato (fracción a porcentaje).</w:t>
      </w:r>
    </w:p>
    <w:bookmarkEnd w:id="57"/>
    <w:bookmarkStart w:id="58" w:name="X884d325e79d6de86b403bfd00b9257f415af6f1"/>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 – 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−3,5 – −1</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−3,5</w:t>
            </w:r>
          </w:p>
        </w:tc>
        <w:tc>
          <w:tcPr>
            <w:shd w:val="clear" w:color="auto" w:fill="FEE2E2"/>
          </w:tcPr>
          <w:p>
            <w:pPr>
              <w:pStyle w:val="Compact"/>
              <w:jc w:val="center"/>
            </w:pPr>
            <w:r>
              <w:rPr>
                <w:b/>
                <w:sz w:val="18"/>
                <w:color w:val="7F1D1D"/>
              </w:rPr>
              <w:t xml:space="preserve">ROJO</w:t>
            </w:r>
          </w:p>
        </w:tc>
      </w:tr>
    </w:tbl>
    <w:bookmarkEnd w:id="58"/>
    <w:bookmarkStart w:id="59"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6"/>
        </w:numPr>
        <w:pStyle w:val="Compact"/>
      </w:pPr>
      <w:r>
        <w:t xml:space="preserve">El informe publica el valor (0,24 % i.a.) pero no los números que lo componen: la fuente entrega la serie ya calculada. Para auditar el dato hay que ir a la operación estadística citada más arriba.</w:t>
      </w:r>
    </w:p>
    <w:bookmarkEnd w:id="59"/>
    <w:bookmarkStart w:id="60" w:name="color-vigente-y-por-qué-3"/>
    <w:p>
      <w:pPr>
        <w:pStyle w:val="Heading2"/>
        <w:keepNext/>
      </w:pPr>
      <w:r>
        <w:t xml:space="preserve">Color vigente y por qué</w:t>
      </w:r>
    </w:p>
    <w:p>
      <w:pPr>
        <w:pStyle w:val="FirstParagraph"/>
      </w:pPr>
      <w:r>
        <w:t xml:space="preserve">Dato vigente: 0,24 % i.a. (2026-05).</w:t>
      </w:r>
    </w:p>
    <w:p>
      <w:pPr>
        <w:pStyle w:val="BodyText"/>
      </w:pPr>
      <w:r>
        <w:t xml:space="preserve">0,24 % i.a. cae en el tramo que corresponde a Amarillo, a 1,24 del corte más cercano.</w:t>
      </w:r>
    </w:p>
    <w:p>
      <w:pPr>
        <w:pStyle w:val="BodyText"/>
      </w:pPr>
      <w:r>
        <w:rPr>
          <w:bCs/>
          <w:b/>
        </w:rPr>
        <w:t xml:space="preserve">Color vigente: AMARILLO</w:t>
      </w:r>
    </w:p>
    <w:p>
      <w:pPr>
        <w:pStyle w:val="BodyText"/>
      </w:pPr>
      <w:r>
        <w:t xml:space="preserve">Ponderación vigente en el ITCM: 6,6 % efectivo. El color es una lectura adicional — no reemplaza ni cambia esta ponderación.</w:t>
      </w:r>
    </w:p>
    <w:p>
      <w:pPr>
        <w:numPr>
          <w:ilvl w:val="0"/>
          <w:numId w:val="1017"/>
        </w:numPr>
        <w:pStyle w:val="Compact"/>
      </w:pPr>
      <w:r>
        <w:rPr>
          <w:bCs/>
          <w:b/>
        </w:rPr>
        <w:t xml:space="preserve">Participación en otros indicadores.</w:t>
      </w:r>
      <w:r>
        <w:t xml:space="preserve"> </w:t>
      </w:r>
      <w:r>
        <w:t xml:space="preserve">La misma serie se extrae también como insumo de contexto en el cinturón de vida cotidiana.</w:t>
      </w:r>
    </w:p>
    <w:bookmarkEnd w:id="60"/>
    <w:bookmarkStart w:id="61" w:name="transparencia-limitaciones-declaradas-3"/>
    <w:p>
      <w:pPr>
        <w:pStyle w:val="Heading2"/>
        <w:keepNext/>
      </w:pPr>
      <w:r>
        <w:t xml:space="preserve">Transparencia — limitaciones declaradas</w:t>
      </w:r>
    </w:p>
    <w:p>
      <w:pPr>
        <w:numPr>
          <w:ilvl w:val="0"/>
          <w:numId w:val="1018"/>
        </w:numPr>
        <w:pStyle w:val="Compact"/>
      </w:pPr>
      <w:r>
        <w:t xml:space="preserve">El EMAE es provisorio y el INDEC lo revisa hacia atrás con cada publicación; la serie del informe absorbe esas revisiones al regenerarse.</w:t>
      </w:r>
    </w:p>
    <w:p>
      <w:pPr>
        <w:numPr>
          <w:ilvl w:val="0"/>
          <w:numId w:val="1018"/>
        </w:numPr>
        <w:pStyle w:val="Compact"/>
      </w:pPr>
      <w:r>
        <w:t xml:space="preserve">Comparte dimensión con el IPI manufacturero, que aporta la segunda lectura de actividad; hasta julio de 2026 era la única variable, y el 11% del índice colgaba de un solo dato.</w:t>
      </w:r>
    </w:p>
    <w:bookmarkEnd w:id="61"/>
    <w:bookmarkStart w:id="62" w:name="X70e697facfb18692fa01ac9fd893f095e78dfba"/>
    <w:p>
      <w:pPr>
        <w:pStyle w:val="Heading2"/>
        <w:keepNext/>
      </w:pPr>
      <w:r>
        <w:t xml:space="preserve">Si falta el dato / Política de revisiones</w:t>
      </w:r>
    </w:p>
    <w:p>
      <w:pPr>
        <w:numPr>
          <w:ilvl w:val="0"/>
          <w:numId w:val="1019"/>
        </w:numPr>
      </w:pPr>
      <w:r>
        <w:rPr>
          <w:bCs/>
          <w:b/>
        </w:rPr>
        <w:t xml:space="preserve">Si falta el dato:</w:t>
      </w:r>
      <w:r>
        <w:t xml:space="preserve"> </w:t>
      </w:r>
      <w:r>
        <w:t xml:space="preserve">Si el dato falta, se mantiene el último valor disponible, señalado como desactualizado; sin ningún valor previo, la dimensión de actividad queda vacía y su peso se redistribuye entre las demás.</w:t>
      </w:r>
    </w:p>
    <w:p>
      <w:pPr>
        <w:numPr>
          <w:ilvl w:val="0"/>
          <w:numId w:val="1019"/>
        </w:numPr>
      </w:pPr>
      <w:r>
        <w:rPr>
          <w:bCs/>
          <w:b/>
        </w:rPr>
        <w:t xml:space="preserve">Política de revisiones:</w:t>
      </w:r>
      <w:r>
        <w:t xml:space="preserve"> </w:t>
      </w:r>
      <w:r>
        <w:t xml:space="preserve">La fuente revisa (serie provisoria); el informe regenera la serie completa en cada actualización y puntúa siempre el último dato publicado, sin proyecciones propias.</w:t>
      </w:r>
    </w:p>
    <w:bookmarkEnd w:id="62"/>
    <w:bookmarkStart w:id="63" w:name="X57c472e6153e0a3a54ac23c7ee61d844b37a3be"/>
    <w:p>
      <w:pPr>
        <w:pStyle w:val="Heading2"/>
        <w:keepNext/>
      </w:pPr>
      <w:r>
        <w:t xml:space="preserve">Historial — cambios metodológicos documentados</w:t>
      </w:r>
    </w:p>
    <w:p>
      <w:pPr>
        <w:pStyle w:val="FirstParagraph"/>
      </w:pPr>
      <w:r>
        <w:rPr>
          <w:bCs/>
          <w:b/>
        </w:rPr>
        <w:t xml:space="preserve">2026-06</w:t>
      </w:r>
      <w:r>
        <w:t xml:space="preserve"> </w:t>
      </w:r>
      <w:r>
        <w:t xml:space="preserve">— En el índice desde la paramétrica original como única variable de actividad; su peso de dimensión bajó de 15% a 13% y luego a 11% al incorporarse las dimensiones de competitividad e inversión.</w:t>
      </w:r>
    </w:p>
    <w:p>
      <w:pPr>
        <w:pStyle w:val="BodyText"/>
      </w:pPr>
      <w:r>
        <w:rPr>
          <w:bCs/>
          <w:b/>
        </w:rPr>
        <w:t xml:space="preserve">2026-07-03</w:t>
      </w:r>
      <w:r>
        <w:t xml:space="preserve"> </w:t>
      </w:r>
      <w:r>
        <w:t xml:space="preserve">— Puntaje interpolado entre anclas.</w:t>
      </w:r>
    </w:p>
    <w:p>
      <w:pPr>
        <w:pStyle w:val="BodyText"/>
      </w:pPr>
      <w:r>
        <w:rPr>
          <w:bCs/>
          <w:b/>
        </w:rPr>
        <w:t xml:space="preserve">2026-07-18</w:t>
      </w:r>
      <w:r>
        <w:t xml:space="preserve"> </w:t>
      </w:r>
      <w:r>
        <w:t xml:space="preserve">— Deja de ser la única variable de la dimensión: pasa a pesar 65% junto al IPI manufacturero (35%).</w:t>
      </w:r>
    </w:p>
    <w:p>
      <w:pPr>
        <w:pStyle w:val="BodyText"/>
      </w:pPr>
      <w:r>
        <w:rPr>
          <w:bCs/>
          <w:b/>
        </w:rPr>
        <w:t xml:space="preserve">2026-07-25</w:t>
      </w:r>
      <w:r>
        <w:t xml:space="preserve"> </w:t>
      </w:r>
      <w:r>
        <w:t xml:space="preserve">— Su peso dentro de la dimensión baja de 80% a 60% al incorporarse la amplitud del crecimiento, que lee la misma fuente en su apertura por sectores.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63"/>
    <w:bookmarkEnd w:id="64"/>
    <w:bookmarkStart w:id="74" w:name="X68e449f8330bb030e1715a1a667adc3028fc645"/>
    <w:p>
      <w:pPr>
        <w:pStyle w:val="Heading1"/>
        <w:keepNext/>
      </w:pPr>
      <w:r>
        <w:t xml:space="preserve">Amplitud del crecimiento (sectores en alza)</w:t>
      </w:r>
    </w:p>
    <w:p>
      <w:pPr>
        <w:pStyle w:val="FirstParagraph"/>
      </w:pPr>
      <w:r>
        <w:t xml:space="preserve">De los quince sectores en que el INDEC divide la actividad económica, cuántos crecen respecto de un año atrás.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53,33 % de sectores en crecimiento i.a.</w:t>
            </w:r>
            <w:r>
              <w:rPr>
                <w:sz w:val="18"/>
              </w:rPr>
              <w:t xml:space="preserve"> </w:t>
            </w:r>
            <w:r>
              <w:rPr>
                <w:sz w:val="18"/>
              </w:rPr>
              <w:t xml:space="preserve">(2026-05)</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2,2 % del ITCM</w:t>
            </w:r>
          </w:p>
        </w:tc>
        <w:tc>
          <w:p>
            <w:pPr>
              <w:pStyle w:val="Compact"/>
              <w:jc w:val="left"/>
            </w:pPr>
            <w:r>
              <w:rPr>
                <w:sz w:val="18"/>
              </w:rPr>
              <w:t xml:space="preserve">Cinturón Macroeconomía</w:t>
            </w:r>
          </w:p>
        </w:tc>
      </w:tr>
    </w:tbl>
    <w:bookmarkStart w:id="65" w:name="identificación-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emae_difusion</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Actividad económica</w:t>
            </w:r>
          </w:p>
        </w:tc>
        <w:tc>
          <w:p>
            <w:pPr>
              <w:pStyle w:val="Compact"/>
              <w:jc w:val="left"/>
            </w:pPr>
            <w:r>
              <w:rPr>
                <w:bCs/>
                <w:b/>
                <w:sz w:val="18"/>
              </w:rPr>
              <w:t xml:space="preserve">UNIDAD DE MEDIDA</w:t>
            </w:r>
          </w:p>
        </w:tc>
        <w:tc>
          <w:p>
            <w:pPr>
              <w:pStyle w:val="Compact"/>
              <w:jc w:val="left"/>
            </w:pPr>
            <w:r>
              <w:rPr>
                <w:sz w:val="18"/>
              </w:rPr>
              <w:t xml:space="preserve">% de sectores en crecimiento i.a.</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2026-05 (30 puntos)</w:t>
            </w:r>
          </w:p>
        </w:tc>
        <w:tc>
          <w:p>
            <w:pPr>
              <w:pStyle w:val="Compact"/>
              <w:jc w:val="left"/>
            </w:pPr>
            <w:r>
              <w:rPr>
                <w:bCs/>
                <w:b/>
                <w:sz w:val="18"/>
              </w:rPr>
              <w:t xml:space="preserve">REZAGO DE PUBLICACIÓN</w:t>
            </w:r>
          </w:p>
        </w:tc>
        <w:tc>
          <w:p>
            <w:pPr>
              <w:pStyle w:val="Compact"/>
              <w:jc w:val="left"/>
            </w:pPr>
            <w:r>
              <w:rPr>
                <w:sz w:val="18"/>
              </w:rPr>
              <w:t xml:space="preserve">Se publica junto con el EMAE agregado, hacia fines del segundo mes siguiente al de referencia (~2 meses). La apertura sectorial sale el mismo día que el nivel general, de modo que este indicador no agrega rezago sobre el que ya tiene la dimensión.</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EMAE — Estimador Mensual de Actividad Económica, apertura sectorial (índices por sector, base 2004)</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de datos.gob.ar, en una única consulta con las quince series.</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65"/>
    <w:bookmarkStart w:id="66" w:name="definición-qué-mide-y-por-qué-importa-4"/>
    <w:p>
      <w:pPr>
        <w:pStyle w:val="Heading2"/>
        <w:keepNext/>
      </w:pPr>
      <w:r>
        <w:t xml:space="preserve">Definición — qué mide y por qué importa</w:t>
      </w:r>
    </w:p>
    <w:p>
      <w:pPr>
        <w:pStyle w:val="FirstParagraph"/>
      </w:pPr>
      <w:r>
        <w:t xml:space="preserve">De los quince sectores en que el INDEC divide la actividad económica, cuántos crecen respecto de un año atrás.</w:t>
      </w:r>
    </w:p>
    <w:p>
      <w:pPr>
        <w:pStyle w:val="BodyText"/>
      </w:pPr>
      <w:r>
        <w:t xml:space="preserve">Distingue un crecimiento generalizado de uno concentrado en pocos sectores. El EMAE informa cuánto crece la economía; este indicador, en cuántas partes de ella crece: dos meses con la misma variación agregada pueden significar cosas muy distintas según cuántos sectores la sostengan.</w:t>
      </w:r>
    </w:p>
    <w:p>
      <w:pPr>
        <w:pStyle w:val="BodyText"/>
      </w:pPr>
      <w:r>
        <w:rPr>
          <w:bCs/>
          <w:b/>
        </w:rPr>
        <w:t xml:space="preserve">Dimensión que integra — Actividad económica.</w:t>
      </w:r>
      <w:r>
        <w:t xml:space="preserve"> </w:t>
      </w:r>
      <w:r>
        <w:t xml:space="preserve">Si la economía crece o se contrae: el EMAE interanual como pulso general de la actividad.</w:t>
      </w:r>
    </w:p>
    <w:bookmarkEnd w:id="66"/>
    <w:bookmarkStart w:id="67" w:name="método-de-cómputo-4"/>
    <w:p>
      <w:pPr>
        <w:pStyle w:val="Heading2"/>
        <w:keepNext/>
      </w:pPr>
      <w:r>
        <w:t xml:space="preserve">Método de cómputo</w:t>
      </w:r>
    </w:p>
    <w:p>
      <w:pPr>
        <w:numPr>
          <w:ilvl w:val="0"/>
          <w:numId w:val="1020"/>
        </w:numPr>
        <w:pStyle w:val="Compact"/>
      </w:pPr>
      <w:r>
        <w:t xml:space="preserve">Para cada uno de los quince sectores se calcula la variación contra el mismo mes del año anterior, sobre el índice original.</w:t>
      </w:r>
    </w:p>
    <w:p>
      <w:pPr>
        <w:numPr>
          <w:ilvl w:val="0"/>
          <w:numId w:val="1020"/>
        </w:numPr>
        <w:pStyle w:val="Compact"/>
      </w:pPr>
      <w:r>
        <w:t xml:space="preserve">Se cuenta cuántos sectores tienen variación positiva y se expresa como porcentaje del total.</w:t>
      </w:r>
    </w:p>
    <w:p>
      <w:pPr>
        <w:numPr>
          <w:ilvl w:val="0"/>
          <w:numId w:val="1020"/>
        </w:numPr>
        <w:pStyle w:val="Compact"/>
      </w:pPr>
      <w:r>
        <w:t xml:space="preserve">Un mes sólo se publica si los quince sectores tienen dato: una difusión calculada sobre doce sectores no sería comparable con una calculada sobre quince.</w:t>
      </w:r>
    </w:p>
    <w:bookmarkEnd w:id="67"/>
    <w:bookmarkStart w:id="68" w:name="X645ca3b02a92b2e30ea8c7e8d98b73de6b8b70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sectores en crecimiento 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60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44 – 60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34 – 44</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34</w:t>
            </w:r>
          </w:p>
        </w:tc>
        <w:tc>
          <w:tcPr>
            <w:shd w:val="clear" w:color="auto" w:fill="FEE2E2"/>
          </w:tcPr>
          <w:p>
            <w:pPr>
              <w:pStyle w:val="Compact"/>
              <w:jc w:val="center"/>
            </w:pPr>
            <w:r>
              <w:rPr>
                <w:b/>
                <w:sz w:val="18"/>
                <w:color w:val="7F1D1D"/>
              </w:rPr>
              <w:t xml:space="preserve">ROJO</w:t>
            </w:r>
          </w:p>
        </w:tc>
      </w:tr>
    </w:tbl>
    <w:bookmarkEnd w:id="68"/>
    <w:bookmarkStart w:id="69"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1"/>
        </w:numPr>
        <w:pStyle w:val="Compact"/>
      </w:pPr>
      <w:r>
        <w:t xml:space="preserve">8 de 15 sectores crecen · lidera Explotación de minas y canteras (15,66%) · el que más cae es Pesca (-29,34%)</w:t>
      </w:r>
    </w:p>
    <w:bookmarkEnd w:id="69"/>
    <w:bookmarkStart w:id="70" w:name="color-vigente-y-por-qué-4"/>
    <w:p>
      <w:pPr>
        <w:pStyle w:val="Heading2"/>
        <w:keepNext/>
      </w:pPr>
      <w:r>
        <w:t xml:space="preserve">Color vigente y por qué</w:t>
      </w:r>
    </w:p>
    <w:p>
      <w:pPr>
        <w:pStyle w:val="FirstParagraph"/>
      </w:pPr>
      <w:r>
        <w:t xml:space="preserve">Dato vigente: 53,33 % de sectores en crecimiento i.a. (2026-05).</w:t>
      </w:r>
    </w:p>
    <w:p>
      <w:pPr>
        <w:pStyle w:val="BodyText"/>
      </w:pPr>
      <w:r>
        <w:t xml:space="preserve">53,33 % de sectores en crecimiento i.a. cae en el tramo que corresponde a Amarillo, a 6,67 del corte más cercano.</w:t>
      </w:r>
    </w:p>
    <w:p>
      <w:pPr>
        <w:pStyle w:val="BodyText"/>
      </w:pPr>
      <w:r>
        <w:rPr>
          <w:bCs/>
          <w:b/>
        </w:rPr>
        <w:t xml:space="preserve">Color vigente: AMARILLO</w:t>
      </w:r>
    </w:p>
    <w:p>
      <w:pPr>
        <w:pStyle w:val="BodyText"/>
      </w:pPr>
      <w:r>
        <w:t xml:space="preserve">Ponderación vigente en el ITCM: 2,2 % efectivo. El color es una lectura adicional — no reemplaza ni cambia esta ponderación.</w:t>
      </w:r>
    </w:p>
    <w:bookmarkEnd w:id="70"/>
    <w:bookmarkStart w:id="71" w:name="transparencia-limitaciones-declaradas-4"/>
    <w:p>
      <w:pPr>
        <w:pStyle w:val="Heading2"/>
        <w:keepNext/>
      </w:pPr>
      <w:r>
        <w:t xml:space="preserve">Transparencia — limitaciones declaradas</w:t>
      </w:r>
    </w:p>
    <w:p>
      <w:pPr>
        <w:numPr>
          <w:ilvl w:val="0"/>
          <w:numId w:val="1022"/>
        </w:numPr>
        <w:pStyle w:val="Compact"/>
      </w:pPr>
      <w:r>
        <w:t xml:space="preserve">Todos los sectores pesan igual: un mes en que crece la pesca cuenta lo mismo que uno en que crece la industria manufacturera, que es varias veces mayor. Ponderar por participación daría una lectura distinta y exigiría una fuente adicional de estructura sectorial.</w:t>
      </w:r>
    </w:p>
    <w:p>
      <w:pPr>
        <w:numPr>
          <w:ilvl w:val="0"/>
          <w:numId w:val="1022"/>
        </w:numPr>
        <w:pStyle w:val="Compact"/>
      </w:pPr>
      <w:r>
        <w:t xml:space="preserve">Sólo mira el signo de la variación, no su magnitud: un sector que crece 0,1% y otro que crece 15% cuentan igual. Es lo que hace al indicador robusto —no lo mueve un valor extremo— y a la vez lo que le impide distinguir un crecimiento débil de uno fuerte, que es lo que mide el EMAE agregado.</w:t>
      </w:r>
    </w:p>
    <w:p>
      <w:pPr>
        <w:numPr>
          <w:ilvl w:val="0"/>
          <w:numId w:val="1022"/>
        </w:numPr>
        <w:pStyle w:val="Compact"/>
      </w:pPr>
      <w:r>
        <w:t xml:space="preserve">Comparte fuente con el EMAE agregado, con el que correlaciona 0,84 en niveles a lo largo de 257 meses. Aporta señal propia sobre todo cuando el agregado está cerca de cero: en mayo de 2026 la actividad varió 0,2% y la difusión mostró que sólo ocho de quince sectores crecían.</w:t>
      </w:r>
    </w:p>
    <w:p>
      <w:pPr>
        <w:numPr>
          <w:ilvl w:val="0"/>
          <w:numId w:val="1022"/>
        </w:numPr>
        <w:pStyle w:val="Compact"/>
      </w:pPr>
      <w:r>
        <w:t xml:space="preserve">Los sectores del EMAE son quince categorías amplias; una de ellas, la industria manufacturera, agrupa por sí sola actividades muy distintas entre sí.</w:t>
      </w:r>
    </w:p>
    <w:bookmarkEnd w:id="71"/>
    <w:bookmarkStart w:id="72" w:name="X61b77bf27a7482596b8c47f1ea71e4d36077bf4"/>
    <w:p>
      <w:pPr>
        <w:pStyle w:val="Heading2"/>
        <w:keepNext/>
      </w:pPr>
      <w:r>
        <w:t xml:space="preserve">Si falta el dato / Política de revisiones</w:t>
      </w:r>
    </w:p>
    <w:p>
      <w:pPr>
        <w:numPr>
          <w:ilvl w:val="0"/>
          <w:numId w:val="1023"/>
        </w:numPr>
      </w:pPr>
      <w:r>
        <w:rPr>
          <w:bCs/>
          <w:b/>
        </w:rPr>
        <w:t xml:space="preserve">Si falta el dato:</w:t>
      </w:r>
      <w:r>
        <w:t xml:space="preserve"> </w:t>
      </w:r>
      <w:r>
        <w:t xml:space="preserve">Si el dato falta, se mantiene el último valor disponible, señalado como desactualizado; sin ningún valor previo, el peso se redistribuye entre los otros dos indicadores de la dimensión.</w:t>
      </w:r>
    </w:p>
    <w:p>
      <w:pPr>
        <w:numPr>
          <w:ilvl w:val="0"/>
          <w:numId w:val="1023"/>
        </w:numPr>
      </w:pPr>
      <w:r>
        <w:rPr>
          <w:bCs/>
          <w:b/>
        </w:rPr>
        <w:t xml:space="preserve">Política de revisiones:</w:t>
      </w:r>
      <w:r>
        <w:t xml:space="preserve"> </w:t>
      </w:r>
      <w:r>
        <w:t xml:space="preserve">El INDEC revisa las series sectoriales hacia atrás junto con el EMAE agregado; el informe regenera la serie completa en cada actualización, de modo que una revisión puede cambiar retroactivamente el conteo de un mes ya publicado.</w:t>
      </w:r>
    </w:p>
    <w:bookmarkEnd w:id="72"/>
    <w:bookmarkStart w:id="73" w:name="X2689a8f17fd66d16ab78fd446a4f0208d24d005"/>
    <w:p>
      <w:pPr>
        <w:pStyle w:val="Heading2"/>
        <w:keepNext/>
      </w:pPr>
      <w:r>
        <w:t xml:space="preserve">Historial — cambios metodológicos documentados</w:t>
      </w:r>
    </w:p>
    <w:p>
      <w:pPr>
        <w:pStyle w:val="FirstParagraph"/>
      </w:pPr>
      <w:r>
        <w:rPr>
          <w:bCs/>
          <w:b/>
        </w:rPr>
        <w:t xml:space="preserve">2026-07-25</w:t>
      </w:r>
      <w:r>
        <w:t xml:space="preserve"> </w:t>
      </w:r>
      <w:r>
        <w:t xml:space="preserve">— Entra al índice con 20% de la dimensión de actividad, tomado del peso del EMAE agregado. La serie se reconstruyó completa desde 2005.</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73"/>
    <w:bookmarkEnd w:id="74"/>
    <w:bookmarkStart w:id="84" w:name="producción-industrial-ipi-i.a."/>
    <w:p>
      <w:pPr>
        <w:pStyle w:val="Heading1"/>
        <w:keepNext/>
      </w:pPr>
      <w:r>
        <w:t xml:space="preserve">Producción industrial (IPI i.a.)</w:t>
      </w:r>
    </w:p>
    <w:p>
      <w:pPr>
        <w:pStyle w:val="FirstParagraph"/>
      </w:pPr>
      <w:r>
        <w:t xml:space="preserve">Cuánto produce la industria manufacturera respecto de un año atrás, promediado en tres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−2 % i.a. (promedio 3 meses)</w:t>
            </w:r>
            <w:r>
              <w:rPr>
                <w:sz w:val="18"/>
              </w:rPr>
              <w:t xml:space="preserve"> </w:t>
            </w:r>
            <w:r>
              <w:rPr>
                <w:sz w:val="18"/>
              </w:rPr>
              <w:t xml:space="preserve">(2026-06)</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2,2 % del ITCM</w:t>
            </w:r>
          </w:p>
        </w:tc>
        <w:tc>
          <w:p>
            <w:pPr>
              <w:pStyle w:val="Compact"/>
              <w:jc w:val="left"/>
            </w:pPr>
            <w:r>
              <w:rPr>
                <w:sz w:val="18"/>
              </w:rPr>
              <w:t xml:space="preserve">Cinturón Macroeconomía</w:t>
            </w:r>
          </w:p>
        </w:tc>
      </w:tr>
    </w:tbl>
    <w:bookmarkStart w:id="75" w:name="identificación-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ipi_manufacturero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Actividad económica</w:t>
            </w:r>
          </w:p>
        </w:tc>
        <w:tc>
          <w:p>
            <w:pPr>
              <w:pStyle w:val="Compact"/>
              <w:jc w:val="left"/>
            </w:pPr>
            <w:r>
              <w:rPr>
                <w:bCs/>
                <w:b/>
                <w:sz w:val="18"/>
              </w:rPr>
              <w:t xml:space="preserve">UNIDAD DE MEDIDA</w:t>
            </w:r>
          </w:p>
        </w:tc>
        <w:tc>
          <w:p>
            <w:pPr>
              <w:pStyle w:val="Compact"/>
              <w:jc w:val="left"/>
            </w:pPr>
            <w:r>
              <w:rPr>
                <w:sz w:val="18"/>
              </w:rPr>
              <w:t xml:space="preserve">% i.a. (promedio 3 meses)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INDEC publica el IPI hacia mediados del mes siguiente al de referencia, aproximadamente un mes antes que el EMAE. La ganancia de frescura es real pero acotada: como el indicador promedia tres meses, su centro de masa queda un mes atrás del último dato, de modo que incorpora el mes más reciente con un tercio del peso en lugar de reflejarlo por completo.</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IPI manufacturero — Índice de Producción Industrial, nivel general, serie original (base 2004 = 100)</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de datos.gob.ar.</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75"/>
    <w:bookmarkStart w:id="76" w:name="definición-qué-mide-y-por-qué-importa-5"/>
    <w:p>
      <w:pPr>
        <w:pStyle w:val="Heading2"/>
        <w:keepNext/>
      </w:pPr>
      <w:r>
        <w:t xml:space="preserve">Definición — qué mide y por qué importa</w:t>
      </w:r>
    </w:p>
    <w:p>
      <w:pPr>
        <w:pStyle w:val="FirstParagraph"/>
      </w:pPr>
      <w:r>
        <w:t xml:space="preserve">Cuánto produce la industria manufacturera respecto de un año atrás, promediado en tres meses.</w:t>
      </w:r>
    </w:p>
    <w:p>
      <w:pPr>
        <w:pStyle w:val="BodyText"/>
      </w:pPr>
      <w:r>
        <w:t xml:space="preserve">Segunda lectura de la actividad, junto al EMAE: mide sólo la industria y se publica algo antes, de modo que la dimensión no depende de un único dato.</w:t>
      </w:r>
    </w:p>
    <w:p>
      <w:pPr>
        <w:pStyle w:val="BodyText"/>
      </w:pPr>
      <w:r>
        <w:rPr>
          <w:bCs/>
          <w:b/>
        </w:rPr>
        <w:t xml:space="preserve">Dimensión que integra — Actividad económica.</w:t>
      </w:r>
      <w:r>
        <w:t xml:space="preserve"> </w:t>
      </w:r>
      <w:r>
        <w:t xml:space="preserve">Si la economía crece o se contrae: el EMAE interanual como pulso general de la actividad.</w:t>
      </w:r>
    </w:p>
    <w:bookmarkEnd w:id="76"/>
    <w:bookmarkStart w:id="77" w:name="método-de-cómputo-5"/>
    <w:p>
      <w:pPr>
        <w:pStyle w:val="Heading2"/>
        <w:keepNext/>
      </w:pPr>
      <w:r>
        <w:t xml:space="preserve">Método de cómputo</w:t>
      </w:r>
    </w:p>
    <w:p>
      <w:pPr>
        <w:numPr>
          <w:ilvl w:val="0"/>
          <w:numId w:val="1024"/>
        </w:numPr>
        <w:pStyle w:val="Compact"/>
      </w:pPr>
      <w:r>
        <w:t xml:space="preserve">Se calcula la variación interanual del nivel general contra el mismo mes del año anterior.</w:t>
      </w:r>
    </w:p>
    <w:p>
      <w:pPr>
        <w:numPr>
          <w:ilvl w:val="0"/>
          <w:numId w:val="1024"/>
        </w:numPr>
        <w:pStyle w:val="Compact"/>
      </w:pPr>
      <w:r>
        <w:t xml:space="preserve">Se promedian los últimos tres meses de esa variación. El suavizado no es cosmético: la variación interanual del IPI original salta hasta nueve puntos porcentuales de un mes al siguiente por feriados móviles, cantidad de días hábiles y paradas de planta. El promedio de tres meses reduce el desvío de los cambios mensuales de 6,2 a 2,5 puntos sin agregar rezago apreciable.</w:t>
      </w:r>
    </w:p>
    <w:bookmarkEnd w:id="77"/>
    <w:bookmarkStart w:id="78" w:name="Xb1931c6abcbcf859f1adda48bf40e4d48635f9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(promedio 3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 – 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−3,5 – −1</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−3,5</w:t>
            </w:r>
          </w:p>
        </w:tc>
        <w:tc>
          <w:tcPr>
            <w:shd w:val="clear" w:color="auto" w:fill="FEE2E2"/>
          </w:tcPr>
          <w:p>
            <w:pPr>
              <w:pStyle w:val="Compact"/>
              <w:jc w:val="center"/>
            </w:pPr>
            <w:r>
              <w:rPr>
                <w:b/>
                <w:sz w:val="18"/>
                <w:color w:val="7F1D1D"/>
              </w:rPr>
              <w:t xml:space="preserve">ROJO</w:t>
            </w:r>
          </w:p>
        </w:tc>
      </w:tr>
    </w:tbl>
    <w:bookmarkEnd w:id="78"/>
    <w:bookmarkStart w:id="79"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5"/>
        </w:numPr>
        <w:pStyle w:val="Compact"/>
      </w:pPr>
      <w:r>
        <w:t xml:space="preserve">El informe publica el valor (−2 % i.a. (promedio 3 meses)) pero no los números que lo componen: la fuente entrega la serie ya calculada. Para auditar el dato hay que ir a la operación estadística citada más arriba.</w:t>
      </w:r>
    </w:p>
    <w:bookmarkEnd w:id="79"/>
    <w:bookmarkStart w:id="80" w:name="color-vigente-y-por-qué-5"/>
    <w:p>
      <w:pPr>
        <w:pStyle w:val="Heading2"/>
        <w:keepNext/>
      </w:pPr>
      <w:r>
        <w:t xml:space="preserve">Color vigente y por qué</w:t>
      </w:r>
    </w:p>
    <w:p>
      <w:pPr>
        <w:pStyle w:val="FirstParagraph"/>
      </w:pPr>
      <w:r>
        <w:t xml:space="preserve">Dato vigente: −2 % i.a. (promedio 3 meses) (2026-06).</w:t>
      </w:r>
    </w:p>
    <w:p>
      <w:pPr>
        <w:pStyle w:val="BodyText"/>
      </w:pPr>
      <w:r>
        <w:t xml:space="preserve">−2,0 % i.a. (promedio 3 meses) cae en el tramo que corresponde a Naranja, a 1,0 del corte más cercano.</w:t>
      </w:r>
    </w:p>
    <w:p>
      <w:pPr>
        <w:pStyle w:val="BodyText"/>
      </w:pPr>
      <w:r>
        <w:rPr>
          <w:bCs/>
          <w:b/>
        </w:rPr>
        <w:t xml:space="preserve">Color vigente: NARANJA</w:t>
      </w:r>
    </w:p>
    <w:p>
      <w:pPr>
        <w:pStyle w:val="BodyText"/>
      </w:pPr>
      <w:r>
        <w:t xml:space="preserve">Ponderación vigente en el ITCM: 2,2 % efectivo. El color es una lectura adicional — no reemplaza ni cambia esta ponderación.</w:t>
      </w:r>
    </w:p>
    <w:p>
      <w:pPr>
        <w:numPr>
          <w:ilvl w:val="0"/>
          <w:numId w:val="1026"/>
        </w:numPr>
        <w:pStyle w:val="Compact"/>
      </w:pPr>
      <w:r>
        <w:rPr>
          <w:bCs/>
          <w:b/>
        </w:rPr>
        <w:t xml:space="preserve">Participación en otros indicadores.</w:t>
      </w:r>
      <w:r>
        <w:t xml:space="preserve"> </w:t>
      </w:r>
      <w:r>
        <w:t xml:space="preserve">Usa las mismas bandas que el EMAE, deliberadamente y con una consecuencia que conviene declarar: sobre la historia disponible, un mes mediano del índice industrial puntúa 39 y uno del estimador de actividad agregada puntúa 71. La brecha no es un defecto de calibración sino desempeño real —la industria argentina creció menos que el conjunto de la economía durante el período—, y ensanchar las bandas para cerrarla borraría esa señal. El arrastre que produce se compensa limitando su peso dentro de la dimensión, no retocando las anclas.</w:t>
      </w:r>
    </w:p>
    <w:bookmarkEnd w:id="80"/>
    <w:bookmarkStart w:id="81" w:name="transparencia-limitaciones-declaradas-5"/>
    <w:p>
      <w:pPr>
        <w:pStyle w:val="Heading2"/>
        <w:keepNext/>
      </w:pPr>
      <w:r>
        <w:t xml:space="preserve">Transparencia — limitaciones declaradas</w:t>
      </w:r>
    </w:p>
    <w:p>
      <w:pPr>
        <w:numPr>
          <w:ilvl w:val="0"/>
          <w:numId w:val="1027"/>
        </w:numPr>
        <w:pStyle w:val="Compact"/>
      </w:pPr>
      <w:r>
        <w:t xml:space="preserve">Mide sólo la industria manufacturera, alrededor de un sexto del producto: no es una medida de actividad agregada y no reemplaza al EMAE, lo acompaña.</w:t>
      </w:r>
    </w:p>
    <w:p>
      <w:pPr>
        <w:numPr>
          <w:ilvl w:val="0"/>
          <w:numId w:val="1027"/>
        </w:numPr>
        <w:pStyle w:val="Compact"/>
      </w:pPr>
      <w:r>
        <w:t xml:space="preserve">El EMAE ya incluye a la industria manufacturera, así que este indicador no aporta un sector nuevo sino una segunda medición del mismo: su función es que la dimensión no dependa de un único dato, no ampliar la cobertura.</w:t>
      </w:r>
    </w:p>
    <w:p>
      <w:pPr>
        <w:numPr>
          <w:ilvl w:val="0"/>
          <w:numId w:val="1027"/>
        </w:numPr>
        <w:pStyle w:val="Compact"/>
      </w:pPr>
      <w:r>
        <w:t xml:space="preserve">Ambos indicadores de la dimensión los publica el INDEC. La redundancia cubre el riesgo de que falte o se revise una serie, no el de que el organismo cambie de metodología: en ese caso se moverían los dos juntos.</w:t>
      </w:r>
    </w:p>
    <w:p>
      <w:pPr>
        <w:numPr>
          <w:ilvl w:val="0"/>
          <w:numId w:val="1027"/>
        </w:numPr>
        <w:pStyle w:val="Compact"/>
      </w:pPr>
      <w:r>
        <w:t xml:space="preserve">El promedio de tres meses amortigua los cambios de nivel: un quiebre brusco tarda dos o tres meses en verse completo.</w:t>
      </w:r>
    </w:p>
    <w:p>
      <w:pPr>
        <w:numPr>
          <w:ilvl w:val="0"/>
          <w:numId w:val="1027"/>
        </w:numPr>
        <w:pStyle w:val="Compact"/>
      </w:pPr>
      <w:r>
        <w:t xml:space="preserve">La serie es original, no desestacionalizada; la comparación interanual absorbe la estacionalidad pero no los efectos de calendario, que el suavizado atenúa sin eliminar.</w:t>
      </w:r>
    </w:p>
    <w:p>
      <w:pPr>
        <w:numPr>
          <w:ilvl w:val="0"/>
          <w:numId w:val="1027"/>
        </w:numPr>
        <w:pStyle w:val="Compact"/>
      </w:pPr>
      <w:r>
        <w:t xml:space="preserve">El INDEC revisa el índice hacia atrás con cada publicación.</w:t>
      </w:r>
    </w:p>
    <w:bookmarkEnd w:id="81"/>
    <w:bookmarkStart w:id="82" w:name="Xc57e4cc3a18d396728e74304c5ee81f44a4293b"/>
    <w:p>
      <w:pPr>
        <w:pStyle w:val="Heading2"/>
        <w:keepNext/>
      </w:pPr>
      <w:r>
        <w:t xml:space="preserve">Si falta el dato / Política de revisiones</w:t>
      </w:r>
    </w:p>
    <w:p>
      <w:pPr>
        <w:numPr>
          <w:ilvl w:val="0"/>
          <w:numId w:val="1028"/>
        </w:numPr>
      </w:pPr>
      <w:r>
        <w:rPr>
          <w:bCs/>
          <w:b/>
        </w:rPr>
        <w:t xml:space="preserve">Si falta el dato:</w:t>
      </w:r>
      <w:r>
        <w:t xml:space="preserve"> </w:t>
      </w:r>
      <w:r>
        <w:t xml:space="preserve">Si el dato falta, se mantiene el último valor disponible, señalado como desactualizado; sin ningún valor previo, la dimensión queda sólo con el EMAE y su peso se renormaliza.</w:t>
      </w:r>
    </w:p>
    <w:p>
      <w:pPr>
        <w:numPr>
          <w:ilvl w:val="0"/>
          <w:numId w:val="1028"/>
        </w:numPr>
      </w:pPr>
      <w:r>
        <w:rPr>
          <w:bCs/>
          <w:b/>
        </w:rPr>
        <w:t xml:space="preserve">Política de revisiones:</w:t>
      </w:r>
      <w:r>
        <w:t xml:space="preserve"> </w:t>
      </w:r>
      <w:r>
        <w:t xml:space="preserve">La fuente revisa la serie; el informe la regenera completa en cada actualización y puntúa siempre el último dato publicado, sin proyecciones propias.</w:t>
      </w:r>
    </w:p>
    <w:bookmarkEnd w:id="82"/>
    <w:bookmarkStart w:id="83" w:name="X01eece54c25544211d0d4e1d54c663892ca44aa"/>
    <w:p>
      <w:pPr>
        <w:pStyle w:val="Heading2"/>
        <w:keepNext/>
      </w:pPr>
      <w:r>
        <w:t xml:space="preserve">Historial — cambios metodológicos documentados</w:t>
      </w:r>
    </w:p>
    <w:p>
      <w:pPr>
        <w:pStyle w:val="FirstParagraph"/>
      </w:pPr>
      <w:r>
        <w:rPr>
          <w:bCs/>
          <w:b/>
        </w:rPr>
        <w:t xml:space="preserve">2026-07-18</w:t>
      </w:r>
      <w:r>
        <w:t xml:space="preserve"> </w:t>
      </w:r>
      <w:r>
        <w:t xml:space="preserve">— Alta del indicador como segunda señal de actividad junto al EMAE, tras una auditoría de consistencia que señaló que el 11% del índice colgaba de un único dato.</w:t>
      </w:r>
    </w:p>
    <w:p>
      <w:pPr>
        <w:pStyle w:val="BodyText"/>
      </w:pPr>
      <w:r>
        <w:rPr>
          <w:bCs/>
          <w:b/>
        </w:rPr>
        <w:t xml:space="preserve">2026-07-18</w:t>
      </w:r>
      <w:r>
        <w:t xml:space="preserve"> </w:t>
      </w:r>
      <w:r>
        <w:t xml:space="preserve">— Su peso baja de 35% a 20% de la dimensión: al ser la industria parte del propio estimador agregado, el reparto anterior dejaba a la dimensión con casi la mitad de su exposición en un solo sector.</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83"/>
    <w:bookmarkEnd w:id="84"/>
    <w:bookmarkStart w:id="94" w:name="saldo-comercial-12m"/>
    <w:p>
      <w:pPr>
        <w:pStyle w:val="Heading1"/>
        <w:keepNext/>
      </w:pPr>
      <w:r>
        <w:t xml:space="preserve">Saldo comercial 12m</w:t>
      </w:r>
    </w:p>
    <w:p>
      <w:pPr>
        <w:pStyle w:val="FirstParagraph"/>
      </w:pPr>
      <w:r>
        <w:t xml:space="preserve">El balance entre lo que el país exporta y lo que importa, acumulado en los últimos 12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22.481 Millones de USD (acum. 12 meses)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4,8 % del ITCM</w:t>
            </w:r>
          </w:p>
        </w:tc>
        <w:tc>
          <w:p>
            <w:pPr>
              <w:pStyle w:val="Compact"/>
              <w:jc w:val="left"/>
            </w:pPr>
            <w:r>
              <w:rPr>
                <w:sz w:val="18"/>
              </w:rPr>
              <w:t xml:space="preserve">Cinturón Macroeconomía</w:t>
            </w:r>
          </w:p>
        </w:tc>
      </w:tr>
    </w:tbl>
    <w:bookmarkStart w:id="85" w:name="identificación-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saldo_comercial_12m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Viabilidad fiscal-comercial</w:t>
            </w:r>
          </w:p>
        </w:tc>
        <w:tc>
          <w:p>
            <w:pPr>
              <w:pStyle w:val="Compact"/>
              <w:jc w:val="left"/>
            </w:pPr>
            <w:r>
              <w:rPr>
                <w:bCs/>
                <w:b/>
                <w:sz w:val="18"/>
              </w:rPr>
              <w:t xml:space="preserve">UNIDAD DE MEDIDA</w:t>
            </w:r>
          </w:p>
        </w:tc>
        <w:tc>
          <w:p>
            <w:pPr>
              <w:pStyle w:val="Compact"/>
              <w:jc w:val="left"/>
            </w:pPr>
            <w:r>
              <w:rPr>
                <w:sz w:val="18"/>
              </w:rPr>
              <w:t xml:space="preserve">Millones de USD (acum. 12 meses)</w:t>
            </w:r>
          </w:p>
        </w:tc>
      </w:tr>
      <w:tr>
        <w:trPr>
          <w:cantSplit/>
        </w:trPr>
        <w:tc>
          <w:p>
            <w:pPr>
              <w:pStyle w:val="Compact"/>
              <w:jc w:val="left"/>
            </w:pPr>
            <w:r>
              <w:rPr>
                <w:bCs/>
                <w:b/>
                <w:sz w:val="18"/>
              </w:rPr>
              <w:t xml:space="preserve">SERIE DISPONIBLE</w:t>
            </w:r>
          </w:p>
        </w:tc>
        <w:tc>
          <w:p>
            <w:pPr>
              <w:pStyle w:val="Compact"/>
              <w:jc w:val="left"/>
            </w:pPr>
            <w:r>
              <w:rPr>
                <w:sz w:val="18"/>
              </w:rPr>
              <w:t xml:space="preserve">2022-06 → 2026-06 (49 puntos)</w:t>
            </w:r>
          </w:p>
        </w:tc>
        <w:tc>
          <w:p>
            <w:pPr>
              <w:pStyle w:val="Compact"/>
              <w:jc w:val="left"/>
            </w:pPr>
            <w:r>
              <w:rPr>
                <w:bCs/>
                <w:b/>
                <w:sz w:val="18"/>
              </w:rPr>
              <w:t xml:space="preserve">REZAGO DE PUBLICACIÓN</w:t>
            </w:r>
          </w:p>
        </w:tc>
        <w:tc>
          <w:p>
            <w:pPr>
              <w:pStyle w:val="Compact"/>
              <w:jc w:val="left"/>
            </w:pPr>
            <w:r>
              <w:rPr>
                <w:sz w:val="18"/>
              </w:rPr>
              <w:t xml:space="preserve">Las series del intercambio comercial (ICA) se publican con un mes y medio a dos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ICA — Intercambio Comercial Argentino: exportaciones e importaciones totales mensuales, en millones de dólares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el saldo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85"/>
    <w:bookmarkStart w:id="86" w:name="definición-qué-mide-y-por-qué-importa-6"/>
    <w:p>
      <w:pPr>
        <w:pStyle w:val="Heading2"/>
        <w:keepNext/>
      </w:pPr>
      <w:r>
        <w:t xml:space="preserve">Definición — qué mide y por qué importa</w:t>
      </w:r>
    </w:p>
    <w:p>
      <w:pPr>
        <w:pStyle w:val="FirstParagraph"/>
      </w:pPr>
      <w:r>
        <w:t xml:space="preserve">El balance entre lo que el país exporta y lo que importa, acumulado en los últimos 12 meses.</w:t>
      </w:r>
    </w:p>
    <w:p>
      <w:pPr>
        <w:pStyle w:val="BodyText"/>
      </w:pPr>
      <w:r>
        <w:t xml:space="preserve">Muestra si el intercambio de bienes aporta o resta dólares. No alcanza para saber si el sector externo en conjunto los genera: faltan los servicios, los intereses y las utilidades giradas, que se ven en la cuenta corriente del gráfico.</w:t>
      </w:r>
    </w:p>
    <w:p>
      <w:pPr>
        <w:pStyle w:val="BodyText"/>
      </w:pPr>
      <w:r>
        <w:rPr>
          <w:bCs/>
          <w:b/>
        </w:rPr>
        <w:t xml:space="preserve">Dimensión que integra — Viabilidad fiscal-comercial.</w:t>
      </w:r>
      <w:r>
        <w:t xml:space="preserve"> </w:t>
      </w:r>
      <w:r>
        <w:t xml:space="preserve">Si las cuentas cierran: la recaudación real (el sostén del ancla fiscal) y el saldo comercial (los dólares genuinos del intercambio).</w:t>
      </w:r>
    </w:p>
    <w:bookmarkEnd w:id="86"/>
    <w:bookmarkStart w:id="87" w:name="método-de-cómputo-6"/>
    <w:p>
      <w:pPr>
        <w:pStyle w:val="Heading2"/>
        <w:keepNext/>
      </w:pPr>
      <w:r>
        <w:t xml:space="preserve">Método de cómputo</w:t>
      </w:r>
    </w:p>
    <w:p>
      <w:pPr>
        <w:numPr>
          <w:ilvl w:val="0"/>
          <w:numId w:val="1029"/>
        </w:numPr>
        <w:pStyle w:val="Compact"/>
      </w:pPr>
      <w:r>
        <w:t xml:space="preserve">Saldo acumulado de 12 meses: suma de exportaciones menos suma de importaciones de los últimos 12 meses comunes de ambas series.</w:t>
      </w:r>
    </w:p>
    <w:p>
      <w:pPr>
        <w:numPr>
          <w:ilvl w:val="0"/>
          <w:numId w:val="1029"/>
        </w:numPr>
        <w:pStyle w:val="Compact"/>
      </w:pPr>
      <w:r>
        <w:t xml:space="preserve">El acumulado anual elimina la estacionalidad energética y sojera.</w:t>
      </w:r>
    </w:p>
    <w:p>
      <w:pPr>
        <w:numPr>
          <w:ilvl w:val="0"/>
          <w:numId w:val="1029"/>
        </w:numPr>
        <w:pStyle w:val="Compact"/>
      </w:pPr>
      <w:r>
        <w:t xml:space="preserve">Regla automática declarada: si hay superávit pero se explica más por una caída de importaciones que por un aumento de exportaciones (contracción de la demanda interna, no éxito exportador), el puntaje se interpola hacia un piso de 60 en proporción a cuánto domina esa caída, sin un corte brusco apenas se cruza el umbral. La justificación se genera a partir de los números de cada actualización.</w:t>
      </w:r>
    </w:p>
    <w:bookmarkEnd w:id="87"/>
    <w:bookmarkStart w:id="88" w:name="X6f1889a6c9c1eaefb3e4c5719eab82ff8c7164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(Millones de USD (acum.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7.500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−5.000 – 7.500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 −5.000</w:t>
            </w:r>
          </w:p>
        </w:tc>
        <w:tc>
          <w:tcPr>
            <w:shd w:val="clear" w:color="auto" w:fill="FFEDD5"/>
          </w:tcPr>
          <w:p>
            <w:pPr>
              <w:pStyle w:val="Compact"/>
              <w:jc w:val="center"/>
            </w:pPr>
            <w:r>
              <w:rPr>
                <w:b/>
                <w:sz w:val="18"/>
                <w:color w:val="7C2D12"/>
              </w:rPr>
              <w:t xml:space="preserve">NARANJA</w:t>
            </w:r>
          </w:p>
        </w:tc>
      </w:tr>
    </w:tbl>
    <w:bookmarkEnd w:id="88"/>
    <w:bookmarkStart w:id="89"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0"/>
        </w:numPr>
        <w:pStyle w:val="Compact"/>
      </w:pPr>
      <w:r>
        <w:t xml:space="preserve">El informe publica el valor (22.481 Millones de USD (acum. 12 meses)) pero no los números que lo componen: la fuente entrega la serie ya calculada. Para auditar el dato hay que ir a la operación estadística citada más arriba.</w:t>
      </w:r>
    </w:p>
    <w:bookmarkEnd w:id="89"/>
    <w:bookmarkStart w:id="90" w:name="color-vigente-y-por-qué-6"/>
    <w:p>
      <w:pPr>
        <w:pStyle w:val="Heading2"/>
        <w:keepNext/>
      </w:pPr>
      <w:r>
        <w:t xml:space="preserve">Color vigente y por qué</w:t>
      </w:r>
    </w:p>
    <w:p>
      <w:pPr>
        <w:pStyle w:val="FirstParagraph"/>
      </w:pPr>
      <w:r>
        <w:t xml:space="preserve">Dato vigente: 22.481 Millones de USD (acum. 12 meses) (2026-06).</w:t>
      </w:r>
    </w:p>
    <w:p>
      <w:pPr>
        <w:pStyle w:val="BodyText"/>
      </w:pPr>
      <w:r>
        <w:t xml:space="preserve">22481,0 Millones de USD (acum. 12 meses) cae en el tramo que corresponde a Verde, a 14981,0 del corte más cercano.</w:t>
      </w:r>
    </w:p>
    <w:p>
      <w:pPr>
        <w:pStyle w:val="BodyText"/>
      </w:pPr>
      <w:r>
        <w:rPr>
          <w:bCs/>
          <w:b/>
        </w:rPr>
        <w:t xml:space="preserve">Color vigente: VERDE</w:t>
      </w:r>
    </w:p>
    <w:p>
      <w:pPr>
        <w:pStyle w:val="BodyText"/>
      </w:pPr>
      <w:r>
        <w:t xml:space="preserve">Ponderación vigente en el ITCM: 4,8 % efectivo. El color es una lectura adicional — no reemplaza ni cambia esta ponderación.</w:t>
      </w:r>
    </w:p>
    <w:p>
      <w:pPr>
        <w:numPr>
          <w:ilvl w:val="0"/>
          <w:numId w:val="1031"/>
        </w:numPr>
        <w:pStyle w:val="Compact"/>
      </w:pPr>
      <w:r>
        <w:rPr>
          <w:bCs/>
          <w:b/>
        </w:rPr>
        <w:t xml:space="preserve">Participación en otros indicadores.</w:t>
      </w:r>
      <w:r>
        <w:t xml:space="preserve"> </w:t>
      </w:r>
      <w:r>
        <w:t xml:space="preserve">Las mismas series del ICA son insumo de la alícuota de apertura comercial (cinturón gestión), y la subserie de bienes de capital importados alimenta el IAI.</w:t>
      </w:r>
    </w:p>
    <w:bookmarkEnd w:id="90"/>
    <w:bookmarkStart w:id="91" w:name="transparencia-limitaciones-declaradas-6"/>
    <w:p>
      <w:pPr>
        <w:pStyle w:val="Heading2"/>
        <w:keepNext/>
      </w:pPr>
      <w:r>
        <w:t xml:space="preserve">Transparencia — limitaciones declaradas</w:t>
      </w:r>
    </w:p>
    <w:p>
      <w:pPr>
        <w:numPr>
          <w:ilvl w:val="0"/>
          <w:numId w:val="1032"/>
        </w:numPr>
        <w:pStyle w:val="Compact"/>
      </w:pPr>
      <w:r>
        <w:t xml:space="preserve">Mide sólo el intercambio de BIENES. Quedan afuera los servicios, los intereses de la deuda y las utilidades giradas al exterior, que en el período reciente drenan alrededor de diecisiete mil millones de dólares por año: mientras el saldo comercial marcaba un superávit de trece mil millones, la cuenta corriente —que sí los incluye— estaba en déficit de cuatro mil millones. Un superávit comercial no equivale, por sí solo, a que el sector externo genere los dólares que el programa necesita. La cuenta corriente se publica junto a este indicador en el gráfico, como contexto.</w:t>
      </w:r>
    </w:p>
    <w:p>
      <w:pPr>
        <w:numPr>
          <w:ilvl w:val="0"/>
          <w:numId w:val="1032"/>
        </w:numPr>
        <w:pStyle w:val="Compact"/>
      </w:pPr>
      <w:r>
        <w:t xml:space="preserve">El acumulado de 12 meses suaviza a costa de reactividad: un vuelco del frente comercial tarda meses en reflejarse por completo.</w:t>
      </w:r>
    </w:p>
    <w:p>
      <w:pPr>
        <w:numPr>
          <w:ilvl w:val="0"/>
          <w:numId w:val="1032"/>
        </w:numPr>
        <w:pStyle w:val="Compact"/>
      </w:pPr>
      <w:r>
        <w:t xml:space="preserve">El máximo alcanzable de la escala es 85, no 100: diseño del documento institucional.</w:t>
      </w:r>
    </w:p>
    <w:p>
      <w:pPr>
        <w:numPr>
          <w:ilvl w:val="0"/>
          <w:numId w:val="1032"/>
        </w:numPr>
        <w:pStyle w:val="Compact"/>
      </w:pPr>
      <w:r>
        <w:t xml:space="preserve">Los datos del ICA son provisorios y se revisan; la serie regenerada por actualización los absorbe.</w:t>
      </w:r>
    </w:p>
    <w:bookmarkEnd w:id="91"/>
    <w:bookmarkStart w:id="92" w:name="Xda21666f7a2dd83c88faf8de956a46075edab32"/>
    <w:p>
      <w:pPr>
        <w:pStyle w:val="Heading2"/>
        <w:keepNext/>
      </w:pPr>
      <w:r>
        <w:t xml:space="preserve">Si falta el dato / Política de revisiones</w:t>
      </w:r>
    </w:p>
    <w:p>
      <w:pPr>
        <w:numPr>
          <w:ilvl w:val="0"/>
          <w:numId w:val="1033"/>
        </w:numPr>
      </w:pPr>
      <w:r>
        <w:rPr>
          <w:bCs/>
          <w:b/>
        </w:rPr>
        <w:t xml:space="preserve">Si falta el dato:</w:t>
      </w:r>
      <w:r>
        <w:t xml:space="preserve"> </w:t>
      </w:r>
      <w:r>
        <w:t xml:space="preserve">Con las series del ICA caídas, el cálculo cae a la serie de saldo directa (más rezagada y sin composición); agotado eso, se mantiene el último valor disponible señalado como desactualizado y los pesos se renormalizan.</w:t>
      </w:r>
    </w:p>
    <w:p>
      <w:pPr>
        <w:numPr>
          <w:ilvl w:val="0"/>
          <w:numId w:val="1033"/>
        </w:numPr>
      </w:pPr>
      <w:r>
        <w:rPr>
          <w:bCs/>
          <w:b/>
        </w:rPr>
        <w:t xml:space="preserve">Política de revisiones:</w:t>
      </w:r>
      <w:r>
        <w:t xml:space="preserve"> </w:t>
      </w:r>
      <w:r>
        <w:t xml:space="preserve">La fuente revisa provisorios; el informe re-descarga la serie completa en cada actualización.</w:t>
      </w:r>
    </w:p>
    <w:bookmarkEnd w:id="92"/>
    <w:bookmarkStart w:id="93" w:name="X78b6541d61e709752066d9872c28a219573eb10"/>
    <w:p>
      <w:pPr>
        <w:pStyle w:val="Heading2"/>
        <w:keepNext/>
      </w:pPr>
      <w:r>
        <w:t xml:space="preserve">Historial — cambios metodológicos documentados</w:t>
      </w:r>
    </w:p>
    <w:p>
      <w:pPr>
        <w:pStyle w:val="FirstParagraph"/>
      </w:pPr>
      <w:r>
        <w:rPr>
          <w:bCs/>
          <w:b/>
        </w:rPr>
        <w:t xml:space="preserve">2026-07-18</w:t>
      </w:r>
      <w:r>
        <w:t xml:space="preserve"> </w:t>
      </w:r>
      <w:r>
        <w:t xml:space="preserve">— Se declara la limitación de cobertura y se publica la cuenta corriente junto a este indicador: el saldo de bienes puede marcar superávit mientras el sector externo en conjunto drena dólares.</w:t>
      </w:r>
    </w:p>
    <w:p>
      <w:pPr>
        <w:pStyle w:val="BodyText"/>
      </w:pPr>
      <w:r>
        <w:rPr>
          <w:bCs/>
          <w:b/>
        </w:rPr>
        <w:t xml:space="preserve">2026-06</w:t>
      </w:r>
      <w:r>
        <w:t xml:space="preserve"> </w:t>
      </w:r>
      <w:r>
        <w:t xml:space="preserve">— En el índice desde la paramétrica original, calculado por las series de exportaciones e importaciones del ICA (frescas a ~2 meses) en lugar de la serie de saldo directa (~14 meses de rezago), con la regla de superávit por contracción automatizada.</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La serie del gráfico pasó del saldo mensual al acumulado móvil de 12 meses — la métrica del titular.</w:t>
      </w:r>
    </w:p>
    <w:p>
      <w:pPr>
        <w:pStyle w:val="BodyText"/>
      </w:pPr>
      <w:r>
        <w:rPr>
          <w:bCs/>
          <w:b/>
        </w:rPr>
        <w:t xml:space="preserve">2026-07-15</w:t>
      </w:r>
      <w:r>
        <w:t xml:space="preserve"> </w:t>
      </w:r>
      <w:r>
        <w:t xml:space="preserve">— La regla automática de superávit por contracción dejó de rebajar de golpe a 60 puntos: ahora interpola hacia ese mismo piso según cuánto de la mejora del saldo se explica por la caída de importaciones.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93"/>
    <w:bookmarkEnd w:id="94"/>
    <w:bookmarkStart w:id="104" w:name="base-imponible-real-nación-provincias"/>
    <w:p>
      <w:pPr>
        <w:pStyle w:val="Heading1"/>
        <w:keepNext/>
      </w:pPr>
      <w:r>
        <w:t xml:space="preserve">Base imponible real (nación + provincias)</w:t>
      </w:r>
    </w:p>
    <w:p>
      <w:pPr>
        <w:pStyle w:val="FirstParagraph"/>
      </w:pPr>
      <w:r>
        <w:t xml:space="preserve">Cuánta economía formal hay para gravar, medida en pesos constantes y comparada contra el cuarto trimestre de 2023, que vale 100. Suma los impuestos internos de la Nación —IVA doméstico, Ganancias, créditos y débitos— y el Impuesto sobre los Ingresos Brutos de las empresas que operan en varias provincias, con sus regímenes de retención. Se corrige la estacionalidad del calendario tributario, que concentra la recaudación en mayo y junio.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88,2 índice (100 = 4T-2023)</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7,2 % del ITCM</w:t>
            </w:r>
          </w:p>
        </w:tc>
        <w:tc>
          <w:p>
            <w:pPr>
              <w:pStyle w:val="Compact"/>
              <w:jc w:val="left"/>
            </w:pPr>
            <w:r>
              <w:rPr>
                <w:sz w:val="18"/>
              </w:rPr>
              <w:t xml:space="preserve">Cinturón Macroeconomía</w:t>
            </w:r>
          </w:p>
        </w:tc>
      </w:tr>
    </w:tbl>
    <w:bookmarkStart w:id="95" w:name="identificación-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recaudacion</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Viabilidad fiscal-comercial</w:t>
            </w:r>
          </w:p>
        </w:tc>
        <w:tc>
          <w:p>
            <w:pPr>
              <w:pStyle w:val="Compact"/>
              <w:jc w:val="left"/>
            </w:pPr>
            <w:r>
              <w:rPr>
                <w:bCs/>
                <w:b/>
                <w:sz w:val="18"/>
              </w:rPr>
              <w:t xml:space="preserve">UNIDAD DE MEDIDA</w:t>
            </w:r>
          </w:p>
        </w:tc>
        <w:tc>
          <w:p>
            <w:pPr>
              <w:pStyle w:val="Compact"/>
              <w:jc w:val="left"/>
            </w:pPr>
            <w:r>
              <w:rPr>
                <w:sz w:val="18"/>
              </w:rPr>
              <w:t xml:space="preserve">índice (100 = 4T-2023)</w:t>
            </w:r>
          </w:p>
        </w:tc>
      </w:tr>
      <w:tr>
        <w:trPr>
          <w:cantSplit/>
        </w:trPr>
        <w:tc>
          <w:p>
            <w:pPr>
              <w:pStyle w:val="Compact"/>
              <w:jc w:val="left"/>
            </w:pPr>
            <w:r>
              <w:rPr>
                <w:bCs/>
                <w:b/>
                <w:sz w:val="18"/>
              </w:rPr>
              <w:t xml:space="preserve">SERIE DISPONIBLE</w:t>
            </w:r>
          </w:p>
        </w:tc>
        <w:tc>
          <w:p>
            <w:pPr>
              <w:pStyle w:val="Compact"/>
              <w:jc w:val="left"/>
            </w:pPr>
            <w:r>
              <w:rPr>
                <w:sz w:val="18"/>
              </w:rPr>
              <w:t xml:space="preserve">2022-01 → 2026-06 (54 puntos)</w:t>
            </w:r>
          </w:p>
        </w:tc>
        <w:tc>
          <w:p>
            <w:pPr>
              <w:pStyle w:val="Compact"/>
              <w:jc w:val="left"/>
            </w:pPr>
            <w:r>
              <w:rPr>
                <w:bCs/>
                <w:b/>
                <w:sz w:val="18"/>
              </w:rPr>
              <w:t xml:space="preserve">REZAGO DE PUBLICACIÓN</w:t>
            </w:r>
          </w:p>
        </w:tc>
        <w:tc>
          <w:p>
            <w:pPr>
              <w:pStyle w:val="Compact"/>
              <w:jc w:val="left"/>
            </w:pPr>
            <w:r>
              <w:rPr>
                <w:sz w:val="18"/>
              </w:rPr>
              <w:t xml:space="preserve">Las dos fuentes publican en los primeros días del mes siguiente, y el indicador espera el índice de precios que lleva las cifras a pesos constantes: el último punto es el del último mes con inflación publicada.</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(dato primario de ARCA) y Comisión Arbitral del Convenio Multilateral; deflactor: INDEC</w:t>
            </w:r>
          </w:p>
        </w:tc>
        <w:tc>
          <w:p>
            <w:pPr>
              <w:pStyle w:val="Compact"/>
              <w:jc w:val="left"/>
            </w:pPr>
            <w:r>
              <w:rPr>
                <w:bCs/>
                <w:b/>
                <w:sz w:val="18"/>
              </w:rPr>
              <w:t xml:space="preserve">OPERACIÓN ESTADÍSTICA</w:t>
            </w:r>
          </w:p>
        </w:tc>
        <w:tc>
          <w:p>
            <w:pPr>
              <w:pStyle w:val="Compact"/>
              <w:jc w:val="left"/>
            </w:pPr>
            <w:r>
              <w:rPr>
                <w:sz w:val="18"/>
              </w:rPr>
              <w:t xml:space="preserve">Recaudación mensual de la Dirección General Impositiva (impuestos internos) más la de los sistemas de la Comisión Arbitral —Ingresos Brutos de los contribuyentes de Convenio Multilateral y sus regímenes de retención—, en pesos corrientes, llevadas a pesos constantes con el índice de precios</w:t>
            </w:r>
          </w:p>
        </w:tc>
      </w:tr>
      <w:tr>
        <w:trPr>
          <w:cantSplit/>
        </w:trPr>
        <w:tc>
          <w:p>
            <w:pPr>
              <w:pStyle w:val="Compact"/>
              <w:jc w:val="left"/>
            </w:pPr>
            <w:r>
              <w:rPr>
                <w:bCs/>
                <w:b/>
                <w:sz w:val="18"/>
              </w:rPr>
              <w:t xml:space="preserve">MODO DE ACCESO</w:t>
            </w:r>
          </w:p>
        </w:tc>
        <w:tc>
          <w:p>
            <w:pPr>
              <w:pStyle w:val="Compact"/>
              <w:jc w:val="left"/>
            </w:pPr>
            <w:r>
              <w:rPr>
                <w:sz w:val="18"/>
              </w:rPr>
              <w:t xml:space="preserve">Automático. La parte nacional sale de la interfaz pública de series de tiempo. La provincial se lee de la gacetilla mensual en PDF: los nombres de archivo no siguen un patrón fijo, así que se recorre el listado publicado en lugar de construir la dirección, y cada informe se procesa una sola vez y queda guardado.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95"/>
    <w:bookmarkStart w:id="96" w:name="definición-qué-mide-y-por-qué-importa-7"/>
    <w:p>
      <w:pPr>
        <w:pStyle w:val="Heading2"/>
        <w:keepNext/>
      </w:pPr>
      <w:r>
        <w:t xml:space="preserve">Definición — qué mide y por qué importa</w:t>
      </w:r>
    </w:p>
    <w:p>
      <w:pPr>
        <w:pStyle w:val="FirstParagraph"/>
      </w:pPr>
      <w:r>
        <w:t xml:space="preserve">Cuánta economía formal hay para gravar, medida en pesos constantes y comparada contra el cuarto trimestre de 2023, que vale 100. Suma los impuestos internos de la Nación —IVA doméstico, Ganancias, créditos y débitos— y el Impuesto sobre los Ingresos Brutos de las empresas que operan en varias provincias, con sus regímenes de retención. Se corrige la estacionalidad del calendario tributario, que concentra la recaudación en mayo y junio.</w:t>
      </w:r>
    </w:p>
    <w:p>
      <w:pPr>
        <w:pStyle w:val="BodyText"/>
      </w:pPr>
      <w:r>
        <w:t xml:space="preserve">Mide el tamaño de la base imponible y el nivel de actividad, no la caja del Estado. Por eso excluye la aduana: cuando el Gobierno baja retenciones, la recaudación total cae porque así se decidió, y contar esa caída como deterioro sería puntuar como fracaso el cumplimiento de una promesa. Un nivel por debajo de 100 dice que hay menos economía formal para gravar que en la transición, con independencia de cómo venga la comparación contra el año anterior.</w:t>
      </w:r>
    </w:p>
    <w:p>
      <w:pPr>
        <w:pStyle w:val="BodyText"/>
      </w:pPr>
      <w:r>
        <w:rPr>
          <w:bCs/>
          <w:b/>
        </w:rPr>
        <w:t xml:space="preserve">Dimensión que integra — Viabilidad fiscal-comercial.</w:t>
      </w:r>
      <w:r>
        <w:t xml:space="preserve"> </w:t>
      </w:r>
      <w:r>
        <w:t xml:space="preserve">Si las cuentas cierran: la recaudación real (el sostén del ancla fiscal) y el saldo comercial (los dólares genuinos del intercambio).</w:t>
      </w:r>
    </w:p>
    <w:bookmarkEnd w:id="96"/>
    <w:bookmarkStart w:id="97" w:name="método-de-cómputo-7"/>
    <w:p>
      <w:pPr>
        <w:pStyle w:val="Heading2"/>
        <w:keepNext/>
      </w:pPr>
      <w:r>
        <w:t xml:space="preserve">Método de cómputo</w:t>
      </w:r>
    </w:p>
    <w:p>
      <w:pPr>
        <w:numPr>
          <w:ilvl w:val="0"/>
          <w:numId w:val="1034"/>
        </w:numPr>
        <w:pStyle w:val="Compact"/>
      </w:pPr>
      <w:r>
        <w:t xml:space="preserve">Se mide la recaudación de la Dirección General Impositiva —el IVA doméstico, Ganancias, créditos y débitos, internos— y no la total. Quedan afuera la recaudación aduanera y los aportes a la seguridad social. La apertura oficial es exacta: las tres partes suman el total.</w:t>
      </w:r>
    </w:p>
    <w:p>
      <w:pPr>
        <w:numPr>
          <w:ilvl w:val="0"/>
          <w:numId w:val="1034"/>
        </w:numPr>
        <w:pStyle w:val="Compact"/>
      </w:pPr>
      <w:r>
        <w:t xml:space="preserve">Se le suma, en nivel, la recaudación de los seis sistemas de la Comisión Arbitral. Sobre el total medido, la parte provincial aporta alrededor de un sexto.</w:t>
      </w:r>
    </w:p>
    <w:p>
      <w:pPr>
        <w:numPr>
          <w:ilvl w:val="0"/>
          <w:numId w:val="1034"/>
        </w:numPr>
        <w:pStyle w:val="Compact"/>
      </w:pPr>
      <w:r>
        <w:t xml:space="preserve">El resultado se lleva a pesos constantes con el índice de precios y se divide por el promedio del cuarto trimestre de 2023, que vale 100: la lectura es cuánta base imponible real queda respecto del punto de partida.</w:t>
      </w:r>
    </w:p>
    <w:p>
      <w:pPr>
        <w:numPr>
          <w:ilvl w:val="0"/>
          <w:numId w:val="1034"/>
        </w:numPr>
        <w:pStyle w:val="Compact"/>
      </w:pPr>
      <w:r>
        <w:t xml:space="preserve">Se corrige la estacionalidad, que es grande: sin corregir, la diferencia entre el mes calendario más alto y el más bajo llega a treinta puntos del índice. El factor de cada mes es el cociente entre ese mes y la tendencia de doce meses centrada, promediado por mes calendario y normalizado para no alterar el nivel. Mayo y junio concentran recaudación —vencimientos y aguinaldo— y marzo es el piso. Corregida, la estacionalidad remanente baja a tres puntos.</w:t>
      </w:r>
    </w:p>
    <w:p>
      <w:pPr>
        <w:numPr>
          <w:ilvl w:val="0"/>
          <w:numId w:val="1034"/>
        </w:numPr>
        <w:pStyle w:val="Compact"/>
      </w:pPr>
      <w:r>
        <w:t xml:space="preserve">La parte provincial de 2022 no se publica como informe mensual y se reconstruye desde la variación interanual que informa cada gacetilla de 2023. La reconstrucción se controla contra el acumulado anual, deducido por separado: los dos caminos coinciden salvo redondeo.</w:t>
      </w:r>
    </w:p>
    <w:bookmarkEnd w:id="97"/>
    <w:bookmarkStart w:id="98" w:name="X580c6ce917b2a709ea8e3c85d9f137a942d26a4"/>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(100 = 4T-2023))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87 – 95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82 – 87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82</w:t>
            </w:r>
          </w:p>
        </w:tc>
        <w:tc>
          <w:tcPr>
            <w:shd w:val="clear" w:color="auto" w:fill="FEE2E2"/>
          </w:tcPr>
          <w:p>
            <w:pPr>
              <w:pStyle w:val="Compact"/>
              <w:jc w:val="center"/>
            </w:pPr>
            <w:r>
              <w:rPr>
                <w:b/>
                <w:sz w:val="18"/>
                <w:color w:val="7F1D1D"/>
              </w:rPr>
              <w:t xml:space="preserve">ROJO</w:t>
            </w:r>
          </w:p>
        </w:tc>
      </w:tr>
    </w:tbl>
    <w:bookmarkEnd w:id="98"/>
    <w:bookmarkStart w:id="99"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5"/>
        </w:numPr>
        <w:pStyle w:val="Compact"/>
      </w:pPr>
      <w:r>
        <w:t xml:space="preserve">La base imponible real está en 88,2 sobre una base de 100 en el cuarto trimestre de 2023, es decir 11,8% por debajo. Meses previos: 2026-03: 92,0 · 2026-04: 95,4 · 2026-05: 97,7. Los impuestos provinciales del Convenio Multilateral aportan 15,5% de la base medida.</w:t>
      </w:r>
    </w:p>
    <w:bookmarkEnd w:id="99"/>
    <w:bookmarkStart w:id="100" w:name="color-vigente-y-por-qué-7"/>
    <w:p>
      <w:pPr>
        <w:pStyle w:val="Heading2"/>
        <w:keepNext/>
      </w:pPr>
      <w:r>
        <w:t xml:space="preserve">Color vigente y por qué</w:t>
      </w:r>
    </w:p>
    <w:p>
      <w:pPr>
        <w:pStyle w:val="FirstParagraph"/>
      </w:pPr>
      <w:r>
        <w:t xml:space="preserve">Dato vigente: 88,2 índice (100 = 4T-2023) (2026-06).</w:t>
      </w:r>
    </w:p>
    <w:p>
      <w:pPr>
        <w:pStyle w:val="BodyText"/>
      </w:pPr>
      <w:r>
        <w:t xml:space="preserve">88,2 índice (100 = 4T-2023) cae en el tramo que corresponde a Amarillo, a 1,2 del corte más cercano.</w:t>
      </w:r>
    </w:p>
    <w:p>
      <w:pPr>
        <w:pStyle w:val="BodyText"/>
      </w:pPr>
      <w:r>
        <w:rPr>
          <w:bCs/>
          <w:b/>
        </w:rPr>
        <w:t xml:space="preserve">Color vigente: AMARILLO</w:t>
      </w:r>
    </w:p>
    <w:p>
      <w:pPr>
        <w:pStyle w:val="BodyText"/>
      </w:pPr>
      <w:r>
        <w:t xml:space="preserve">Ponderación vigente en el ITCM: 7,2 % efectivo. El color es una lectura adicional — no reemplaza ni cambia esta ponderación.</w:t>
      </w:r>
    </w:p>
    <w:bookmarkEnd w:id="100"/>
    <w:bookmarkStart w:id="101" w:name="transparencia-limitaciones-declaradas-7"/>
    <w:p>
      <w:pPr>
        <w:pStyle w:val="Heading2"/>
        <w:keepNext/>
      </w:pPr>
      <w:r>
        <w:t xml:space="preserve">Transparencia — limitaciones declaradas</w:t>
      </w:r>
    </w:p>
    <w:p>
      <w:pPr>
        <w:numPr>
          <w:ilvl w:val="0"/>
          <w:numId w:val="1036"/>
        </w:numPr>
        <w:pStyle w:val="Compact"/>
      </w:pPr>
      <w:r>
        <w:t xml:space="preserve">La parte provincial NO es la recaudación provincial total: son los Ingresos Brutos de los contribuyentes que operan en varias provincias, más los regímenes de retención y percepción. Cada provincia recauda además de sus contribuyentes puramente locales, y eso no pasa por este circuito. Es una porción grande y homogénea de la base imponible provincial, no su universo.</w:t>
      </w:r>
    </w:p>
    <w:p>
      <w:pPr>
        <w:numPr>
          <w:ilvl w:val="0"/>
          <w:numId w:val="1036"/>
        </w:numPr>
        <w:pStyle w:val="Compact"/>
      </w:pPr>
      <w:r>
        <w:t xml:space="preserve">Al medir el nivel mes a mes en lugar de la variación contra el año anterior, el indicador es más nervioso: un mes puede moverlo varios puntos. Es el precio de no diluir la señal en una ventana de doce meses, y se acepta a cambio de que un giro se vea cuando ocurre y no a lo largo del año siguiente.</w:t>
      </w:r>
    </w:p>
    <w:p>
      <w:pPr>
        <w:numPr>
          <w:ilvl w:val="0"/>
          <w:numId w:val="1036"/>
        </w:numPr>
        <w:pStyle w:val="Compact"/>
      </w:pPr>
      <w:r>
        <w:t xml:space="preserve">Los factores que corrigen la estacionalidad se estiman con la propia serie, que todavía tiene tres o cuatro observaciones por mes calendario. Al acumularse meses los factores se recalculan, de modo que los puntos ya publicados pueden moverse algo.</w:t>
      </w:r>
    </w:p>
    <w:p>
      <w:pPr>
        <w:numPr>
          <w:ilvl w:val="0"/>
          <w:numId w:val="1036"/>
        </w:numPr>
        <w:pStyle w:val="Compact"/>
      </w:pPr>
      <w:r>
        <w:t xml:space="preserve">Mide INGRESOS, no resultado fiscal: ni siquiera midiendo sólo los impuestos internos la recaudación dice por sí sola si las cuentas del Estado cierran. Por eso la dimensión incorporó el resultado primario, y este indicador se lee como lo que es: una señal de actividad y formalidad de la base imponible.</w:t>
      </w:r>
    </w:p>
    <w:p>
      <w:pPr>
        <w:numPr>
          <w:ilvl w:val="0"/>
          <w:numId w:val="1036"/>
        </w:numPr>
        <w:pStyle w:val="Compact"/>
      </w:pPr>
      <w:r>
        <w:t xml:space="preserve">Excluir la aduana resuelve el caso más grande de política tributaria contaminando la lectura, pero no todos: la propia DGI contiene impuestos cuyas alícuotas y mínimos cambiaron en el período, y las provincias también movieron alícuotas de Ingresos Brutos. El indicador no es neutral respecto de las decisiones de gobierno; una medición a legislación constante exigiría modelar cada cambio impositivo y no es reproducible de forma automática.</w:t>
      </w:r>
    </w:p>
    <w:p>
      <w:pPr>
        <w:numPr>
          <w:ilvl w:val="0"/>
          <w:numId w:val="1036"/>
        </w:numPr>
        <w:pStyle w:val="Compact"/>
      </w:pPr>
      <w:r>
        <w:t xml:space="preserve">Los aportes a la seguridad social también son base imponible doméstica y quedan afuera. Siguen su propia dinámica —cayeron en términos reales desde fines de 2025— y mezclarlos habría sumado el mercado laboral a un indicador que quiere medir actividad y formalidad.</w:t>
      </w:r>
    </w:p>
    <w:p>
      <w:pPr>
        <w:numPr>
          <w:ilvl w:val="0"/>
          <w:numId w:val="1036"/>
        </w:numPr>
        <w:pStyle w:val="Compact"/>
      </w:pPr>
      <w:r>
        <w:t xml:space="preserve">Deflactor único (índice de precios nacional), sin deflactor específico de la base imponible ni deflactores provinciales.</w:t>
      </w:r>
    </w:p>
    <w:p>
      <w:pPr>
        <w:numPr>
          <w:ilvl w:val="0"/>
          <w:numId w:val="1036"/>
        </w:numPr>
        <w:pStyle w:val="Compact"/>
      </w:pPr>
      <w:r>
        <w:t xml:space="preserve">Las bandas se fijaron sobre una grilla conceptual —pasos de diez puntos de la base imponible real de la transición— y no sobre la distribución observada. La serie disponible recorre de 88 a 115, así que la banda más baja describe una situación posible y no una observada.</w:t>
      </w:r>
    </w:p>
    <w:bookmarkEnd w:id="101"/>
    <w:bookmarkStart w:id="102" w:name="X5157a7f3dd1b7c5618784c262e1db635d54cbee"/>
    <w:p>
      <w:pPr>
        <w:pStyle w:val="Heading2"/>
        <w:keepNext/>
      </w:pPr>
      <w:r>
        <w:t xml:space="preserve">Si falta el dato / Política de revisiones</w:t>
      </w:r>
    </w:p>
    <w:p>
      <w:pPr>
        <w:numPr>
          <w:ilvl w:val="0"/>
          <w:numId w:val="1037"/>
        </w:numPr>
      </w:pPr>
      <w:r>
        <w:rPr>
          <w:bCs/>
          <w:b/>
        </w:rPr>
        <w:t xml:space="preserve">Si falta el dato:</w:t>
      </w:r>
      <w:r>
        <w:t xml:space="preserve"> </w:t>
      </w:r>
      <w:r>
        <w:t xml:space="preserve">Si falta la gacetilla provincial de un mes, ese mes no entra y el indicador mantiene el último punto disponible, señalado como desactualizado. Sin ventana suficiente para corregir estacionalidad, el indicador no publica y el saldo comercial junto con el resultado primario explican la dimensión.</w:t>
      </w:r>
    </w:p>
    <w:p>
      <w:pPr>
        <w:numPr>
          <w:ilvl w:val="0"/>
          <w:numId w:val="1037"/>
        </w:numPr>
      </w:pPr>
      <w:r>
        <w:rPr>
          <w:bCs/>
          <w:b/>
        </w:rPr>
        <w:t xml:space="preserve">Política de revisiones:</w:t>
      </w:r>
      <w:r>
        <w:t xml:space="preserve"> </w:t>
      </w:r>
      <w:r>
        <w:t xml:space="preserve">La recaudación publicada por las dos fuentes no se revisa hacia atrás, pero este indicador sí puede moverse en puntos ya publicados, porque los factores estacionales se recalculan al acumular meses. La reconstrucción de la parte provincial de 2022 está controlada contra el acumulado anual deducido por separado.</w:t>
      </w:r>
    </w:p>
    <w:bookmarkEnd w:id="102"/>
    <w:bookmarkStart w:id="103" w:name="X132198e4afb37dac2ae05929110b05dce5f3da0"/>
    <w:p>
      <w:pPr>
        <w:pStyle w:val="Heading2"/>
        <w:keepNext/>
      </w:pPr>
      <w:r>
        <w:t xml:space="preserve">Historial — cambios metodológicos documentados</w:t>
      </w:r>
    </w:p>
    <w:p>
      <w:pPr>
        <w:pStyle w:val="FirstParagraph"/>
      </w:pPr>
      <w:r>
        <w:rPr>
          <w:bCs/>
          <w:b/>
        </w:rPr>
        <w:t xml:space="preserve">2026-06</w:t>
      </w:r>
      <w:r>
        <w:t xml:space="preserve"> </w:t>
      </w:r>
      <w:r>
        <w:t xml:space="preserve">— En el índice desde la paramétrica original, entonces como variación mensual nominal.</w:t>
      </w:r>
    </w:p>
    <w:p>
      <w:pPr>
        <w:pStyle w:val="BodyText"/>
      </w:pPr>
      <w:r>
        <w:rPr>
          <w:bCs/>
          <w:b/>
        </w:rPr>
        <w:t xml:space="preserve">2026-06-26</w:t>
      </w:r>
      <w:r>
        <w:t xml:space="preserve"> </w:t>
      </w:r>
      <w:r>
        <w:t xml:space="preserve">— Pasa a variación interanual real deflactada por IPC: la variación nominal confundía inflación con recaudación.</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Pasa a promedio móvil de tres meses sobre meses con IPC cerrado; el mes fresco queda como provisorio sin puntuar.</w:t>
      </w:r>
    </w:p>
    <w:p>
      <w:pPr>
        <w:pStyle w:val="BodyText"/>
      </w:pPr>
      <w:r>
        <w:rPr>
          <w:bCs/>
          <w:b/>
        </w:rPr>
        <w:t xml:space="preserve">2026-07-18</w:t>
      </w:r>
      <w:r>
        <w:t xml:space="preserve"> </w:t>
      </w:r>
      <w:r>
        <w:t xml:space="preserve">— Baja del 60% al 30% de la dimensión y se reinterpreta como indicador de actividad y formalidad de la base imponible: la viabilidad fiscal pasa a medirse con el resultado primario, que entra como componente principal.</w:t>
      </w:r>
    </w:p>
    <w:p>
      <w:pPr>
        <w:pStyle w:val="BodyText"/>
      </w:pPr>
      <w:r>
        <w:rPr>
          <w:bCs/>
          <w:b/>
        </w:rPr>
        <w:t xml:space="preserve">2026-07-25</w:t>
      </w:r>
      <w:r>
        <w:t xml:space="preserve"> </w:t>
      </w:r>
      <w:r>
        <w:t xml:space="preserve">— Pasa a medir la recaudación de impuestos internos en lugar de la total, a pedido del editor. Con el total, el indicador venía castigando el recorte de retenciones: durante 2026 la recaudación aduanera cayó entre quince y treinta y siete por ciento real mientras la base imponible doméstica se mantenía estable, de modo que el índice leía como deterioro económico lo que era una decisión de política tributaria. Las bandas no se tocaron: la unidad sigue siendo la variación real y el cero sigue siendo el punto de referencia.</w:t>
      </w:r>
    </w:p>
    <w:p>
      <w:pPr>
        <w:pStyle w:val="BodyText"/>
      </w:pPr>
      <w:r>
        <w:rPr>
          <w:bCs/>
          <w:b/>
        </w:rPr>
        <w:t xml:space="preserve">2026-07-29</w:t>
      </w:r>
      <w:r>
        <w:t xml:space="preserve"> </w:t>
      </w:r>
      <w:r>
        <w:t xml:space="preserve">— Suma los impuestos provinciales del Convenio Multilateral y cambia de métrica: deja la variación contra el mismo mes del año anterior y pasa al nivel de base imponible real desestacionalizada, con el cuarto trimestre de 2023 igual a 100. El motivo es que el dato es mensual y la variación interanual desperdiciaba esa resolución arrastrando la base de hace un año: en junio de 2026 informaba una mejora de tres por ciento contra un 2025 deprimido, mientras el nivel real estaba casi doce por ciento por debajo del punto de partida. Las dos lecturas eran ciertas y la del nivel es la que corresponde a un índice de tensión. La parte provincial agrega información propia y no repite a la nacional: las dos series se mueven en direcciones distintas en dieciocho de veintiocho meses, y eso se verifica también en el sistema de liquidación central, el más estable, de modo que no es un efecto de sistemas que se van incorporando. Las bandas se rehicieron porque no eran traducibles: estaban ancladas al cero de una variación y el punto con significado de un nivel es el 100.</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03"/>
    <w:bookmarkEnd w:id="104"/>
    <w:bookmarkStart w:id="114" w:name="tipo-de-cambio-real-tcrm"/>
    <w:p>
      <w:pPr>
        <w:pStyle w:val="Heading1"/>
        <w:keepNext/>
      </w:pPr>
      <w:r>
        <w:t xml:space="preserve">Tipo de cambio real (TCRM)</w:t>
      </w:r>
    </w:p>
    <w:p>
      <w:pPr>
        <w:pStyle w:val="FirstParagraph"/>
      </w:pPr>
      <w:r>
        <w:t xml:space="preserve">Si el peso está caro o barato frente a los socios comerciales, en términos reales (competitividad cambiaria). Mide la dimensión de competitividad externa del índice.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85,82 Índice (base dic-2015=100)</w:t>
            </w:r>
            <w:r>
              <w:rPr>
                <w:sz w:val="18"/>
              </w:rPr>
              <w:t xml:space="preserve"> </w:t>
            </w:r>
            <w:r>
              <w:rPr>
                <w:sz w:val="18"/>
              </w:rPr>
              <w:t xml:space="preserve">(2026-07)</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11 % del ITCM</w:t>
            </w:r>
          </w:p>
        </w:tc>
        <w:tc>
          <w:p>
            <w:pPr>
              <w:pStyle w:val="Compact"/>
              <w:jc w:val="left"/>
            </w:pPr>
            <w:r>
              <w:rPr>
                <w:sz w:val="18"/>
              </w:rPr>
              <w:t xml:space="preserve">Cinturón Macroeconomía</w:t>
            </w:r>
          </w:p>
        </w:tc>
      </w:tr>
    </w:tbl>
    <w:bookmarkStart w:id="105" w:name="identificación-8"/>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tcrm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Competitividad externa</w:t>
            </w:r>
          </w:p>
        </w:tc>
        <w:tc>
          <w:p>
            <w:pPr>
              <w:pStyle w:val="Compact"/>
              <w:jc w:val="left"/>
            </w:pPr>
            <w:r>
              <w:rPr>
                <w:bCs/>
                <w:b/>
                <w:sz w:val="18"/>
              </w:rPr>
              <w:t xml:space="preserve">UNIDAD DE MEDIDA</w:t>
            </w:r>
          </w:p>
        </w:tc>
        <w:tc>
          <w:p>
            <w:pPr>
              <w:pStyle w:val="Compact"/>
              <w:jc w:val="left"/>
            </w:pPr>
            <w:r>
              <w:rPr>
                <w:sz w:val="18"/>
              </w:rPr>
              <w:t xml:space="preserve">Índice (base dic-2015=100)</w:t>
            </w:r>
          </w:p>
        </w:tc>
      </w:tr>
      <w:tr>
        <w:trPr>
          <w:cantSplit/>
        </w:trPr>
        <w:tc>
          <w:p>
            <w:pPr>
              <w:pStyle w:val="Compact"/>
              <w:jc w:val="left"/>
            </w:pPr>
            <w:r>
              <w:rPr>
                <w:bCs/>
                <w:b/>
                <w:sz w:val="18"/>
              </w:rPr>
              <w:t xml:space="preserve">SERIE DISPONIBLE</w:t>
            </w:r>
          </w:p>
        </w:tc>
        <w:tc>
          <w:p>
            <w:pPr>
              <w:pStyle w:val="Compact"/>
              <w:jc w:val="left"/>
            </w:pPr>
            <w:r>
              <w:rPr>
                <w:sz w:val="18"/>
              </w:rPr>
              <w:t xml:space="preserve">2023-11 → 2026-07 (33 puntos)</w:t>
            </w:r>
          </w:p>
        </w:tc>
        <w:tc>
          <w:p>
            <w:pPr>
              <w:pStyle w:val="Compact"/>
              <w:jc w:val="left"/>
            </w:pPr>
            <w:r>
              <w:rPr>
                <w:bCs/>
                <w:b/>
                <w:sz w:val="18"/>
              </w:rPr>
              <w:t xml:space="preserve">REZAGO DE PUBLICACIÓN</w:t>
            </w:r>
          </w:p>
        </w:tc>
        <w:tc>
          <w:p>
            <w:pPr>
              <w:pStyle w:val="Compact"/>
              <w:jc w:val="left"/>
            </w:pPr>
            <w:r>
              <w:rPr>
                <w:sz w:val="18"/>
              </w:rPr>
              <w:t xml:space="preserve">La planilla oficial se actualiza a diario; el promedio mensual del mes cerrado está disponible en los primeros días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ITCRM — Índice de Tipo de Cambio Real Multilateral (base 17-dic-2015 = 100), promedios mensuales</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y lectura de la planilla oficial; una sola descarga por actualización sirve al índice y a los bilaterales de contexto.</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05"/>
    <w:bookmarkStart w:id="106" w:name="definición-qué-mide-y-por-qué-importa-8"/>
    <w:p>
      <w:pPr>
        <w:pStyle w:val="Heading2"/>
        <w:keepNext/>
      </w:pPr>
      <w:r>
        <w:t xml:space="preserve">Definición — qué mide y por qué importa</w:t>
      </w:r>
    </w:p>
    <w:p>
      <w:pPr>
        <w:pStyle w:val="FirstParagraph"/>
      </w:pPr>
      <w:r>
        <w:t xml:space="preserve">Si el peso está caro o barato frente a los socios comerciales, en términos reales (competitividad cambiaria). Mide la dimensión de competitividad externa del índice.</w:t>
      </w:r>
    </w:p>
    <w:p>
      <w:pPr>
        <w:pStyle w:val="BodyText"/>
      </w:pPr>
      <w:r>
        <w:t xml:space="preserve">Una apreciación real (peso caro) frena exportaciones y la acumulación de reservas, y suele anticipar presión cambiaria: cuanto más apreciado, más tensión. Un peso más competitivo afloja esa restricción.</w:t>
      </w:r>
    </w:p>
    <w:p>
      <w:pPr>
        <w:pStyle w:val="BodyText"/>
      </w:pPr>
      <w:r>
        <w:rPr>
          <w:bCs/>
          <w:b/>
        </w:rPr>
        <w:t xml:space="preserve">Dimensión que integra — Competitividad externa.</w:t>
      </w:r>
      <w:r>
        <w:t xml:space="preserve"> </w:t>
      </w:r>
      <w:r>
        <w:t xml:space="preserve">Si el tipo de cambio real alcanza para competir: el ITCRM oficial del BCRA contra su propia historia.</w:t>
      </w:r>
    </w:p>
    <w:bookmarkEnd w:id="106"/>
    <w:bookmarkStart w:id="107" w:name="método-de-cómputo-8"/>
    <w:p>
      <w:pPr>
        <w:pStyle w:val="Heading2"/>
        <w:keepNext/>
      </w:pPr>
      <w:r>
        <w:t xml:space="preserve">Método de cómputo</w:t>
      </w:r>
    </w:p>
    <w:p>
      <w:pPr>
        <w:numPr>
          <w:ilvl w:val="0"/>
          <w:numId w:val="1038"/>
        </w:numPr>
        <w:pStyle w:val="Compact"/>
      </w:pPr>
      <w:r>
        <w:t xml:space="preserve">Ninguna sobre el valor: se publica el promedio mensual oficial tal cual.</w:t>
      </w:r>
    </w:p>
    <w:p>
      <w:pPr>
        <w:numPr>
          <w:ilvl w:val="0"/>
          <w:numId w:val="1038"/>
        </w:numPr>
        <w:pStyle w:val="Compact"/>
      </w:pPr>
      <w:r>
        <w:t xml:space="preserve">La lectura del puntaje es invertida: un índice más bajo (peso más caro en términos reales) significa menos competitividad y más tensión.</w:t>
      </w:r>
    </w:p>
    <w:bookmarkEnd w:id="107"/>
    <w:bookmarkStart w:id="108" w:name="X87b3987c06539a9299ed64e1a1888a4d5564df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dic-2015=100))</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82 – 90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77 – 82</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77</w:t>
            </w:r>
          </w:p>
        </w:tc>
        <w:tc>
          <w:tcPr>
            <w:shd w:val="clear" w:color="auto" w:fill="FEE2E2"/>
          </w:tcPr>
          <w:p>
            <w:pPr>
              <w:pStyle w:val="Compact"/>
              <w:jc w:val="center"/>
            </w:pPr>
            <w:r>
              <w:rPr>
                <w:b/>
                <w:sz w:val="18"/>
                <w:color w:val="7F1D1D"/>
              </w:rPr>
              <w:t xml:space="preserve">ROJO</w:t>
            </w:r>
          </w:p>
        </w:tc>
      </w:tr>
    </w:tbl>
    <w:bookmarkEnd w:id="108"/>
    <w:bookmarkStart w:id="109"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9"/>
        </w:numPr>
        <w:pStyle w:val="Compact"/>
      </w:pPr>
      <w:r>
        <w:t xml:space="preserve">El informe publica el valor (85,82 Índice (base dic-2015=100)) pero no los números que lo componen: la fuente entrega la serie ya calculada. Para auditar el dato hay que ir a la operación estadística citada más arriba.</w:t>
      </w:r>
    </w:p>
    <w:bookmarkEnd w:id="109"/>
    <w:bookmarkStart w:id="110" w:name="color-vigente-y-por-qué-8"/>
    <w:p>
      <w:pPr>
        <w:pStyle w:val="Heading2"/>
        <w:keepNext/>
      </w:pPr>
      <w:r>
        <w:t xml:space="preserve">Color vigente y por qué</w:t>
      </w:r>
    </w:p>
    <w:p>
      <w:pPr>
        <w:pStyle w:val="FirstParagraph"/>
      </w:pPr>
      <w:r>
        <w:t xml:space="preserve">Dato vigente: 85,82 Índice (base dic-2015=100) (2026-07).</w:t>
      </w:r>
    </w:p>
    <w:p>
      <w:pPr>
        <w:pStyle w:val="BodyText"/>
      </w:pPr>
      <w:r>
        <w:t xml:space="preserve">85,82 Índice (base dic-2015=100) cae en el tramo que corresponde a Amarillo, a 3,82 del corte más cercano.</w:t>
      </w:r>
    </w:p>
    <w:p>
      <w:pPr>
        <w:pStyle w:val="BodyText"/>
      </w:pPr>
      <w:r>
        <w:rPr>
          <w:bCs/>
          <w:b/>
        </w:rPr>
        <w:t xml:space="preserve">Color vigente: AMARILLO</w:t>
      </w:r>
    </w:p>
    <w:p>
      <w:pPr>
        <w:pStyle w:val="BodyText"/>
      </w:pPr>
      <w:r>
        <w:t xml:space="preserve">Ponderación vigente en el ITCM: 11 % efectivo. El color es una lectura adicional — no reemplaza ni cambia esta ponderación.</w:t>
      </w:r>
    </w:p>
    <w:p>
      <w:pPr>
        <w:numPr>
          <w:ilvl w:val="0"/>
          <w:numId w:val="1040"/>
        </w:numPr>
        <w:pStyle w:val="Compact"/>
      </w:pPr>
      <w:r>
        <w:rPr>
          <w:bCs/>
          <w:b/>
        </w:rPr>
        <w:t xml:space="preserve">Participación en otros indicadores.</w:t>
      </w:r>
      <w:r>
        <w:t xml:space="preserve"> </w:t>
      </w:r>
      <w:r>
        <w:t xml:space="preserve">Los tipos de cambio bilaterales con Brasil y Estados Unidos, de la misma planilla, se publican como series de contexto en el gráfico del indicador.</w:t>
      </w:r>
    </w:p>
    <w:bookmarkEnd w:id="110"/>
    <w:bookmarkStart w:id="111" w:name="transparencia-limitaciones-declaradas-8"/>
    <w:p>
      <w:pPr>
        <w:pStyle w:val="Heading2"/>
        <w:keepNext/>
      </w:pPr>
      <w:r>
        <w:t xml:space="preserve">Transparencia — limitaciones declaradas</w:t>
      </w:r>
    </w:p>
    <w:p>
      <w:pPr>
        <w:numPr>
          <w:ilvl w:val="0"/>
          <w:numId w:val="1041"/>
        </w:numPr>
        <w:pStyle w:val="Compact"/>
      </w:pPr>
      <w:r>
        <w:t xml:space="preserve">Depende de una planilla con dirección y formato fijos: si el BCRA los cambia, el indicador cae a una serie alternativa discontinuada, marcada como desactualizada.</w:t>
      </w:r>
    </w:p>
    <w:p>
      <w:pPr>
        <w:numPr>
          <w:ilvl w:val="0"/>
          <w:numId w:val="1041"/>
        </w:numPr>
        <w:pStyle w:val="Compact"/>
      </w:pPr>
      <w:r>
        <w:t xml:space="preserve">Las bandas y el peso de la dimensión (11%) son operacionalización propia calibrada con la historia 1997-2026 — el documento institucional no los define.</w:t>
      </w:r>
    </w:p>
    <w:bookmarkEnd w:id="111"/>
    <w:bookmarkStart w:id="112" w:name="Xa8ce648c431bea43f551f3baf6efe2b68743848"/>
    <w:p>
      <w:pPr>
        <w:pStyle w:val="Heading2"/>
        <w:keepNext/>
      </w:pPr>
      <w:r>
        <w:t xml:space="preserve">Si falta el dato / Política de revisiones</w:t>
      </w:r>
    </w:p>
    <w:p>
      <w:pPr>
        <w:numPr>
          <w:ilvl w:val="0"/>
          <w:numId w:val="1042"/>
        </w:numPr>
      </w:pPr>
      <w:r>
        <w:rPr>
          <w:bCs/>
          <w:b/>
        </w:rPr>
        <w:t xml:space="preserve">Si falta el dato:</w:t>
      </w:r>
      <w:r>
        <w:t xml:space="preserve"> </w:t>
      </w:r>
      <w:r>
        <w:t xml:space="preserve">Con la planilla caída, cae a la serie histórica alternativa (discontinuada a fines de 2024, marcada desactualizada); agotado eso, se mantiene el último valor disponible y los pesos se renormalizan.</w:t>
      </w:r>
    </w:p>
    <w:p>
      <w:pPr>
        <w:numPr>
          <w:ilvl w:val="0"/>
          <w:numId w:val="1042"/>
        </w:numPr>
      </w:pPr>
      <w:r>
        <w:rPr>
          <w:bCs/>
          <w:b/>
        </w:rPr>
        <w:t xml:space="preserve">Política de revisiones:</w:t>
      </w:r>
      <w:r>
        <w:t xml:space="preserve"> </w:t>
      </w:r>
      <w:r>
        <w:t xml:space="preserve">El índice oficial no se revisa hacia atrás de forma habitual; la serie del informe se reconstruye completa de la planilla en cada actualización.</w:t>
      </w:r>
    </w:p>
    <w:bookmarkEnd w:id="112"/>
    <w:bookmarkStart w:id="113" w:name="X7377c6d2efe561e453f620dd5fcb89b652fe35d"/>
    <w:p>
      <w:pPr>
        <w:pStyle w:val="Heading2"/>
        <w:keepNext/>
      </w:pPr>
      <w:r>
        <w:t xml:space="preserve">Historial — cambios metodológicos documentados</w:t>
      </w:r>
    </w:p>
    <w:p>
      <w:pPr>
        <w:pStyle w:val="FirstParagraph"/>
      </w:pPr>
      <w:r>
        <w:rPr>
          <w:bCs/>
          <w:b/>
        </w:rPr>
        <w:t xml:space="preserve">2026-06-27</w:t>
      </w:r>
      <w:r>
        <w:t xml:space="preserve"> </w:t>
      </w:r>
      <w:r>
        <w:t xml:space="preserve">— La fuente pasa de la serie del INDEC (discontinuada en diciembre de 2024, con 18 meses de rezago acumulado) al ITCRM oficial del BCRA. Era un indicador de contexto.</w:t>
      </w:r>
    </w:p>
    <w:p>
      <w:pPr>
        <w:pStyle w:val="BodyText"/>
      </w:pPr>
      <w:r>
        <w:rPr>
          <w:bCs/>
          <w:b/>
        </w:rPr>
        <w:t xml:space="preserve">2026-06-28</w:t>
      </w:r>
      <w:r>
        <w:t xml:space="preserve"> </w:t>
      </w:r>
      <w:r>
        <w:t xml:space="preserve">— Deja de ser contexto y entra al índice como quinta dimensión (competitividad externa).</w:t>
      </w:r>
    </w:p>
    <w:p>
      <w:pPr>
        <w:pStyle w:val="BodyText"/>
      </w:pPr>
      <w:r>
        <w:rPr>
          <w:bCs/>
          <w:b/>
        </w:rPr>
        <w:t xml:space="preserve">2026-06-30</w:t>
      </w:r>
      <w:r>
        <w:t xml:space="preserve"> </w:t>
      </w:r>
      <w:r>
        <w:t xml:space="preserve">— Peso de la dimensión recortado de 12% a 11% al entrar la dimensión de inversión.</w:t>
      </w:r>
    </w:p>
    <w:p>
      <w:pPr>
        <w:pStyle w:val="BodyText"/>
      </w:pPr>
      <w:r>
        <w:rPr>
          <w:bCs/>
          <w:b/>
        </w:rPr>
        <w:t xml:space="preserve">2026-07-03</w:t>
      </w:r>
      <w:r>
        <w:t xml:space="preserve"> </w:t>
      </w:r>
      <w:r>
        <w:t xml:space="preserve">—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13"/>
    <w:bookmarkEnd w:id="114"/>
    <w:bookmarkStart w:id="124" w:name="expectativas-inflación-rem-12m"/>
    <w:p>
      <w:pPr>
        <w:pStyle w:val="Heading1"/>
        <w:keepNext/>
      </w:pPr>
      <w:r>
        <w:t xml:space="preserve">Expectativas inflación (REM 12m)</w:t>
      </w:r>
    </w:p>
    <w:p>
      <w:pPr>
        <w:pStyle w:val="FirstParagraph"/>
      </w:pPr>
      <w:r>
        <w:t xml:space="preserve">La inflación que el mercado espera para los próximos 12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21,8 % anual esperado</w:t>
            </w:r>
            <w:r>
              <w:rPr>
                <w:sz w:val="18"/>
              </w:rPr>
              <w:t xml:space="preserve"> </w:t>
            </w:r>
            <w:r>
              <w:rPr>
                <w:sz w:val="18"/>
              </w:rPr>
              <w:t xml:space="preserve">(2026-07)</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6,5 % del ITCM</w:t>
            </w:r>
          </w:p>
        </w:tc>
        <w:tc>
          <w:p>
            <w:pPr>
              <w:pStyle w:val="Compact"/>
              <w:jc w:val="left"/>
            </w:pPr>
            <w:r>
              <w:rPr>
                <w:sz w:val="18"/>
              </w:rPr>
              <w:t xml:space="preserve">Cinturón Macroeconomía</w:t>
            </w:r>
          </w:p>
        </w:tc>
      </w:tr>
    </w:tbl>
    <w:bookmarkStart w:id="115" w:name="identificación-9"/>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rem_ipc_12m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 anual esperado</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2026-07 (32 puntos)</w:t>
            </w:r>
          </w:p>
        </w:tc>
        <w:tc>
          <w:p>
            <w:pPr>
              <w:pStyle w:val="Compact"/>
              <w:jc w:val="left"/>
            </w:pPr>
            <w:r>
              <w:rPr>
                <w:bCs/>
                <w:b/>
                <w:sz w:val="18"/>
              </w:rPr>
              <w:t xml:space="preserve">REZAGO DE PUBLICACIÓN</w:t>
            </w:r>
          </w:p>
        </w:tc>
        <w:tc>
          <w:p>
            <w:pPr>
              <w:pStyle w:val="Compact"/>
              <w:jc w:val="left"/>
            </w:pPr>
            <w:r>
              <w:rPr>
                <w:sz w:val="18"/>
              </w:rPr>
              <w:t xml:space="preserve">El BCRA releva el REM los últimos días de cada mes y publica los resultados en los primeros días hábiles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REM — Relevamiento de Expectativas de Mercado: mediana de la inflación esperada para los próximos 12 meses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15"/>
    <w:bookmarkStart w:id="116" w:name="definición-qué-mide-y-por-qué-importa-9"/>
    <w:p>
      <w:pPr>
        <w:pStyle w:val="Heading2"/>
        <w:keepNext/>
      </w:pPr>
      <w:r>
        <w:t xml:space="preserve">Definición — qué mide y por qué importa</w:t>
      </w:r>
    </w:p>
    <w:p>
      <w:pPr>
        <w:pStyle w:val="FirstParagraph"/>
      </w:pPr>
      <w:r>
        <w:t xml:space="preserve">La inflación que el mercado espera para los próximos 12 meses.</w:t>
      </w:r>
    </w:p>
    <w:p>
      <w:pPr>
        <w:pStyle w:val="BodyText"/>
      </w:pPr>
      <w:r>
        <w:t xml:space="preserve">Captura la credibilidad del programa: si el mercado espera que la inflación siga bajando, el ancla de expectativas funciona; si la ve acelerarse, hay desconfianza.</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16"/>
    <w:bookmarkStart w:id="117" w:name="método-de-cómputo-9"/>
    <w:p>
      <w:pPr>
        <w:pStyle w:val="Heading2"/>
        <w:keepNext/>
      </w:pPr>
      <w:r>
        <w:t xml:space="preserve">Método de cómputo</w:t>
      </w:r>
    </w:p>
    <w:p>
      <w:pPr>
        <w:numPr>
          <w:ilvl w:val="0"/>
          <w:numId w:val="1043"/>
        </w:numPr>
        <w:pStyle w:val="Compact"/>
      </w:pPr>
      <w:r>
        <w:t xml:space="preserve">El valor publicado en la card es el nivel anual esperado, tal cual lo releva el BCRA.</w:t>
      </w:r>
    </w:p>
    <w:p>
      <w:pPr>
        <w:numPr>
          <w:ilvl w:val="0"/>
          <w:numId w:val="1043"/>
        </w:numPr>
        <w:pStyle w:val="Compact"/>
      </w:pPr>
      <w:r>
        <w:t xml:space="preserve">Para puntuar se convierte a su equivalente mensual (raíz doceava) y se lee con la misma escala mensual que el IPC: expectativas y dato realizado quedan en la misma vara.</w:t>
      </w:r>
    </w:p>
    <w:bookmarkEnd w:id="117"/>
    <w:bookmarkStart w:id="118" w:name="X7cebc61645757546f8524c030baae18d065141e"/>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anual esperado)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39,29</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39,29 – 60,1</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60,1 – 72,86</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72,86</w:t>
            </w:r>
          </w:p>
        </w:tc>
        <w:tc>
          <w:tcPr>
            <w:shd w:val="clear" w:color="auto" w:fill="FEE2E2"/>
          </w:tcPr>
          <w:p>
            <w:pPr>
              <w:pStyle w:val="Compact"/>
              <w:jc w:val="center"/>
            </w:pPr>
            <w:r>
              <w:rPr>
                <w:b/>
                <w:sz w:val="18"/>
                <w:color w:val="7F1D1D"/>
              </w:rPr>
              <w:t xml:space="preserve">ROJO</w:t>
            </w:r>
          </w:p>
        </w:tc>
      </w:tr>
    </w:tbl>
    <w:bookmarkEnd w:id="118"/>
    <w:bookmarkStart w:id="119"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4"/>
        </w:numPr>
        <w:pStyle w:val="Compact"/>
      </w:pPr>
      <w:r>
        <w:t xml:space="preserve">equiv. mensual 1,66% (raíz-12 del 21,8% anual)</w:t>
      </w:r>
    </w:p>
    <w:bookmarkEnd w:id="119"/>
    <w:bookmarkStart w:id="120" w:name="color-vigente-y-por-qué-9"/>
    <w:p>
      <w:pPr>
        <w:pStyle w:val="Heading2"/>
        <w:keepNext/>
      </w:pPr>
      <w:r>
        <w:t xml:space="preserve">Color vigente y por qué</w:t>
      </w:r>
    </w:p>
    <w:p>
      <w:pPr>
        <w:pStyle w:val="FirstParagraph"/>
      </w:pPr>
      <w:r>
        <w:t xml:space="preserve">Dato vigente: 21,8 % anual esperado (2026-07).</w:t>
      </w:r>
    </w:p>
    <w:p>
      <w:pPr>
        <w:pStyle w:val="BodyText"/>
      </w:pPr>
      <w:r>
        <w:t xml:space="preserve">21,8 % anual esperado cae en el tramo que corresponde a Verde, a 17,49 del corte más cercano.</w:t>
      </w:r>
    </w:p>
    <w:p>
      <w:pPr>
        <w:pStyle w:val="BodyText"/>
      </w:pPr>
      <w:r>
        <w:rPr>
          <w:bCs/>
          <w:b/>
        </w:rPr>
        <w:t xml:space="preserve">Color vigente: VERDE</w:t>
      </w:r>
    </w:p>
    <w:p>
      <w:pPr>
        <w:pStyle w:val="BodyText"/>
      </w:pPr>
      <w:r>
        <w:t xml:space="preserve">Ponderación vigente en el ITCM: 6,5 % efectivo. El color es una lectura adicional — no reemplaza ni cambia esta ponderación.</w:t>
      </w:r>
    </w:p>
    <w:bookmarkEnd w:id="120"/>
    <w:bookmarkStart w:id="121" w:name="transparencia-limitaciones-declaradas-9"/>
    <w:p>
      <w:pPr>
        <w:pStyle w:val="Heading2"/>
        <w:keepNext/>
      </w:pPr>
      <w:r>
        <w:t xml:space="preserve">Transparencia — limitaciones declaradas</w:t>
      </w:r>
    </w:p>
    <w:p>
      <w:pPr>
        <w:numPr>
          <w:ilvl w:val="0"/>
          <w:numId w:val="1045"/>
        </w:numPr>
        <w:pStyle w:val="Compact"/>
      </w:pPr>
      <w:r>
        <w:t xml:space="preserve">Es una expectativa (mediana de pronósticos de consultoras y bancos), no un dato realizado: mide credibilidad, no inflación.</w:t>
      </w:r>
    </w:p>
    <w:p>
      <w:pPr>
        <w:numPr>
          <w:ilvl w:val="0"/>
          <w:numId w:val="1045"/>
        </w:numPr>
        <w:pStyle w:val="Compact"/>
      </w:pPr>
      <w:r>
        <w:t xml:space="preserve">La conversión a equivalente mensual supone un ritmo constante a lo largo del año esperado.</w:t>
      </w:r>
    </w:p>
    <w:p>
      <w:pPr>
        <w:numPr>
          <w:ilvl w:val="0"/>
          <w:numId w:val="1045"/>
        </w:numPr>
        <w:pStyle w:val="Compact"/>
      </w:pPr>
      <w:r>
        <w:t xml:space="preserve">La escala vigente es una decisión propia: las bandas absolutas del documento original quedaron miscalibradas para un régimen de desinflación y se reemplazaron, con el cambio documentado.</w:t>
      </w:r>
    </w:p>
    <w:bookmarkEnd w:id="121"/>
    <w:bookmarkStart w:id="122" w:name="X0ca14a0d10aa77334bfd7717b8d9d79e39debb4"/>
    <w:p>
      <w:pPr>
        <w:pStyle w:val="Heading2"/>
        <w:keepNext/>
      </w:pPr>
      <w:r>
        <w:t xml:space="preserve">Si falta el dato / Política de revisiones</w:t>
      </w:r>
    </w:p>
    <w:p>
      <w:pPr>
        <w:numPr>
          <w:ilvl w:val="0"/>
          <w:numId w:val="1046"/>
        </w:numPr>
      </w:pPr>
      <w:r>
        <w:rPr>
          <w:bCs/>
          <w:b/>
        </w:rPr>
        <w:t xml:space="preserve">Si falta el dato:</w:t>
      </w:r>
      <w:r>
        <w:t xml:space="preserve"> </w:t>
      </w:r>
      <w:r>
        <w:t xml:space="preserve">Si el dato falta, se mantiene el último valor disponible, señalado como desactualizado; sin dato, el IPC, el IDM y la presión de dolarización renormalizan dentro de la dimensión de estabilidad monetaria.</w:t>
      </w:r>
    </w:p>
    <w:p>
      <w:pPr>
        <w:numPr>
          <w:ilvl w:val="0"/>
          <w:numId w:val="1046"/>
        </w:numPr>
      </w:pPr>
      <w:r>
        <w:rPr>
          <w:bCs/>
          <w:b/>
        </w:rPr>
        <w:t xml:space="preserve">Política de revisiones:</w:t>
      </w:r>
      <w:r>
        <w:t xml:space="preserve"> </w:t>
      </w:r>
      <w:r>
        <w:t xml:space="preserve">El REM publicado no se revisa: cada mes es un relevamiento nuevo.</w:t>
      </w:r>
    </w:p>
    <w:bookmarkEnd w:id="122"/>
    <w:bookmarkStart w:id="123" w:name="Xc4c5e47252ec9282a3f09a2ac20eb324c30e392"/>
    <w:p>
      <w:pPr>
        <w:pStyle w:val="Heading2"/>
        <w:keepNext/>
      </w:pPr>
      <w:r>
        <w:t xml:space="preserve">Historial — cambios metodológicos documentados</w:t>
      </w:r>
    </w:p>
    <w:p>
      <w:pPr>
        <w:pStyle w:val="FirstParagraph"/>
      </w:pPr>
      <w:r>
        <w:rPr>
          <w:bCs/>
          <w:b/>
        </w:rPr>
        <w:t xml:space="preserve">2026-06</w:t>
      </w:r>
      <w:r>
        <w:t xml:space="preserve"> </w:t>
      </w:r>
      <w:r>
        <w:t xml:space="preserve">— En el índice desde la paramétrica original, con bandas absolutas sobre el nivel anual.</w:t>
      </w:r>
    </w:p>
    <w:p>
      <w:pPr>
        <w:pStyle w:val="BodyText"/>
      </w:pPr>
      <w:r>
        <w:rPr>
          <w:bCs/>
          <w:b/>
        </w:rPr>
        <w:t xml:space="preserve">2026-06-26</w:t>
      </w:r>
      <w:r>
        <w:t xml:space="preserve"> </w:t>
      </w:r>
      <w:r>
        <w:t xml:space="preserve">— Pasa a puntuarse por el equivalente mensual con las bandas del IPC, tras descartarse una versión intermedia por brecha contra el ritmo corriente.</w:t>
      </w:r>
    </w:p>
    <w:p>
      <w:pPr>
        <w:pStyle w:val="BodyText"/>
      </w:pPr>
      <w:r>
        <w:rPr>
          <w:bCs/>
          <w:b/>
        </w:rPr>
        <w:t xml:space="preserve">2026-06-28</w:t>
      </w:r>
      <w:r>
        <w:t xml:space="preserve"> </w:t>
      </w:r>
      <w:r>
        <w:t xml:space="preserve">— Su peso interno baja de 50% a 30% de la dimensión al entrar el IDM.</w:t>
      </w:r>
    </w:p>
    <w:p>
      <w:pPr>
        <w:pStyle w:val="BodyText"/>
      </w:pPr>
      <w:r>
        <w:rPr>
          <w:bCs/>
          <w:b/>
        </w:rPr>
        <w:t xml:space="preserve">2026-07-03</w:t>
      </w:r>
      <w:r>
        <w:t xml:space="preserve"> </w:t>
      </w:r>
      <w:r>
        <w:t xml:space="preserve">— Puntaje interpolado entre anclas.</w:t>
      </w:r>
    </w:p>
    <w:p>
      <w:pPr>
        <w:pStyle w:val="BodyText"/>
      </w:pPr>
      <w:r>
        <w:rPr>
          <w:bCs/>
          <w:b/>
        </w:rPr>
        <w:t xml:space="preserve">2026-07-13</w:t>
      </w:r>
      <w:r>
        <w:t xml:space="preserve"> </w:t>
      </w:r>
      <w:r>
        <w:t xml:space="preserve">— Su peso interno pasa de 30% a 25% al incorporarse una cuarta señal de estabilidad monetaria, hoy medida por la presión de dolarización de carteras.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23"/>
    <w:bookmarkEnd w:id="124"/>
    <w:bookmarkStart w:id="134" w:name="desequilibrio-monetario-idm"/>
    <w:p>
      <w:pPr>
        <w:pStyle w:val="Heading1"/>
        <w:keepNext/>
      </w:pPr>
      <w:r>
        <w:t xml:space="preserve">Desequilibrio monetario (IDM)</w:t>
      </w:r>
    </w:p>
    <w:p>
      <w:pPr>
        <w:pStyle w:val="FirstParagraph"/>
      </w:pPr>
      <w:r>
        <w:t xml:space="preserve">Índice de Desequilibrio Monetario: compara cuánto crece la oferta amplia de pesos del sector privado (M3 privado) con cuánto crece su demanda transaccional (M2 privado), ambos en términos reales e interanuales. El M2 transaccional incluye el circulante en poder del público, las cuentas corrientes privadas en pesos y las cajas de ahorro privadas en pesos; excluye los depósitos a la vista remunerados de personas jurídicas.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6,24 pp (brecha i.a. real)</w:t>
            </w:r>
            <w:r>
              <w:rPr>
                <w:sz w:val="18"/>
              </w:rPr>
              <w:t xml:space="preserve"> </w:t>
            </w:r>
            <w:r>
              <w:rPr>
                <w:sz w:val="18"/>
              </w:rPr>
              <w:t xml:space="preserve">(2026-06)</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6,5 % del ITCM</w:t>
            </w:r>
          </w:p>
        </w:tc>
        <w:tc>
          <w:p>
            <w:pPr>
              <w:pStyle w:val="Compact"/>
              <w:jc w:val="left"/>
            </w:pPr>
            <w:r>
              <w:rPr>
                <w:sz w:val="18"/>
              </w:rPr>
              <w:t xml:space="preserve">Cinturón Macroeconomía</w:t>
            </w:r>
          </w:p>
        </w:tc>
      </w:tr>
    </w:tbl>
    <w:bookmarkStart w:id="125" w:name="identificación-10"/>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idm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pp (brecha i.a. real)</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2026-06 (33 puntos)</w:t>
            </w:r>
          </w:p>
        </w:tc>
        <w:tc>
          <w:p>
            <w:pPr>
              <w:pStyle w:val="Compact"/>
              <w:jc w:val="left"/>
            </w:pPr>
            <w:r>
              <w:rPr>
                <w:bCs/>
                <w:b/>
                <w:sz w:val="18"/>
              </w:rPr>
              <w:t xml:space="preserve">REZAGO DE PUBLICACIÓN</w:t>
            </w:r>
          </w:p>
        </w:tc>
        <w:tc>
          <w:p>
            <w:pPr>
              <w:pStyle w:val="Compact"/>
              <w:jc w:val="left"/>
            </w:pPr>
            <w:r>
              <w:rPr>
                <w:sz w:val="18"/>
              </w:rPr>
              <w:t xml:space="preserve">Necesita el IPC cerrado para deflactar: se publica para el último mes con IPC disponible, unas dos semanas después de mediados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 (agregados monetarios) + INDEC (IPC como deflactor)</w:t>
            </w:r>
          </w:p>
        </w:tc>
        <w:tc>
          <w:p>
            <w:pPr>
              <w:pStyle w:val="Compact"/>
              <w:jc w:val="left"/>
            </w:pPr>
            <w:r>
              <w:rPr>
                <w:bCs/>
                <w:b/>
                <w:sz w:val="18"/>
              </w:rPr>
              <w:t xml:space="preserve">OPERACIÓN ESTADÍSTICA</w:t>
            </w:r>
          </w:p>
        </w:tc>
        <w:tc>
          <w:p>
            <w:pPr>
              <w:pStyle w:val="Compact"/>
              <w:jc w:val="left"/>
            </w:pPr>
            <w:r>
              <w:rPr>
                <w:sz w:val="18"/>
              </w:rPr>
              <w:t xml:space="preserve">Agregados monetarios privados: circulante en poder del público, depósitos privados, cuentas corrientes privadas en pesos, cajas de ahorro privadas en pesos y M2 transaccional privado; índice de elaboración propia</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 y API de series de datos.gob.ar; la brecha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25"/>
    <w:bookmarkStart w:id="126" w:name="definición-qué-mide-y-por-qué-importa-10"/>
    <w:p>
      <w:pPr>
        <w:pStyle w:val="Heading2"/>
        <w:keepNext/>
      </w:pPr>
      <w:r>
        <w:t xml:space="preserve">Definición — qué mide y por qué importa</w:t>
      </w:r>
    </w:p>
    <w:p>
      <w:pPr>
        <w:pStyle w:val="FirstParagraph"/>
      </w:pPr>
      <w:r>
        <w:t xml:space="preserve">Índice de Desequilibrio Monetario: compara cuánto crece la oferta amplia de pesos del sector privado (M3 privado) con cuánto crece su demanda transaccional (M2 privado), ambos en términos reales e interanuales. El M2 transaccional incluye el circulante en poder del público, las cuentas corrientes privadas en pesos y las cajas de ahorro privadas en pesos; excluye los depósitos a la vista remunerados de personas jurídicas.</w:t>
      </w:r>
    </w:p>
    <w:p>
      <w:pPr>
        <w:pStyle w:val="BodyText"/>
      </w:pPr>
      <w:r>
        <w:t xml:space="preserve">Detecta si sobran pesos respecto de lo que la economía quiere retener: una brecha positiva señala excedente monetario que puede presionar precios y brecha cambiaria; una negativa, remonetización traccionada por demanda real de dinero.</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26"/>
    <w:bookmarkStart w:id="127" w:name="método-de-cómputo-10"/>
    <w:p>
      <w:pPr>
        <w:pStyle w:val="Heading2"/>
        <w:keepNext/>
      </w:pPr>
      <w:r>
        <w:t xml:space="preserve">Método de cómputo</w:t>
      </w:r>
    </w:p>
    <w:p>
      <w:pPr>
        <w:numPr>
          <w:ilvl w:val="0"/>
          <w:numId w:val="1047"/>
        </w:numPr>
        <w:pStyle w:val="Compact"/>
      </w:pPr>
      <w:r>
        <w:t xml:space="preserve">M3 privado construido = circulante en poder del público + depósitos privados, a fin de mes (no existe como serie directa del BCRA).</w:t>
      </w:r>
    </w:p>
    <w:p>
      <w:pPr>
        <w:numPr>
          <w:ilvl w:val="0"/>
          <w:numId w:val="1047"/>
        </w:numPr>
        <w:pStyle w:val="Compact"/>
      </w:pPr>
      <w:r>
        <w:t xml:space="preserve">M2 privado transaccional = circulante en poder del público + cuentas corrientes privadas en pesos + cajas de ahorro privadas en pesos. Excluye los depósitos a la vista remunerados de personas jurídicas.</w:t>
      </w:r>
    </w:p>
    <w:p>
      <w:pPr>
        <w:numPr>
          <w:ilvl w:val="0"/>
          <w:numId w:val="1047"/>
        </w:numPr>
        <w:pStyle w:val="Compact"/>
      </w:pPr>
      <w:r>
        <w:t xml:space="preserve">IDM = crecimiento interanual real del M3 privado − crecimiento interanual real del M2 privado, ambos deflactados por IPC, en puntos porcentuales.</w:t>
      </w:r>
    </w:p>
    <w:p>
      <w:pPr>
        <w:numPr>
          <w:ilvl w:val="0"/>
          <w:numId w:val="1047"/>
        </w:numPr>
        <w:pStyle w:val="Compact"/>
      </w:pPr>
      <w:r>
        <w:t xml:space="preserve">Positivo = sobran pesos respecto de lo que la economía quiere retener (presión latente sobre precios y brecha); negativo = remonetización genuina.</w:t>
      </w:r>
    </w:p>
    <w:bookmarkEnd w:id="127"/>
    <w:bookmarkStart w:id="128" w:name="Xfb29aba7f4cabebf712c4a7a435b3b78f3aa559"/>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(pp (brecha i.a. real))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3,5 – 5,9</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5,9 – 7,4</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7,4</w:t>
            </w:r>
          </w:p>
        </w:tc>
        <w:tc>
          <w:tcPr>
            <w:shd w:val="clear" w:color="auto" w:fill="FEE2E2"/>
          </w:tcPr>
          <w:p>
            <w:pPr>
              <w:pStyle w:val="Compact"/>
              <w:jc w:val="center"/>
            </w:pPr>
            <w:r>
              <w:rPr>
                <w:b/>
                <w:sz w:val="18"/>
                <w:color w:val="7F1D1D"/>
              </w:rPr>
              <w:t xml:space="preserve">ROJO</w:t>
            </w:r>
          </w:p>
        </w:tc>
      </w:tr>
    </w:tbl>
    <w:bookmarkEnd w:id="128"/>
    <w:bookmarkStart w:id="129"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8"/>
        </w:numPr>
        <w:pStyle w:val="Compact"/>
      </w:pPr>
      <w:r>
        <w:t xml:space="preserve">brecha 6,24 pp = M3 priv. real i.a. −2,63% − M2 priv. real i.a. −8,87%</w:t>
      </w:r>
    </w:p>
    <w:bookmarkEnd w:id="129"/>
    <w:bookmarkStart w:id="130" w:name="color-vigente-y-por-qué-10"/>
    <w:p>
      <w:pPr>
        <w:pStyle w:val="Heading2"/>
        <w:keepNext/>
      </w:pPr>
      <w:r>
        <w:t xml:space="preserve">Color vigente y por qué</w:t>
      </w:r>
    </w:p>
    <w:p>
      <w:pPr>
        <w:pStyle w:val="FirstParagraph"/>
      </w:pPr>
      <w:r>
        <w:t xml:space="preserve">Dato vigente: 6,24 pp (brecha i.a. real) (2026-06).</w:t>
      </w:r>
    </w:p>
    <w:p>
      <w:pPr>
        <w:pStyle w:val="BodyText"/>
      </w:pPr>
      <w:r>
        <w:t xml:space="preserve">6,24 pp (brecha i.a. real) cae en el tramo que corresponde a Naranja, a 0,34 del corte más cercano.</w:t>
      </w:r>
    </w:p>
    <w:p>
      <w:pPr>
        <w:pStyle w:val="BodyText"/>
      </w:pPr>
      <w:r>
        <w:rPr>
          <w:bCs/>
          <w:b/>
        </w:rPr>
        <w:t xml:space="preserve">Color vigente: NARANJA</w:t>
      </w:r>
    </w:p>
    <w:p>
      <w:pPr>
        <w:pStyle w:val="BodyText"/>
      </w:pPr>
      <w:r>
        <w:t xml:space="preserve">Ponderación vigente en el ITCM: 6,5 % efectivo. El color es una lectura adicional — no reemplaza ni cambia esta ponderación.</w:t>
      </w:r>
    </w:p>
    <w:p>
      <w:pPr>
        <w:numPr>
          <w:ilvl w:val="0"/>
          <w:numId w:val="1049"/>
        </w:numPr>
        <w:pStyle w:val="Compact"/>
      </w:pPr>
      <w:r>
        <w:rPr>
          <w:bCs/>
          <w:b/>
        </w:rPr>
        <w:t xml:space="preserve">Participación en otros indicadores.</w:t>
      </w:r>
      <w:r>
        <w:t xml:space="preserve"> </w:t>
      </w:r>
      <w:r>
        <w:t xml:space="preserve">Comparte insumos con el IdC (depósitos privados y el IPC como deflactor).</w:t>
      </w:r>
    </w:p>
    <w:bookmarkEnd w:id="130"/>
    <w:bookmarkStart w:id="131" w:name="transparencia-limitaciones-declaradas-10"/>
    <w:p>
      <w:pPr>
        <w:pStyle w:val="Heading2"/>
        <w:keepNext/>
      </w:pPr>
      <w:r>
        <w:t xml:space="preserve">Transparencia — limitaciones declaradas</w:t>
      </w:r>
    </w:p>
    <w:p>
      <w:pPr>
        <w:numPr>
          <w:ilvl w:val="0"/>
          <w:numId w:val="1050"/>
        </w:numPr>
        <w:pStyle w:val="Compact"/>
      </w:pPr>
      <w:r>
        <w:t xml:space="preserve">Las bandas están calibradas con una historia corta (fines de 2024 en adelante): desde −11 puntos en la remonetización hasta +7 en el pico de excedente.</w:t>
      </w:r>
    </w:p>
    <w:p>
      <w:pPr>
        <w:numPr>
          <w:ilvl w:val="0"/>
          <w:numId w:val="1050"/>
        </w:numPr>
        <w:pStyle w:val="Compact"/>
      </w:pPr>
      <w:r>
        <w:t xml:space="preserve">La fórmula es una reinterpretación documentada de la propuesta institucional: la versión literal (nominal contra real, mensual) tenía sesgo inflacionario y estacionalidad de aguinaldo, y se reemplazó por la versión interanual real-real.</w:t>
      </w:r>
    </w:p>
    <w:bookmarkEnd w:id="131"/>
    <w:bookmarkStart w:id="132" w:name="Xf65b40f3e12a517bfafe6b61886253a31c0106d"/>
    <w:p>
      <w:pPr>
        <w:pStyle w:val="Heading2"/>
        <w:keepNext/>
      </w:pPr>
      <w:r>
        <w:t xml:space="preserve">Si falta el dato / Política de revisiones</w:t>
      </w:r>
    </w:p>
    <w:p>
      <w:pPr>
        <w:numPr>
          <w:ilvl w:val="0"/>
          <w:numId w:val="1051"/>
        </w:numPr>
      </w:pPr>
      <w:r>
        <w:rPr>
          <w:bCs/>
          <w:b/>
        </w:rPr>
        <w:t xml:space="preserve">Si falta el dato:</w:t>
      </w:r>
      <w:r>
        <w:t xml:space="preserve"> </w:t>
      </w:r>
      <w:r>
        <w:t xml:space="preserve">Si falta un insumo, se mantiene el último valor disponible, señalado como desactualizado; sin dato, IPC, REM y presión de dolarización renormalizan dentro de la dimensión.</w:t>
      </w:r>
    </w:p>
    <w:p>
      <w:pPr>
        <w:numPr>
          <w:ilvl w:val="0"/>
          <w:numId w:val="1051"/>
        </w:numPr>
      </w:pPr>
      <w:r>
        <w:rPr>
          <w:bCs/>
          <w:b/>
        </w:rPr>
        <w:t xml:space="preserve">Política de revisiones:</w:t>
      </w:r>
      <w:r>
        <w:t xml:space="preserve"> </w:t>
      </w:r>
      <w:r>
        <w:t xml:space="preserve">Los stocks del BCRA no se revisan de forma habitual; la serie se regenera completa en cada actualización.</w:t>
      </w:r>
    </w:p>
    <w:bookmarkEnd w:id="132"/>
    <w:bookmarkStart w:id="133" w:name="Xc507494f83e44c325b7cca217ae571956777eab"/>
    <w:p>
      <w:pPr>
        <w:pStyle w:val="Heading2"/>
        <w:keepNext/>
      </w:pPr>
      <w:r>
        <w:t xml:space="preserve">Historial — cambios metodológicos documentados</w:t>
      </w:r>
    </w:p>
    <w:p>
      <w:pPr>
        <w:pStyle w:val="FirstParagraph"/>
      </w:pPr>
      <w:r>
        <w:rPr>
          <w:bCs/>
          <w:b/>
        </w:rPr>
        <w:t xml:space="preserve">2026-06-28</w:t>
      </w:r>
      <w:r>
        <w:t xml:space="preserve"> </w:t>
      </w:r>
      <w:r>
        <w:t xml:space="preserve">— Nace y entra al índice: la dimensión de estabilidad monetaria pasa de IPC 50% / REM 50% a IPC 40% / REM 30% / IDM 30%, en versión interanual real-real.</w:t>
      </w:r>
    </w:p>
    <w:p>
      <w:pPr>
        <w:pStyle w:val="BodyText"/>
      </w:pPr>
      <w:r>
        <w:rPr>
          <w:bCs/>
          <w:b/>
        </w:rPr>
        <w:t xml:space="preserve">2026-07-03</w:t>
      </w:r>
      <w:r>
        <w:t xml:space="preserve"> </w:t>
      </w:r>
      <w:r>
        <w:t xml:space="preserve">— Puntaje interpolado entre anclas.</w:t>
      </w:r>
    </w:p>
    <w:p>
      <w:pPr>
        <w:pStyle w:val="BodyText"/>
      </w:pPr>
      <w:r>
        <w:rPr>
          <w:bCs/>
          <w:b/>
        </w:rPr>
        <w:t xml:space="preserve">2026-07-13</w:t>
      </w:r>
      <w:r>
        <w:t xml:space="preserve"> </w:t>
      </w:r>
      <w:r>
        <w:t xml:space="preserve">— Aclaración de transparencia, sin cambio metodológico: la ficha explicita la composición del M2 transaccional y publica la cadena completa de ponderación y el aporte vigente del IDM al ITCM.</w:t>
      </w:r>
    </w:p>
    <w:p>
      <w:pPr>
        <w:pStyle w:val="BodyText"/>
      </w:pPr>
      <w:r>
        <w:rPr>
          <w:bCs/>
          <w:b/>
        </w:rPr>
        <w:t xml:space="preserve">2026-07-13</w:t>
      </w:r>
      <w:r>
        <w:t xml:space="preserve"> </w:t>
      </w:r>
      <w:r>
        <w:t xml:space="preserve">— Su peso interno pasa de 30% a 25% al incorporarse una señal de presión de dolarización; su peso nominal efectivo en el ITCM pasa de 7,8% a 6,5%.</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33"/>
    <w:bookmarkEnd w:id="134"/>
    <w:bookmarkStart w:id="144" w:name="presión-de-dolarización-de-carteras"/>
    <w:p>
      <w:pPr>
        <w:pStyle w:val="Heading1"/>
        <w:keepNext/>
      </w:pPr>
      <w:r>
        <w:t xml:space="preserve">Presión de dolarización de carteras</w:t>
      </w:r>
    </w:p>
    <w:p>
      <w:pPr>
        <w:pStyle w:val="FirstParagraph"/>
      </w:pPr>
      <w:r>
        <w:t xml:space="preserve">Una medida de 0 a 100 de la presión por salir del peso. Bajo restricciones cambiarias observa la brecha entre el dólar CCL y el mayorista; desde abril de 2025 combina las compras netas de dólares de personas humanas en relación con el M2 privado (canal bancarizado) con la brecha del dólar cripto frente al mayorista (canal no bancarizado).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45,53 pts (0-100)</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2,6 % del ITCM</w:t>
            </w:r>
          </w:p>
        </w:tc>
        <w:tc>
          <w:p>
            <w:pPr>
              <w:pStyle w:val="Compact"/>
              <w:jc w:val="left"/>
            </w:pPr>
            <w:r>
              <w:rPr>
                <w:sz w:val="18"/>
              </w:rPr>
              <w:t xml:space="preserve">Cinturón Macroeconomía</w:t>
            </w:r>
          </w:p>
        </w:tc>
      </w:tr>
    </w:tbl>
    <w:bookmarkStart w:id="135" w:name="identificación-1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presion_dolarizacion</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pts (0-100)</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Se publica para el último mes con todos los insumos del régimen correspondiente. Bajo apertura, el cierre queda condicionado por la planilla mensual del mercado de cambios.</w:t>
            </w:r>
          </w:p>
        </w:tc>
      </w:tr>
      <w:tr>
        <w:trPr>
          <w:cantSplit/>
        </w:trPr>
        <w:tc>
          <w:p>
            <w:pPr>
              <w:pStyle w:val="Compact"/>
              <w:jc w:val="left"/>
            </w:pPr>
            <w:r>
              <w:rPr>
                <w:bCs/>
                <w:b/>
                <w:sz w:val="18"/>
              </w:rPr>
              <w:t xml:space="preserve">PRODUCTOR DEL DATO</w:t>
            </w:r>
          </w:p>
        </w:tc>
        <w:tc>
          <w:p>
            <w:pPr>
              <w:pStyle w:val="Compact"/>
              <w:jc w:val="left"/>
            </w:pPr>
            <w:r>
              <w:rPr>
                <w:sz w:val="18"/>
              </w:rPr>
              <w:t xml:space="preserve">ArgentinaDatos (dólar CCL y dólar cripto) + BCRA</w:t>
            </w:r>
          </w:p>
        </w:tc>
        <w:tc>
          <w:p>
            <w:pPr>
              <w:pStyle w:val="Compact"/>
              <w:jc w:val="left"/>
            </w:pPr>
            <w:r>
              <w:rPr>
                <w:bCs/>
                <w:b/>
                <w:sz w:val="18"/>
              </w:rPr>
              <w:t xml:space="preserve">OPERACIÓN ESTADÍSTICA</w:t>
            </w:r>
          </w:p>
        </w:tc>
        <w:tc>
          <w:p>
            <w:pPr>
              <w:pStyle w:val="Compact"/>
              <w:jc w:val="left"/>
            </w:pPr>
            <w:r>
              <w:rPr>
                <w:sz w:val="18"/>
              </w:rPr>
              <w:t xml:space="preserve">Cotización CCL, dólar cripto, tipo de cambio mayorista, M2 transaccional privado y compras netas de divisas de personas humanas sin fines específicos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diaria de ArgentinaDatos, API monetaria del BCRA y planilla acumulativa del mercado de cambios.</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35"/>
    <w:bookmarkStart w:id="136" w:name="definición-qué-mide-y-por-qué-importa-11"/>
    <w:p>
      <w:pPr>
        <w:pStyle w:val="Heading2"/>
        <w:keepNext/>
      </w:pPr>
      <w:r>
        <w:t xml:space="preserve">Definición — qué mide y por qué importa</w:t>
      </w:r>
    </w:p>
    <w:p>
      <w:pPr>
        <w:pStyle w:val="FirstParagraph"/>
      </w:pPr>
      <w:r>
        <w:t xml:space="preserve">Una medida de 0 a 100 de la presión por salir del peso. Bajo restricciones cambiarias observa la brecha entre el dólar CCL y el mayorista; desde abril de 2025 combina las compras netas de dólares de personas humanas en relación con el M2 privado (canal bancarizado) con la brecha del dólar cripto frente al mayorista (canal no bancarizado).</w:t>
      </w:r>
    </w:p>
    <w:p>
      <w:pPr>
        <w:pStyle w:val="BodyText"/>
      </w:pPr>
      <w:r>
        <w:t xml:space="preserve">Distingue la presión de cartera que se expresa en precios paralelos de la que, con acceso abierto, se expresa en compras efectivas de divisas — y ya no se queda ciega a la demanda que elige un canal no bancarizado. Mayor presión reduce el puntaje de estabilidad monetaria.</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36"/>
    <w:bookmarkStart w:id="137" w:name="método-de-cómputo-11"/>
    <w:p>
      <w:pPr>
        <w:pStyle w:val="Heading2"/>
        <w:keepNext/>
      </w:pPr>
      <w:r>
        <w:t xml:space="preserve">Método de cómputo</w:t>
      </w:r>
    </w:p>
    <w:p>
      <w:pPr>
        <w:numPr>
          <w:ilvl w:val="0"/>
          <w:numId w:val="1052"/>
        </w:numPr>
        <w:pStyle w:val="Compact"/>
      </w:pPr>
      <w:r>
        <w:t xml:space="preserve">Régimen restringido, hasta marzo de 2025: se calcula la brecha porcentual entre el CCL y el tipo de cambio mayorista y se promedia sobre tres meses estrictamente consecutivos.</w:t>
      </w:r>
    </w:p>
    <w:p>
      <w:pPr>
        <w:numPr>
          <w:ilvl w:val="0"/>
          <w:numId w:val="1052"/>
        </w:numPr>
        <w:pStyle w:val="Compact"/>
      </w:pPr>
      <w:r>
        <w:t xml:space="preserve">La brecha se convierte a presión 0–100 con estas anclas: 5% → 0; 15% → 25; 30% → 50; 50% → 75; 70% → 100.</w:t>
      </w:r>
    </w:p>
    <w:p>
      <w:pPr>
        <w:numPr>
          <w:ilvl w:val="0"/>
          <w:numId w:val="1052"/>
        </w:numPr>
        <w:pStyle w:val="Compact"/>
      </w:pPr>
      <w:r>
        <w:t xml:space="preserve">Régimen abierto, desde abril de 2025: se suman las compras netas de USD de personas humanas (canal formal, bancarizado) y se dividen por el M2 privado de los mismos meses, convertido a USD al tipo de cambio mayorista.</w:t>
      </w:r>
    </w:p>
    <w:p>
      <w:pPr>
        <w:numPr>
          <w:ilvl w:val="0"/>
          <w:numId w:val="1052"/>
        </w:numPr>
        <w:pStyle w:val="Compact"/>
      </w:pPr>
      <w:r>
        <w:t xml:space="preserve">El flujo relativo se convierte a presión 0–100 con estas anclas: 0% → 0; 3% → 25; 6% → 50; 10% → 75; 15% → 100.</w:t>
      </w:r>
    </w:p>
    <w:p>
      <w:pPr>
        <w:numPr>
          <w:ilvl w:val="0"/>
          <w:numId w:val="1052"/>
        </w:numPr>
        <w:pStyle w:val="Compact"/>
      </w:pPr>
      <w:r>
        <w:t xml:space="preserve">Sobre la misma ventana, se calcula además la brecha entre el dólar cripto y el mayorista — un canal que no pasa por el circuito bancario — y se traduce a presión con las mismas anclas del flujo formal.</w:t>
      </w:r>
    </w:p>
    <w:p>
      <w:pPr>
        <w:numPr>
          <w:ilvl w:val="0"/>
          <w:numId w:val="1052"/>
        </w:numPr>
        <w:pStyle w:val="Compact"/>
      </w:pPr>
      <w:r>
        <w:t xml:space="preserve">La presión del régimen abierto combina ambos canales: 70% la señal formal (flujo bancarizado) y 30% la informal (brecha cripto). Si falta el dato del dólar cripto para algún mes de la ventana, la presión queda 100% formal para ese mes, sin inventar el faltante.</w:t>
      </w:r>
    </w:p>
    <w:p>
      <w:pPr>
        <w:numPr>
          <w:ilvl w:val="0"/>
          <w:numId w:val="1052"/>
        </w:numPr>
        <w:pStyle w:val="Compact"/>
      </w:pPr>
      <w:r>
        <w:t xml:space="preserve">La transición usa una ventana de 1 mes en abril de 2025, 2 meses en mayo y 3 meses estrictamente consecutivos desde junio de 2025. No se unen meses salteados ni se imputan faltantes como cero.</w:t>
      </w:r>
    </w:p>
    <w:p>
      <w:pPr>
        <w:numPr>
          <w:ilvl w:val="0"/>
          <w:numId w:val="1052"/>
        </w:numPr>
        <w:pStyle w:val="Compact"/>
      </w:pPr>
      <w:r>
        <w:t xml:space="preserve">La presión común se traduce al ITCM con anclas explícitas: 0 → 100; 25 → 85; 50 → 60; 75 → 35; 100 → 10. Mayor presión reduce el puntaje.</w:t>
      </w:r>
    </w:p>
    <w:p>
      <w:pPr>
        <w:numPr>
          <w:ilvl w:val="0"/>
          <w:numId w:val="1052"/>
        </w:numPr>
        <w:pStyle w:val="Compact"/>
      </w:pPr>
      <w:r>
        <w:t xml:space="preserve">Pesa 10% dentro de estabilidad monetaria, dimensión que representa 26% del ITCM: su peso nominal efectivo es 2,6% del índice.</w:t>
      </w:r>
    </w:p>
    <w:bookmarkEnd w:id="137"/>
    <w:bookmarkStart w:id="138" w:name="X4b7f9d42ad5d49ec575647c9c43b05a66f437e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(pts (0-100))</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50 – 70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70 – 90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90</w:t>
            </w:r>
          </w:p>
        </w:tc>
        <w:tc>
          <w:tcPr>
            <w:shd w:val="clear" w:color="auto" w:fill="FEE2E2"/>
          </w:tcPr>
          <w:p>
            <w:pPr>
              <w:pStyle w:val="Compact"/>
              <w:jc w:val="center"/>
            </w:pPr>
            <w:r>
              <w:rPr>
                <w:b/>
                <w:sz w:val="18"/>
                <w:color w:val="7F1D1D"/>
              </w:rPr>
              <w:t xml:space="preserve">ROJO</w:t>
            </w:r>
          </w:p>
        </w:tc>
      </w:tr>
    </w:tbl>
    <w:bookmarkEnd w:id="138"/>
    <w:bookmarkStart w:id="139"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3"/>
        </w:numPr>
        <w:pStyle w:val="Compact"/>
      </w:pPr>
      <w:r>
        <w:t xml:space="preserve">presión 45,53 pts = compras netas de USD de personas humanas 5,46% del M2 privado (ventana móvil 3 meses)</w:t>
      </w:r>
    </w:p>
    <w:bookmarkEnd w:id="139"/>
    <w:bookmarkStart w:id="140" w:name="color-vigente-y-por-qué-11"/>
    <w:p>
      <w:pPr>
        <w:pStyle w:val="Heading2"/>
        <w:keepNext/>
      </w:pPr>
      <w:r>
        <w:t xml:space="preserve">Color vigente y por qué</w:t>
      </w:r>
    </w:p>
    <w:p>
      <w:pPr>
        <w:pStyle w:val="FirstParagraph"/>
      </w:pPr>
      <w:r>
        <w:t xml:space="preserve">Dato vigente: 45,53 pts (0-100) (2026-06).</w:t>
      </w:r>
    </w:p>
    <w:p>
      <w:pPr>
        <w:pStyle w:val="BodyText"/>
      </w:pPr>
      <w:r>
        <w:t xml:space="preserve">45,53 pts (0-100) cae en el tramo que corresponde a Verde, a 4,47 del corte más cercano.</w:t>
      </w:r>
    </w:p>
    <w:p>
      <w:pPr>
        <w:pStyle w:val="BodyText"/>
      </w:pPr>
      <w:r>
        <w:rPr>
          <w:bCs/>
          <w:b/>
        </w:rPr>
        <w:t xml:space="preserve">Color vigente: VERDE</w:t>
      </w:r>
    </w:p>
    <w:p>
      <w:pPr>
        <w:pStyle w:val="BodyText"/>
      </w:pPr>
      <w:r>
        <w:t xml:space="preserve">Ponderación vigente en el ITCM: 2,6 % efectivo. El color es una lectura adicional — no reemplaza ni cambia esta ponderación.</w:t>
      </w:r>
    </w:p>
    <w:p>
      <w:pPr>
        <w:numPr>
          <w:ilvl w:val="0"/>
          <w:numId w:val="1054"/>
        </w:numPr>
        <w:pStyle w:val="Compact"/>
      </w:pPr>
      <w:r>
        <w:rPr>
          <w:bCs/>
          <w:b/>
        </w:rPr>
        <w:t xml:space="preserve">Participación en otros indicadores.</w:t>
      </w:r>
      <w:r>
        <w:t xml:space="preserve"> </w:t>
      </w:r>
      <w:r>
        <w:t xml:space="preserve">Complementa al IDM, al TCRM y a las reservas sin reemplazarlos: mide presión de cartera, no cantidad de pesos, competitividad externa ni capacidad de intervención.</w:t>
      </w:r>
    </w:p>
    <w:bookmarkEnd w:id="140"/>
    <w:bookmarkStart w:id="141" w:name="transparencia-limitaciones-declaradas-11"/>
    <w:p>
      <w:pPr>
        <w:pStyle w:val="Heading2"/>
        <w:keepNext/>
      </w:pPr>
      <w:r>
        <w:t xml:space="preserve">Transparencia — limitaciones declaradas</w:t>
      </w:r>
    </w:p>
    <w:p>
      <w:pPr>
        <w:numPr>
          <w:ilvl w:val="0"/>
          <w:numId w:val="1055"/>
        </w:numPr>
        <w:pStyle w:val="Compact"/>
      </w:pPr>
      <w:r>
        <w:t xml:space="preserve">La serie cambia de observable en abril de 2025 porque la presión se manifiesta de modo distinto bajo restricciones y bajo acceso abierto al mercado. Los niveles son comparables por la escala común, pero no por la métrica bruta.</w:t>
      </w:r>
    </w:p>
    <w:p>
      <w:pPr>
        <w:numPr>
          <w:ilvl w:val="0"/>
          <w:numId w:val="1055"/>
        </w:numPr>
        <w:pStyle w:val="Compact"/>
      </w:pPr>
      <w:r>
        <w:t xml:space="preserve">La brecha CCL es un proxy de presión mientras existen restricciones y se superpone parcialmente con la señal histórica del cepo cambiario.</w:t>
      </w:r>
    </w:p>
    <w:p>
      <w:pPr>
        <w:numPr>
          <w:ilvl w:val="0"/>
          <w:numId w:val="1055"/>
        </w:numPr>
        <w:pStyle w:val="Compact"/>
      </w:pPr>
      <w:r>
        <w:t xml:space="preserve">Las compras registradas por personas humanas no captan toda la cobertura privada; el complemento con dólar cripto amplía la mirada a un canal no bancarizado, pero sigue sin captar efectivo fuera del sistema, atesoramiento físico ni dolarización corporativa no declarada.</w:t>
      </w:r>
    </w:p>
    <w:p>
      <w:pPr>
        <w:numPr>
          <w:ilvl w:val="0"/>
          <w:numId w:val="1055"/>
        </w:numPr>
        <w:pStyle w:val="Compact"/>
      </w:pPr>
      <w:r>
        <w:t xml:space="preserve">El dólar cripto no tiene un organismo oficial que lo regule ni publique: el precio puede diferir entre plataformas. Se usa como proxy razonable, reproducible y de la misma fuente pública que ya provee el CCL, no como una cotización oficial.</w:t>
      </w:r>
    </w:p>
    <w:p>
      <w:pPr>
        <w:numPr>
          <w:ilvl w:val="0"/>
          <w:numId w:val="1055"/>
        </w:numPr>
        <w:pStyle w:val="Compact"/>
      </w:pPr>
      <w:r>
        <w:t xml:space="preserve">El indicador anterior basado en stocks de depósitos fue sustituido porque el blanqueo mediante Cuentas Especiales de Regularización de Activos (CERA) alteró contemporáneamente la serie y luego produjo efectos de base que podían invertir su lectura.</w:t>
      </w:r>
    </w:p>
    <w:p>
      <w:pPr>
        <w:numPr>
          <w:ilvl w:val="0"/>
          <w:numId w:val="1055"/>
        </w:numPr>
        <w:pStyle w:val="Compact"/>
      </w:pPr>
      <w:r>
        <w:t xml:space="preserve">La historia bajo régimen abierto todavía es corta; las anclas deberán revisarse cuando exista más evidencia posterior al cambio regulatorio.</w:t>
      </w:r>
    </w:p>
    <w:bookmarkEnd w:id="141"/>
    <w:bookmarkStart w:id="142" w:name="X4ff462a9d09394c6f7304e0055101f0f4b71003"/>
    <w:p>
      <w:pPr>
        <w:pStyle w:val="Heading2"/>
        <w:keepNext/>
      </w:pPr>
      <w:r>
        <w:t xml:space="preserve">Si falta el dato / Política de revisiones</w:t>
      </w:r>
    </w:p>
    <w:p>
      <w:pPr>
        <w:numPr>
          <w:ilvl w:val="0"/>
          <w:numId w:val="1056"/>
        </w:numPr>
      </w:pPr>
      <w:r>
        <w:rPr>
          <w:bCs/>
          <w:b/>
        </w:rPr>
        <w:t xml:space="preserve">Si falta el dato:</w:t>
      </w:r>
      <w:r>
        <w:t xml:space="preserve"> </w:t>
      </w:r>
      <w:r>
        <w:t xml:space="preserve">Si falta un mes o un insumo de la ventana, ese punto no se calcula: nunca se imputa cero ni se unen meses no contiguos. La card conserva el último valor válido, señalado como desactualizado; sin dato utilizable, el ITCM renormaliza los componentes disponibles.</w:t>
      </w:r>
    </w:p>
    <w:p>
      <w:pPr>
        <w:numPr>
          <w:ilvl w:val="0"/>
          <w:numId w:val="1056"/>
        </w:numPr>
      </w:pPr>
      <w:r>
        <w:rPr>
          <w:bCs/>
          <w:b/>
        </w:rPr>
        <w:t xml:space="preserve">Política de revisiones:</w:t>
      </w:r>
      <w:r>
        <w:t xml:space="preserve"> </w:t>
      </w:r>
      <w:r>
        <w:t xml:space="preserve">La serie se reconstruye desde diciembre de 2023 con las fuentes vigentes. Las revisiones de la planilla del mercado de cambios se incorporan en la siguiente actualización y se conserva el cambio de régimen de abril de 2025.</w:t>
      </w:r>
    </w:p>
    <w:bookmarkEnd w:id="142"/>
    <w:bookmarkStart w:id="143" w:name="X32af8005611dd896c50146a828f6519660aac81"/>
    <w:p>
      <w:pPr>
        <w:pStyle w:val="Heading2"/>
        <w:keepNext/>
      </w:pPr>
      <w:r>
        <w:t xml:space="preserve">Historial — cambios metodológicos documentados</w:t>
      </w:r>
    </w:p>
    <w:p>
      <w:pPr>
        <w:pStyle w:val="FirstParagraph"/>
      </w:pPr>
      <w:r>
        <w:rPr>
          <w:bCs/>
          <w:b/>
        </w:rPr>
        <w:t xml:space="preserve">2026-07-13</w:t>
      </w:r>
      <w:r>
        <w:t xml:space="preserve"> </w:t>
      </w:r>
      <w:r>
        <w:t xml:space="preserve">— Se incorporó una primera señal basada en stocks de depósitos como cuarto componente de estabilidad monetaria.</w:t>
      </w:r>
    </w:p>
    <w:p>
      <w:pPr>
        <w:pStyle w:val="BodyText"/>
      </w:pPr>
      <w:r>
        <w:rPr>
          <w:bCs/>
          <w:b/>
        </w:rPr>
        <w:t xml:space="preserve">2026-07-14</w:t>
      </w:r>
      <w:r>
        <w:t xml:space="preserve"> </w:t>
      </w:r>
      <w:r>
        <w:t xml:space="preserve">— La señal de stocks fue sustituida por presión de dolarización de carteras sensible al régimen, para evitar las distorsiones contemporáneas y de base del CERA.</w:t>
      </w:r>
    </w:p>
    <w:p>
      <w:pPr>
        <w:pStyle w:val="BodyText"/>
      </w:pPr>
      <w:r>
        <w:rPr>
          <w:bCs/>
          <w:b/>
        </w:rPr>
        <w:t xml:space="preserve">2026-07-15</w:t>
      </w:r>
      <w:r>
        <w:t xml:space="preserve"> </w:t>
      </w:r>
      <w:r>
        <w:t xml:space="preserve">— El régimen abierto sumó un canal informal (brecha del dólar cripto contra el mayorista), combinado 70/30 con el canal formal — hasta ahora la presión del régimen abierto dependía solo de compras bancarizadas.</w:t>
      </w:r>
    </w:p>
    <w:p>
      <w:pPr>
        <w:pStyle w:val="BodyText"/>
      </w:pPr>
      <w:r>
        <w:rPr>
          <w:bCs/>
          <w:b/>
        </w:rPr>
        <w:t xml:space="preserve">2026-07-18</w:t>
      </w:r>
      <w:r>
        <w:t xml:space="preserve"> </w:t>
      </w:r>
      <w:r>
        <w:t xml:space="preserve">— Los dos canales del régimen abierto dejan de promediarse: la presión pasa a ser la mayor de las dos. Son canales sustitutos —cuando el mercado está abierto la demanda se vuelca al bancarizado y la brecha del cripto se desploma— y el promedio apagaba la señal del canal activo.</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43"/>
    <w:bookmarkEnd w:id="144"/>
    <w:bookmarkStart w:id="154" w:name="inversión-física-iai"/>
    <w:p>
      <w:pPr>
        <w:pStyle w:val="Heading1"/>
        <w:keepNext/>
      </w:pPr>
      <w:r>
        <w:t xml:space="preserve">Inversión física (IAI)</w:t>
      </w:r>
    </w:p>
    <w:p>
      <w:pPr>
        <w:pStyle w:val="FirstParagraph"/>
      </w:pPr>
      <w:r>
        <w:t xml:space="preserve">Índice Anticipador de Inversión: mide la inversión física/tradicional combinando la actividad de la construcción (ISAC) y la importación de bienes de capital, en variación interanual.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−0,18 % i.a. ponderado</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7,2 % del ITCM</w:t>
            </w:r>
          </w:p>
        </w:tc>
        <w:tc>
          <w:p>
            <w:pPr>
              <w:pStyle w:val="Compact"/>
              <w:jc w:val="left"/>
            </w:pPr>
            <w:r>
              <w:rPr>
                <w:sz w:val="18"/>
              </w:rPr>
              <w:t xml:space="preserve">Cinturón Macroeconomía</w:t>
            </w:r>
          </w:p>
        </w:tc>
      </w:tr>
    </w:tbl>
    <w:bookmarkStart w:id="145" w:name="identificación-1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iai</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Inversión</w:t>
            </w:r>
          </w:p>
        </w:tc>
        <w:tc>
          <w:p>
            <w:pPr>
              <w:pStyle w:val="Compact"/>
              <w:jc w:val="left"/>
            </w:pPr>
            <w:r>
              <w:rPr>
                <w:bCs/>
                <w:b/>
                <w:sz w:val="18"/>
              </w:rPr>
              <w:t xml:space="preserve">UNIDAD DE MEDIDA</w:t>
            </w:r>
          </w:p>
        </w:tc>
        <w:tc>
          <w:p>
            <w:pPr>
              <w:pStyle w:val="Compact"/>
              <w:jc w:val="left"/>
            </w:pPr>
            <w:r>
              <w:rPr>
                <w:sz w:val="18"/>
              </w:rPr>
              <w:t xml:space="preserve">% i.a. ponderado</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2026-06 (33 puntos)</w:t>
            </w:r>
          </w:p>
        </w:tc>
        <w:tc>
          <w:p>
            <w:pPr>
              <w:pStyle w:val="Compact"/>
              <w:jc w:val="left"/>
            </w:pPr>
            <w:r>
              <w:rPr>
                <w:bCs/>
                <w:b/>
                <w:sz w:val="18"/>
              </w:rPr>
              <w:t xml:space="preserve">REZAGO DE PUBLICACIÓN</w:t>
            </w:r>
          </w:p>
        </w:tc>
        <w:tc>
          <w:p>
            <w:pPr>
              <w:pStyle w:val="Compact"/>
              <w:jc w:val="left"/>
            </w:pPr>
            <w:r>
              <w:rPr>
                <w:sz w:val="18"/>
              </w:rPr>
              <w:t xml:space="preserve">El titular se calcula al último mes común de la construcción (ISAC) y los bienes de capital importados (~2 meses y medio); el componente más fresco se muestra como provisorio sin puntuar.</w:t>
            </w:r>
          </w:p>
        </w:tc>
      </w:tr>
      <w:tr>
        <w:trPr>
          <w:cantSplit/>
        </w:trPr>
        <w:tc>
          <w:p>
            <w:pPr>
              <w:pStyle w:val="Compact"/>
              <w:jc w:val="left"/>
            </w:pPr>
            <w:r>
              <w:rPr>
                <w:bCs/>
                <w:b/>
                <w:sz w:val="18"/>
              </w:rPr>
              <w:t xml:space="preserve">PRODUCTOR DEL DATO</w:t>
            </w:r>
          </w:p>
        </w:tc>
        <w:tc>
          <w:p>
            <w:pPr>
              <w:pStyle w:val="Compact"/>
              <w:jc w:val="left"/>
            </w:pPr>
            <w:r>
              <w:rPr>
                <w:sz w:val="18"/>
              </w:rPr>
              <w:t xml:space="preserve">INDEC (construcción y bienes de capital) + DNRPA (patentamientos comerciales, en acumulación)</w:t>
            </w:r>
          </w:p>
        </w:tc>
        <w:tc>
          <w:p>
            <w:pPr>
              <w:pStyle w:val="Compact"/>
              <w:jc w:val="left"/>
            </w:pPr>
            <w:r>
              <w:rPr>
                <w:bCs/>
                <w:b/>
                <w:sz w:val="18"/>
              </w:rPr>
              <w:t xml:space="preserve">OPERACIÓN ESTADÍSTICA</w:t>
            </w:r>
          </w:p>
        </w:tc>
        <w:tc>
          <w:p>
            <w:pPr>
              <w:pStyle w:val="Compact"/>
              <w:jc w:val="left"/>
            </w:pPr>
            <w:r>
              <w:rPr>
                <w:sz w:val="18"/>
              </w:rPr>
              <w:t xml:space="preserve">ISAC nivel general (serie original) + importaciones de bienes de capital del ICA + inscripciones iniciales de vehículos comerciales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de series de datos.gob.ar; los patentamientos comerciales se acumulan mes a mes desde el portal de datos de justicia (la fuente solo publica el mes corriente).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45"/>
    <w:bookmarkStart w:id="146" w:name="definición-qué-mide-y-por-qué-importa-12"/>
    <w:p>
      <w:pPr>
        <w:pStyle w:val="Heading2"/>
        <w:keepNext/>
      </w:pPr>
      <w:r>
        <w:t xml:space="preserve">Definición — qué mide y por qué importa</w:t>
      </w:r>
    </w:p>
    <w:p>
      <w:pPr>
        <w:pStyle w:val="FirstParagraph"/>
      </w:pPr>
      <w:r>
        <w:t xml:space="preserve">Índice Anticipador de Inversión: mide la inversión física/tradicional combinando la actividad de la construcción (ISAC) y la importación de bienes de capital, en variación interanual.</w:t>
      </w:r>
    </w:p>
    <w:p>
      <w:pPr>
        <w:pStyle w:val="BodyText"/>
      </w:pPr>
      <w:r>
        <w:t xml:space="preserve">Anticipa si el país amplía su capacidad productiva (máquinas, obra, equipo) o se descapitaliza. Mayor = la inversión se expande por encima de la reposición; negativo = se consume más stock de capital del que se genera. Se construye con datos del INDEC (ISAC + ICA bienes de capital).</w:t>
      </w:r>
    </w:p>
    <w:p>
      <w:pPr>
        <w:pStyle w:val="BodyText"/>
      </w:pPr>
      <w:r>
        <w:rPr>
          <w:bCs/>
          <w:b/>
        </w:rPr>
        <w:t xml:space="preserve">Dimensión que integra — Inversión.</w:t>
      </w:r>
      <w:r>
        <w:t xml:space="preserve"> </w:t>
      </w:r>
      <w:r>
        <w:t xml:space="preserve">Si alguien está apostando al futuro: inversión física (construcción, bienes de capital) y capitalización digital e intangible.</w:t>
      </w:r>
    </w:p>
    <w:bookmarkEnd w:id="146"/>
    <w:bookmarkStart w:id="147" w:name="método-de-cómputo-12"/>
    <w:p>
      <w:pPr>
        <w:pStyle w:val="Heading2"/>
        <w:keepNext/>
      </w:pPr>
      <w:r>
        <w:t xml:space="preserve">Método de cómputo</w:t>
      </w:r>
    </w:p>
    <w:p>
      <w:pPr>
        <w:numPr>
          <w:ilvl w:val="0"/>
          <w:numId w:val="1057"/>
        </w:numPr>
        <w:pStyle w:val="Compact"/>
      </w:pPr>
      <w:r>
        <w:t xml:space="preserve">Variación interanual de cada componente al mes común.</w:t>
      </w:r>
    </w:p>
    <w:p>
      <w:pPr>
        <w:numPr>
          <w:ilvl w:val="0"/>
          <w:numId w:val="1057"/>
        </w:numPr>
        <w:pStyle w:val="Compact"/>
      </w:pPr>
      <w:r>
        <w:t xml:space="preserve">Promedio ponderado de construcción y bienes de capital. La composición está prevista para cambiar sola: cuando los patentamientos de vehículos comerciales acumulen trece meses de historia propia entran como tercer componente y los dos actuales ceden peso. Los porcentajes vigentes se leen en la tabla de composición, que se recalcula con cada actualización.</w:t>
      </w:r>
    </w:p>
    <w:bookmarkEnd w:id="147"/>
    <w:bookmarkStart w:id="148" w:name="Xc4b49c3d9969b89bf56c0c7c0dc3d292940a05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ponderado)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−4,8 – 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−8,4 – −4,8</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−8,4</w:t>
            </w:r>
          </w:p>
        </w:tc>
        <w:tc>
          <w:tcPr>
            <w:shd w:val="clear" w:color="auto" w:fill="FEE2E2"/>
          </w:tcPr>
          <w:p>
            <w:pPr>
              <w:pStyle w:val="Compact"/>
              <w:jc w:val="center"/>
            </w:pPr>
            <w:r>
              <w:rPr>
                <w:b/>
                <w:sz w:val="18"/>
                <w:color w:val="7F1D1D"/>
              </w:rPr>
              <w:t xml:space="preserve">ROJO</w:t>
            </w:r>
          </w:p>
        </w:tc>
      </w:tr>
    </w:tbl>
    <w:bookmarkEnd w:id="148"/>
    <w:bookmarkStart w:id="149"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8"/>
        </w:numPr>
        <w:pStyle w:val="Compact"/>
      </w:pPr>
      <w:r>
        <w:t xml:space="preserve">-0.2 % i.a. = ISAC +4.0% · BK importados -8.0% (mes común: 2026-06)</w:t>
      </w:r>
    </w:p>
    <w:bookmarkEnd w:id="149"/>
    <w:bookmarkStart w:id="150" w:name="color-vigente-y-por-qué-12"/>
    <w:p>
      <w:pPr>
        <w:pStyle w:val="Heading2"/>
        <w:keepNext/>
      </w:pPr>
      <w:r>
        <w:t xml:space="preserve">Color vigente y por qué</w:t>
      </w:r>
    </w:p>
    <w:p>
      <w:pPr>
        <w:pStyle w:val="FirstParagraph"/>
      </w:pPr>
      <w:r>
        <w:t xml:space="preserve">Dato vigente: −0,18 % i.a. ponderado (2026-06).</w:t>
      </w:r>
    </w:p>
    <w:p>
      <w:pPr>
        <w:pStyle w:val="BodyText"/>
      </w:pPr>
      <w:r>
        <w:t xml:space="preserve">−0,18 % i.a. ponderado cae en el tramo que corresponde a Amarillo, a 0,18 del corte más cercano.</w:t>
      </w:r>
    </w:p>
    <w:p>
      <w:pPr>
        <w:pStyle w:val="BodyText"/>
      </w:pPr>
      <w:r>
        <w:rPr>
          <w:bCs/>
          <w:b/>
        </w:rPr>
        <w:t xml:space="preserve">Color vigente: AMARILLO</w:t>
      </w:r>
    </w:p>
    <w:p>
      <w:pPr>
        <w:pStyle w:val="BodyText"/>
      </w:pPr>
      <w:r>
        <w:t xml:space="preserve">Ponderación vigente en el ITCM: 7,2 % efectivo. El color es una lectura adicional — no reemplaza ni cambia esta ponderación.</w:t>
      </w:r>
    </w:p>
    <w:p>
      <w:pPr>
        <w:numPr>
          <w:ilvl w:val="0"/>
          <w:numId w:val="1059"/>
        </w:numPr>
        <w:pStyle w:val="Compact"/>
      </w:pPr>
      <w:r>
        <w:rPr>
          <w:bCs/>
          <w:b/>
        </w:rPr>
        <w:t xml:space="preserve">Participación en otros indicadores.</w:t>
      </w:r>
      <w:r>
        <w:t xml:space="preserve"> </w:t>
      </w:r>
      <w:r>
        <w:t xml:space="preserve">La operación ISAC también alimenta (en su variante desestacionalizada) un componente del ITVC de vida cotidiana; los bienes de capital son una subserie del ICA que alimenta el saldo comercial.</w:t>
      </w:r>
    </w:p>
    <w:bookmarkEnd w:id="150"/>
    <w:bookmarkStart w:id="151" w:name="transparencia-limitaciones-declaradas-12"/>
    <w:p>
      <w:pPr>
        <w:pStyle w:val="Heading2"/>
        <w:keepNext/>
      </w:pPr>
      <w:r>
        <w:t xml:space="preserve">Transparencia — limitaciones declaradas</w:t>
      </w:r>
    </w:p>
    <w:p>
      <w:pPr>
        <w:numPr>
          <w:ilvl w:val="0"/>
          <w:numId w:val="1060"/>
        </w:numPr>
        <w:pStyle w:val="Compact"/>
      </w:pPr>
      <w:r>
        <w:t xml:space="preserve">Los bienes de capital se miden en dólares corrientes e incluyen el efecto de los precios internacionales: el índice de cantidades oficial es solo trimestral.</w:t>
      </w:r>
    </w:p>
    <w:p>
      <w:pPr>
        <w:numPr>
          <w:ilvl w:val="0"/>
          <w:numId w:val="1060"/>
        </w:numPr>
        <w:pStyle w:val="Compact"/>
      </w:pPr>
      <w:r>
        <w:t xml:space="preserve">El tercer componente (patentamientos comerciales) no tiene serie histórica pública: se acumula desde mediados de 2026 y recién tendrá comparación interanual a mediados de 2027.</w:t>
      </w:r>
    </w:p>
    <w:p>
      <w:pPr>
        <w:numPr>
          <w:ilvl w:val="0"/>
          <w:numId w:val="1060"/>
        </w:numPr>
        <w:pStyle w:val="Compact"/>
      </w:pPr>
      <w:r>
        <w:t xml:space="preserve">Las bandas anchas son calibración propia declarada: el umbral fino del documento no sobrevivía a la volatilidad del dato argentino reciente.</w:t>
      </w:r>
    </w:p>
    <w:bookmarkEnd w:id="151"/>
    <w:bookmarkStart w:id="152" w:name="Xef80c7ba60ac922c16c234403633099d6fa1a96"/>
    <w:p>
      <w:pPr>
        <w:pStyle w:val="Heading2"/>
        <w:keepNext/>
      </w:pPr>
      <w:r>
        <w:t xml:space="preserve">Si falta el dato / Política de revisiones</w:t>
      </w:r>
    </w:p>
    <w:p>
      <w:pPr>
        <w:numPr>
          <w:ilvl w:val="0"/>
          <w:numId w:val="1061"/>
        </w:numPr>
      </w:pPr>
      <w:r>
        <w:rPr>
          <w:bCs/>
          <w:b/>
        </w:rPr>
        <w:t xml:space="preserve">Si falta el dato:</w:t>
      </w:r>
      <w:r>
        <w:t xml:space="preserve"> </w:t>
      </w:r>
      <w:r>
        <w:t xml:space="preserve">Sin patentamientos, la composición renormaliza a 65/35 (situación actual); sin mes común de las otras dos fuentes, se mantiene el último valor disponible señalado como desactualizado y la dimensión se renormaliza.</w:t>
      </w:r>
    </w:p>
    <w:p>
      <w:pPr>
        <w:numPr>
          <w:ilvl w:val="0"/>
          <w:numId w:val="1061"/>
        </w:numPr>
      </w:pPr>
      <w:r>
        <w:rPr>
          <w:bCs/>
          <w:b/>
        </w:rPr>
        <w:t xml:space="preserve">Política de revisiones:</w:t>
      </w:r>
      <w:r>
        <w:t xml:space="preserve"> </w:t>
      </w:r>
      <w:r>
        <w:t xml:space="preserve">El titular se calcula sobre un panel alineado por mes común y no se revisa; las revisiones de las fuentes se absorben al regenerar las series.</w:t>
      </w:r>
    </w:p>
    <w:bookmarkEnd w:id="152"/>
    <w:bookmarkStart w:id="153" w:name="X95a58e26bcd11004daa5592872527917495b2ed"/>
    <w:p>
      <w:pPr>
        <w:pStyle w:val="Heading2"/>
        <w:keepNext/>
      </w:pPr>
      <w:r>
        <w:t xml:space="preserve">Historial — cambios metodológicos documentados</w:t>
      </w:r>
    </w:p>
    <w:p>
      <w:pPr>
        <w:pStyle w:val="FirstParagraph"/>
      </w:pPr>
      <w:r>
        <w:rPr>
          <w:bCs/>
          <w:b/>
        </w:rPr>
        <w:t xml:space="preserve">2026-06-30</w:t>
      </w:r>
      <w:r>
        <w:t xml:space="preserve"> </w:t>
      </w:r>
      <w:r>
        <w:t xml:space="preserve">— Nace y entra al índice como parte de la sexta dimensión (inversión, 12%), sin el componente de patentamientos por falta de historia.</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El titular pasa al último mes común de las fuentes (antes podía mezclar meses distintos bajo una sola etiqueta); el componente fresco queda como provisorio.</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53"/>
    <w:bookmarkEnd w:id="154"/>
    <w:bookmarkStart w:id="164" w:name="capitalización-digital-icip"/>
    <w:p>
      <w:pPr>
        <w:pStyle w:val="Heading1"/>
        <w:keepNext/>
      </w:pPr>
      <w:r>
        <w:t xml:space="preserve">Capitalización digital (ICIP)</w:t>
      </w:r>
    </w:p>
    <w:p>
      <w:pPr>
        <w:pStyle w:val="FirstParagraph"/>
      </w:pPr>
      <w:r>
        <w:t xml:space="preserve">Índice de Capitalización Inteligente y Productividad: mide la inversión digital/intangible —pagos al exterior por servicios de informática (software, nube, IA) y productividad laboral (IPI/empleo)— en variación interanual.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8,36 % i.a. ponderado</w:t>
            </w:r>
            <w:r>
              <w:rPr>
                <w:sz w:val="18"/>
              </w:rPr>
              <w:t xml:space="preserve"> </w:t>
            </w:r>
            <w:r>
              <w:rPr>
                <w:sz w:val="18"/>
              </w:rPr>
              <w:t xml:space="preserve">(2026-04)</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4,8 % del ITCM</w:t>
            </w:r>
          </w:p>
        </w:tc>
        <w:tc>
          <w:p>
            <w:pPr>
              <w:pStyle w:val="Compact"/>
              <w:jc w:val="left"/>
            </w:pPr>
            <w:r>
              <w:rPr>
                <w:sz w:val="18"/>
              </w:rPr>
              <w:t xml:space="preserve">Cinturón Macroeconomía</w:t>
            </w:r>
          </w:p>
        </w:tc>
      </w:tr>
    </w:tbl>
    <w:bookmarkStart w:id="155" w:name="identificación-1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icip</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Inversión</w:t>
            </w:r>
          </w:p>
        </w:tc>
        <w:tc>
          <w:p>
            <w:pPr>
              <w:pStyle w:val="Compact"/>
              <w:jc w:val="left"/>
            </w:pPr>
            <w:r>
              <w:rPr>
                <w:bCs/>
                <w:b/>
                <w:sz w:val="18"/>
              </w:rPr>
              <w:t xml:space="preserve">UNIDAD DE MEDIDA</w:t>
            </w:r>
          </w:p>
        </w:tc>
        <w:tc>
          <w:p>
            <w:pPr>
              <w:pStyle w:val="Compact"/>
              <w:jc w:val="left"/>
            </w:pPr>
            <w:r>
              <w:rPr>
                <w:sz w:val="18"/>
              </w:rPr>
              <w:t xml:space="preserve">% i.a. ponderado</w:t>
            </w:r>
          </w:p>
        </w:tc>
      </w:tr>
      <w:tr>
        <w:trPr>
          <w:cantSplit/>
        </w:trPr>
        <w:tc>
          <w:p>
            <w:pPr>
              <w:pStyle w:val="Compact"/>
              <w:jc w:val="left"/>
            </w:pPr>
            <w:r>
              <w:rPr>
                <w:bCs/>
                <w:b/>
                <w:sz w:val="18"/>
              </w:rPr>
              <w:t xml:space="preserve">SERIE DISPONIBLE</w:t>
            </w:r>
          </w:p>
        </w:tc>
        <w:tc>
          <w:p>
            <w:pPr>
              <w:pStyle w:val="Compact"/>
              <w:jc w:val="left"/>
            </w:pPr>
            <w:r>
              <w:rPr>
                <w:sz w:val="18"/>
              </w:rPr>
              <w:t xml:space="preserve">2023-08 → 2026-04 (33 puntos)</w:t>
            </w:r>
          </w:p>
        </w:tc>
        <w:tc>
          <w:p>
            <w:pPr>
              <w:pStyle w:val="Compact"/>
              <w:jc w:val="left"/>
            </w:pPr>
            <w:r>
              <w:rPr>
                <w:bCs/>
                <w:b/>
                <w:sz w:val="18"/>
              </w:rPr>
              <w:t xml:space="preserve">REZAGO DE PUBLICACIÓN</w:t>
            </w:r>
          </w:p>
        </w:tc>
        <w:tc>
          <w:p>
            <w:pPr>
              <w:pStyle w:val="Compact"/>
              <w:jc w:val="left"/>
            </w:pPr>
            <w:r>
              <w:rPr>
                <w:sz w:val="18"/>
              </w:rPr>
              <w:t xml:space="preserve">El titular se calcula al último mes común de los tres insumos (~2 meses y medio a 3); el insumo más fresco se muestra como provisorio.</w:t>
            </w:r>
          </w:p>
        </w:tc>
      </w:tr>
      <w:tr>
        <w:trPr>
          <w:cantSplit/>
        </w:trPr>
        <w:tc>
          <w:p>
            <w:pPr>
              <w:pStyle w:val="Compact"/>
              <w:jc w:val="left"/>
            </w:pPr>
            <w:r>
              <w:rPr>
                <w:bCs/>
                <w:b/>
                <w:sz w:val="18"/>
              </w:rPr>
              <w:t xml:space="preserve">PRODUCTOR DEL DATO</w:t>
            </w:r>
          </w:p>
        </w:tc>
        <w:tc>
          <w:p>
            <w:pPr>
              <w:pStyle w:val="Compact"/>
              <w:jc w:val="left"/>
            </w:pPr>
            <w:r>
              <w:rPr>
                <w:sz w:val="18"/>
              </w:rPr>
              <w:t xml:space="preserve">INDEC (los tres insumos)</w:t>
            </w:r>
          </w:p>
        </w:tc>
        <w:tc>
          <w:p>
            <w:pPr>
              <w:pStyle w:val="Compact"/>
              <w:jc w:val="left"/>
            </w:pPr>
            <w:r>
              <w:rPr>
                <w:bCs/>
                <w:b/>
                <w:sz w:val="18"/>
              </w:rPr>
              <w:t xml:space="preserve">OPERACIÓN ESTADÍSTICA</w:t>
            </w:r>
          </w:p>
        </w:tc>
        <w:tc>
          <w:p>
            <w:pPr>
              <w:pStyle w:val="Compact"/>
              <w:jc w:val="left"/>
            </w:pPr>
            <w:r>
              <w:rPr>
                <w:sz w:val="18"/>
              </w:rPr>
              <w:t xml:space="preserve">Balanza de servicios (pagos al exterior de servicios de informática) + IPI manufacturero + índice de empleo de la Encuesta de Indicadores Laborales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la composición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2026-04 · informe generado el 2026-08-09</w:t>
            </w:r>
          </w:p>
        </w:tc>
      </w:tr>
    </w:tbl>
    <w:bookmarkEnd w:id="155"/>
    <w:bookmarkStart w:id="156" w:name="definición-qué-mide-y-por-qué-importa-13"/>
    <w:p>
      <w:pPr>
        <w:pStyle w:val="Heading2"/>
        <w:keepNext/>
      </w:pPr>
      <w:r>
        <w:t xml:space="preserve">Definición — qué mide y por qué importa</w:t>
      </w:r>
    </w:p>
    <w:p>
      <w:pPr>
        <w:pStyle w:val="FirstParagraph"/>
      </w:pPr>
      <w:r>
        <w:t xml:space="preserve">Índice de Capitalización Inteligente y Productividad: mide la inversión digital/intangible —pagos al exterior por servicios de informática (software, nube, IA) y productividad laboral (IPI/empleo)— en variación interanual.</w:t>
      </w:r>
    </w:p>
    <w:p>
      <w:pPr>
        <w:pStyle w:val="BodyText"/>
      </w:pPr>
      <w:r>
        <w:t xml:space="preserve">Sigue la incorporación de tecnología que no pasa por aduana como bien de capital. Leído junto al IAI apunta a la</w:t>
      </w:r>
      <w:r>
        <w:t xml:space="preserve"> </w:t>
      </w:r>
      <w:r>
        <w:t xml:space="preserve">‘</w:t>
      </w:r>
      <w:r>
        <w:t xml:space="preserve">trampa de la madurez</w:t>
      </w:r>
      <w:r>
        <w:t xml:space="preserve">’</w:t>
      </w:r>
      <w:r>
        <w:t xml:space="preserve">: un país puede invertir en ladrillos y camiones pero estancarse si no se digitaliza. Con una advertencia declarada en la ficha: un aumento de los pagos al exterior por software admite leerse como digitalización o como dependencia tecnológica, y el indicador puntúa la primera. Se construye con datos del INDEC (balanza de servicios + IPI/empleo).</w:t>
      </w:r>
    </w:p>
    <w:p>
      <w:pPr>
        <w:pStyle w:val="BodyText"/>
      </w:pPr>
      <w:r>
        <w:rPr>
          <w:bCs/>
          <w:b/>
        </w:rPr>
        <w:t xml:space="preserve">Dimensión que integra — Inversión.</w:t>
      </w:r>
      <w:r>
        <w:t xml:space="preserve"> </w:t>
      </w:r>
      <w:r>
        <w:t xml:space="preserve">Si alguien está apostando al futuro: inversión física (construcción, bienes de capital) y capitalización digital e intangible.</w:t>
      </w:r>
    </w:p>
    <w:bookmarkEnd w:id="156"/>
    <w:bookmarkStart w:id="157" w:name="método-de-cómputo-13"/>
    <w:p>
      <w:pPr>
        <w:pStyle w:val="Heading2"/>
        <w:keepNext/>
      </w:pPr>
      <w:r>
        <w:t xml:space="preserve">Método de cómputo</w:t>
      </w:r>
    </w:p>
    <w:p>
      <w:pPr>
        <w:numPr>
          <w:ilvl w:val="0"/>
          <w:numId w:val="1062"/>
        </w:numPr>
        <w:pStyle w:val="Compact"/>
      </w:pPr>
      <w:r>
        <w:t xml:space="preserve">Servicios tecnológicos: variación interanual de los pagos al exterior por software, nube e inteligencia artificial.</w:t>
      </w:r>
    </w:p>
    <w:p>
      <w:pPr>
        <w:numPr>
          <w:ilvl w:val="0"/>
          <w:numId w:val="1062"/>
        </w:numPr>
        <w:pStyle w:val="Compact"/>
      </w:pPr>
      <w:r>
        <w:t xml:space="preserve">Productividad: variación interanual del cociente producción industrial / empleo.</w:t>
      </w:r>
    </w:p>
    <w:p>
      <w:pPr>
        <w:numPr>
          <w:ilvl w:val="0"/>
          <w:numId w:val="1062"/>
        </w:numPr>
        <w:pStyle w:val="Compact"/>
      </w:pPr>
      <w:r>
        <w:t xml:space="preserve">Promedio ponderado 57% servicios + 43% productividad.</w:t>
      </w:r>
    </w:p>
    <w:bookmarkEnd w:id="157"/>
    <w:bookmarkStart w:id="158" w:name="Xaab4efafd10175937bfe344609501e53d799b1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ponderado)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−10 – 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−17 – −10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−17</w:t>
            </w:r>
          </w:p>
        </w:tc>
        <w:tc>
          <w:tcPr>
            <w:shd w:val="clear" w:color="auto" w:fill="FEE2E2"/>
          </w:tcPr>
          <w:p>
            <w:pPr>
              <w:pStyle w:val="Compact"/>
              <w:jc w:val="center"/>
            </w:pPr>
            <w:r>
              <w:rPr>
                <w:b/>
                <w:sz w:val="18"/>
                <w:color w:val="7F1D1D"/>
              </w:rPr>
              <w:t xml:space="preserve">ROJO</w:t>
            </w:r>
          </w:p>
        </w:tc>
      </w:tr>
    </w:tbl>
    <w:bookmarkEnd w:id="158"/>
    <w:bookmarkStart w:id="159"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3"/>
        </w:numPr>
        <w:pStyle w:val="Compact"/>
      </w:pPr>
      <w:r>
        <w:t xml:space="preserve">+8.4 % i.a. = servicios tech +15.6% · productividad -1.2% (mes común: 2026-04) — servicios tech 2026-06 (provisorio, no puntúa): +2.5%</w:t>
      </w:r>
    </w:p>
    <w:bookmarkEnd w:id="159"/>
    <w:bookmarkStart w:id="160" w:name="color-vigente-y-por-qué-13"/>
    <w:p>
      <w:pPr>
        <w:pStyle w:val="Heading2"/>
        <w:keepNext/>
      </w:pPr>
      <w:r>
        <w:t xml:space="preserve">Color vigente y por qué</w:t>
      </w:r>
    </w:p>
    <w:p>
      <w:pPr>
        <w:pStyle w:val="FirstParagraph"/>
      </w:pPr>
      <w:r>
        <w:t xml:space="preserve">Dato vigente: 8,36 % i.a. ponderado (2026-04).</w:t>
      </w:r>
    </w:p>
    <w:p>
      <w:pPr>
        <w:pStyle w:val="BodyText"/>
      </w:pPr>
      <w:r>
        <w:t xml:space="preserve">8,36 % i.a. ponderado cae en el tramo que corresponde a Verde, a 8,36 del corte más cercano.</w:t>
      </w:r>
    </w:p>
    <w:p>
      <w:pPr>
        <w:pStyle w:val="BodyText"/>
      </w:pPr>
      <w:r>
        <w:rPr>
          <w:bCs/>
          <w:b/>
        </w:rPr>
        <w:t xml:space="preserve">Color vigente: VERDE</w:t>
      </w:r>
    </w:p>
    <w:p>
      <w:pPr>
        <w:pStyle w:val="BodyText"/>
      </w:pPr>
      <w:r>
        <w:t xml:space="preserve">Ponderación vigente en el ITCM: 4,8 % efectivo. El color es una lectura adicional — no reemplaza ni cambia esta ponderación.</w:t>
      </w:r>
    </w:p>
    <w:p>
      <w:pPr>
        <w:numPr>
          <w:ilvl w:val="0"/>
          <w:numId w:val="1064"/>
        </w:numPr>
        <w:pStyle w:val="Compact"/>
      </w:pPr>
      <w:r>
        <w:rPr>
          <w:bCs/>
          <w:b/>
        </w:rPr>
        <w:t xml:space="preserve">Participación en otros indicadores.</w:t>
      </w:r>
      <w:r>
        <w:t xml:space="preserve"> </w:t>
      </w:r>
      <w:r>
        <w:t xml:space="preserve">La operación IPI también alimenta (en su variante desestacionalizada) un componente del ITVC de vida cotidiana.</w:t>
      </w:r>
    </w:p>
    <w:bookmarkEnd w:id="160"/>
    <w:bookmarkStart w:id="161" w:name="transparencia-limitaciones-declaradas-13"/>
    <w:p>
      <w:pPr>
        <w:pStyle w:val="Heading2"/>
        <w:keepNext/>
      </w:pPr>
      <w:r>
        <w:t xml:space="preserve">Transparencia — limitaciones declaradas</w:t>
      </w:r>
    </w:p>
    <w:p>
      <w:pPr>
        <w:numPr>
          <w:ilvl w:val="0"/>
          <w:numId w:val="1065"/>
        </w:numPr>
        <w:pStyle w:val="Compact"/>
      </w:pPr>
      <w:r>
        <w:t xml:space="preserve">El diseño institucional incluía la importación de hardware de alta tecnología, que no es automatizable con las fuentes públicas actuales: el índice quedó con dos de tres componentes, renormalizados y declarados.</w:t>
      </w:r>
    </w:p>
    <w:p>
      <w:pPr>
        <w:numPr>
          <w:ilvl w:val="0"/>
          <w:numId w:val="1065"/>
        </w:numPr>
        <w:pStyle w:val="Compact"/>
      </w:pPr>
      <w:r>
        <w:t xml:space="preserve">AMBIGÜEDAD DE INTERPRETACIÓN, declarada. Un aumento de los pagos al exterior por servicios de informática admite dos lecturas opuestas y el índice adopta una: puede significar que la economía se está digitalizando —incorpora software, nube e inteligencia artificial para producir mejor— o que depende de tecnología que no produce y gira divisas para conseguirla. El indicador puntúa la primera lectura: más pagos, mejor puntaje. La evidencia disponible la respalda sólo en parte. Sobre ciento siete meses, los pagos anticipan a la productividad con una correlación de 0,28 cuando se los adelanta un trimestre: una asociación real pero modesta, compatible también con que ambas variables suban juntas cuando la economía crece, sin que una cause a la otra. Quien lea el indicador debe saber que un valor alto no distingue por sí solo entre capitalización tecnológica y dependencia tecnológica.</w:t>
      </w:r>
    </w:p>
    <w:p>
      <w:pPr>
        <w:numPr>
          <w:ilvl w:val="0"/>
          <w:numId w:val="1065"/>
        </w:numPr>
        <w:pStyle w:val="Compact"/>
      </w:pPr>
      <w:r>
        <w:t xml:space="preserve">El componente de pagos al exterior es mucho más volátil que el de productividad (desvío de 71 puntos contra 11) y pesa el 57% del índice: los movimientos del indicador los explica casi siempre esa serie, no la de productividad.</w:t>
      </w:r>
    </w:p>
    <w:p>
      <w:pPr>
        <w:numPr>
          <w:ilvl w:val="0"/>
          <w:numId w:val="1065"/>
        </w:numPr>
        <w:pStyle w:val="Compact"/>
      </w:pPr>
      <w:r>
        <w:t xml:space="preserve">Los pagos al exterior por servicios de informática son una aproximación a la digitalización, no una medición directa de inversión en capital digital.</w:t>
      </w:r>
    </w:p>
    <w:p>
      <w:pPr>
        <w:numPr>
          <w:ilvl w:val="0"/>
          <w:numId w:val="1065"/>
        </w:numPr>
        <w:pStyle w:val="Compact"/>
      </w:pPr>
      <w:r>
        <w:t xml:space="preserve">El empleo de la encuesta laboral se usa como aproximación de las horas trabajadas.</w:t>
      </w:r>
    </w:p>
    <w:bookmarkEnd w:id="161"/>
    <w:bookmarkStart w:id="162" w:name="X71e32d4ef8852d7b89f89dfb87e3c31d8c54533"/>
    <w:p>
      <w:pPr>
        <w:pStyle w:val="Heading2"/>
        <w:keepNext/>
      </w:pPr>
      <w:r>
        <w:t xml:space="preserve">Si falta el dato / Política de revisiones</w:t>
      </w:r>
    </w:p>
    <w:p>
      <w:pPr>
        <w:numPr>
          <w:ilvl w:val="0"/>
          <w:numId w:val="1066"/>
        </w:numPr>
      </w:pPr>
      <w:r>
        <w:rPr>
          <w:bCs/>
          <w:b/>
        </w:rPr>
        <w:t xml:space="preserve">Si falta el dato:</w:t>
      </w:r>
      <w:r>
        <w:t xml:space="preserve"> </w:t>
      </w:r>
      <w:r>
        <w:t xml:space="preserve">Sin mes común de los tres insumos, se mantiene el último valor disponible, señalado como desactualizado; sin dato, el IAI pasa a explicar toda la dimensión de inversión.</w:t>
      </w:r>
    </w:p>
    <w:p>
      <w:pPr>
        <w:numPr>
          <w:ilvl w:val="0"/>
          <w:numId w:val="1066"/>
        </w:numPr>
      </w:pPr>
      <w:r>
        <w:rPr>
          <w:bCs/>
          <w:b/>
        </w:rPr>
        <w:t xml:space="preserve">Política de revisiones:</w:t>
      </w:r>
      <w:r>
        <w:t xml:space="preserve"> </w:t>
      </w:r>
      <w:r>
        <w:t xml:space="preserve">Titular por panel alineado, no se revisa; las revisiones de las fuentes se absorben al regenerar las series.</w:t>
      </w:r>
    </w:p>
    <w:bookmarkEnd w:id="162"/>
    <w:bookmarkStart w:id="163" w:name="Xe97eb45c46db1c6f0b7a9d3dad61e7d604d0a09"/>
    <w:p>
      <w:pPr>
        <w:pStyle w:val="Heading2"/>
        <w:keepNext/>
      </w:pPr>
      <w:r>
        <w:t xml:space="preserve">Historial — cambios metodológicos documentados</w:t>
      </w:r>
    </w:p>
    <w:p>
      <w:pPr>
        <w:pStyle w:val="FirstParagraph"/>
      </w:pPr>
      <w:r>
        <w:rPr>
          <w:bCs/>
          <w:b/>
        </w:rPr>
        <w:t xml:space="preserve">2026-07-18</w:t>
      </w:r>
      <w:r>
        <w:t xml:space="preserve"> </w:t>
      </w:r>
      <w:r>
        <w:t xml:space="preserve">— Se declara en la ficha la ambigüedad de interpretación del componente de pagos al exterior, que admite leerse como capitalización tecnológica o como dependencia tecnológica, junto con la evidencia que la respalda parcialmente.</w:t>
      </w:r>
    </w:p>
    <w:p>
      <w:pPr>
        <w:pStyle w:val="BodyText"/>
      </w:pPr>
      <w:r>
        <w:rPr>
          <w:bCs/>
          <w:b/>
        </w:rPr>
        <w:t xml:space="preserve">2026-06-30</w:t>
      </w:r>
      <w:r>
        <w:t xml:space="preserve"> </w:t>
      </w:r>
      <w:r>
        <w:t xml:space="preserve">— Nace y entra al índice (dimensión inversión, 40% interno), sin el componente de hardware y con bandas anchas propias.</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El titular pasa al último mes común de los tres insumos.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63"/>
    <w:bookmarkEnd w:id="164"/>
    <w:bookmarkStart w:id="174" w:name="crédito-privado-real"/>
    <w:p>
      <w:pPr>
        <w:pStyle w:val="Heading1"/>
        <w:keepNext/>
      </w:pPr>
      <w:r>
        <w:t xml:space="preserve">Crédito privado real</w:t>
      </w:r>
    </w:p>
    <w:p>
      <w:pPr>
        <w:pStyle w:val="FirstParagraph"/>
      </w:pPr>
      <w:r>
        <w:t xml:space="preserve">Cuánto crece el crédito al sector privado en términos reales (variación interanual de los préstamos, deflactada por el IPC).</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8,5 % i.a. real</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3,2 % del ITCM</w:t>
            </w:r>
          </w:p>
        </w:tc>
        <w:tc>
          <w:p>
            <w:pPr>
              <w:pStyle w:val="Compact"/>
              <w:jc w:val="left"/>
            </w:pPr>
            <w:r>
              <w:rPr>
                <w:sz w:val="18"/>
              </w:rPr>
              <w:t xml:space="preserve">Cinturón Macroeconomía</w:t>
            </w:r>
          </w:p>
        </w:tc>
      </w:tr>
    </w:tbl>
    <w:bookmarkStart w:id="165" w:name="identificación-1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credito_privado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 i.a. real</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stock del BCRA es diario, pero el titular espera el IPC que lo deflacta: el dato fresco se muestra como provisorio sin puntuar.</w:t>
            </w:r>
          </w:p>
        </w:tc>
      </w:tr>
      <w:tr>
        <w:trPr>
          <w:cantSplit/>
        </w:trPr>
        <w:tc>
          <w:p>
            <w:pPr>
              <w:pStyle w:val="Compact"/>
              <w:jc w:val="left"/>
            </w:pPr>
            <w:r>
              <w:rPr>
                <w:bCs/>
                <w:b/>
                <w:sz w:val="18"/>
              </w:rPr>
              <w:t xml:space="preserve">PRODUCTOR DEL DATO</w:t>
            </w:r>
          </w:p>
        </w:tc>
        <w:tc>
          <w:p>
            <w:pPr>
              <w:pStyle w:val="Compact"/>
              <w:jc w:val="left"/>
            </w:pPr>
            <w:r>
              <w:rPr>
                <w:sz w:val="18"/>
              </w:rPr>
              <w:t xml:space="preserve">BCRA (stock de préstamos) + INDEC (IPC como deflactor)</w:t>
            </w:r>
          </w:p>
        </w:tc>
        <w:tc>
          <w:p>
            <w:pPr>
              <w:pStyle w:val="Compact"/>
              <w:jc w:val="left"/>
            </w:pPr>
            <w:r>
              <w:rPr>
                <w:bCs/>
                <w:b/>
                <w:sz w:val="18"/>
              </w:rPr>
              <w:t xml:space="preserve">OPERACIÓN ESTADÍSTICA</w:t>
            </w:r>
          </w:p>
        </w:tc>
        <w:tc>
          <w:p>
            <w:pPr>
              <w:pStyle w:val="Compact"/>
              <w:jc w:val="left"/>
            </w:pPr>
            <w:r>
              <w:rPr>
                <w:sz w:val="18"/>
              </w:rPr>
              <w:t xml:space="preserve">Préstamos al sector privado (saldos a fin de mes), variación interanual real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 y API de series de datos.gob.ar.</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65"/>
    <w:bookmarkStart w:id="166" w:name="definición-qué-mide-y-por-qué-importa-14"/>
    <w:p>
      <w:pPr>
        <w:pStyle w:val="Heading2"/>
        <w:keepNext/>
      </w:pPr>
      <w:r>
        <w:t xml:space="preserve">Definición — qué mide y por qué importa</w:t>
      </w:r>
    </w:p>
    <w:p>
      <w:pPr>
        <w:pStyle w:val="FirstParagraph"/>
      </w:pPr>
      <w:r>
        <w:t xml:space="preserve">Cuánto crece el crédito al sector privado en términos reales (variación interanual de los préstamos, deflactada por el IPC).</w:t>
      </w:r>
    </w:p>
    <w:p>
      <w:pPr>
        <w:pStyle w:val="BodyText"/>
      </w:pPr>
      <w:r>
        <w:t xml:space="preserve">Es el crédito REALIZADO — complementa al IdC, que mide la capacidad prestable: si la capacidad existe pero el crédito real no crece, el financiamiento no está llegando a la economía. Es la única señal no redundante de los viejos indicadores monetarios de contexto.</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166"/>
    <w:bookmarkStart w:id="167" w:name="método-de-cómputo-14"/>
    <w:p>
      <w:pPr>
        <w:pStyle w:val="Heading2"/>
        <w:keepNext/>
      </w:pPr>
      <w:r>
        <w:t xml:space="preserve">Método de cómputo</w:t>
      </w:r>
    </w:p>
    <w:p>
      <w:pPr>
        <w:numPr>
          <w:ilvl w:val="0"/>
          <w:numId w:val="1067"/>
        </w:numPr>
        <w:pStyle w:val="Compact"/>
      </w:pPr>
      <w:r>
        <w:t xml:space="preserve">Variación interanual del stock a fin de mes, deflactada por el IPC del mismo período: el crédito que efectivamente llegó, no el que infló la nominalidad.</w:t>
      </w:r>
    </w:p>
    <w:p>
      <w:pPr>
        <w:numPr>
          <w:ilvl w:val="0"/>
          <w:numId w:val="1067"/>
        </w:numPr>
        <w:pStyle w:val="Compact"/>
      </w:pPr>
      <w:r>
        <w:t xml:space="preserve">Mide crédito realizado — complementario del IdC, que mide la capacidad de prestar.</w:t>
      </w:r>
    </w:p>
    <w:bookmarkEnd w:id="167"/>
    <w:bookmarkStart w:id="168" w:name="X7b7170cc03c186200356a5b68fedf47ae23f2d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real)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11,5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1,75 – 11,5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−6,67 – 1,75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−6,67</w:t>
            </w:r>
          </w:p>
        </w:tc>
        <w:tc>
          <w:tcPr>
            <w:shd w:val="clear" w:color="auto" w:fill="FEE2E2"/>
          </w:tcPr>
          <w:p>
            <w:pPr>
              <w:pStyle w:val="Compact"/>
              <w:jc w:val="center"/>
            </w:pPr>
            <w:r>
              <w:rPr>
                <w:b/>
                <w:sz w:val="18"/>
                <w:color w:val="7F1D1D"/>
              </w:rPr>
              <w:t xml:space="preserve">ROJO</w:t>
            </w:r>
          </w:p>
        </w:tc>
      </w:tr>
    </w:tbl>
    <w:bookmarkEnd w:id="168"/>
    <w:bookmarkStart w:id="169"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8"/>
        </w:numPr>
        <w:pStyle w:val="Compact"/>
      </w:pPr>
      <w:r>
        <w:t xml:space="preserve">nominal 44,9% i.a. deflactado por IPC — crédito realizado, no capacidad (IdC) (mes común: 2026-06) — al 2026-08-05 (provisorio, no puntúa): 2,9% real con deflactor de 2026-06</w:t>
      </w:r>
    </w:p>
    <w:bookmarkEnd w:id="169"/>
    <w:bookmarkStart w:id="170" w:name="color-vigente-y-por-qué-14"/>
    <w:p>
      <w:pPr>
        <w:pStyle w:val="Heading2"/>
        <w:keepNext/>
      </w:pPr>
      <w:r>
        <w:t xml:space="preserve">Color vigente y por qué</w:t>
      </w:r>
    </w:p>
    <w:p>
      <w:pPr>
        <w:pStyle w:val="FirstParagraph"/>
      </w:pPr>
      <w:r>
        <w:t xml:space="preserve">Dato vigente: 8,5 % i.a. real (2026-06).</w:t>
      </w:r>
    </w:p>
    <w:p>
      <w:pPr>
        <w:pStyle w:val="BodyText"/>
      </w:pPr>
      <w:r>
        <w:t xml:space="preserve">8,5 % i.a. real cae en el tramo que corresponde a Amarillo, a 3,0 del corte más cercano.</w:t>
      </w:r>
    </w:p>
    <w:p>
      <w:pPr>
        <w:pStyle w:val="BodyText"/>
      </w:pPr>
      <w:r>
        <w:rPr>
          <w:bCs/>
          <w:b/>
        </w:rPr>
        <w:t xml:space="preserve">Color vigente: AMARILLO</w:t>
      </w:r>
    </w:p>
    <w:p>
      <w:pPr>
        <w:pStyle w:val="BodyText"/>
      </w:pPr>
      <w:r>
        <w:t xml:space="preserve">Ponderación vigente en el ITCM: 3,2 % efectivo. El color es una lectura adicional — no reemplaza ni cambia esta ponderación.</w:t>
      </w:r>
    </w:p>
    <w:p>
      <w:pPr>
        <w:numPr>
          <w:ilvl w:val="0"/>
          <w:numId w:val="1069"/>
        </w:numPr>
        <w:pStyle w:val="Compact"/>
      </w:pPr>
      <w:r>
        <w:rPr>
          <w:bCs/>
          <w:b/>
        </w:rPr>
        <w:t xml:space="preserve">Participación en otros indicadores.</w:t>
      </w:r>
      <w:r>
        <w:t xml:space="preserve"> </w:t>
      </w:r>
      <w:r>
        <w:t xml:space="preserve">La misma serie se sigue extrayendo como contexto no publicado, y el cinturón de vida cotidiana usa las líneas a familias (tarjetas y personales) para su componente de endeudamiento.</w:t>
      </w:r>
    </w:p>
    <w:bookmarkEnd w:id="170"/>
    <w:bookmarkStart w:id="171" w:name="transparencia-limitaciones-declaradas-14"/>
    <w:p>
      <w:pPr>
        <w:pStyle w:val="Heading2"/>
        <w:keepNext/>
      </w:pPr>
      <w:r>
        <w:t xml:space="preserve">Transparencia — limitaciones declaradas</w:t>
      </w:r>
    </w:p>
    <w:p>
      <w:pPr>
        <w:numPr>
          <w:ilvl w:val="0"/>
          <w:numId w:val="1070"/>
        </w:numPr>
        <w:pStyle w:val="Compact"/>
      </w:pPr>
      <w:r>
        <w:t xml:space="preserve">Bandas calibradas a la remonetización 2024-2026 (el crédito real llegó a crecer 90% interanual desde una base ínfima): calibración propia sobre historia corta, declarada.</w:t>
      </w:r>
    </w:p>
    <w:p>
      <w:pPr>
        <w:numPr>
          <w:ilvl w:val="0"/>
          <w:numId w:val="1070"/>
        </w:numPr>
        <w:pStyle w:val="Compact"/>
      </w:pPr>
      <w:r>
        <w:t xml:space="preserve">Agregado total: no distingue empresas de familias ni líneas de crédito.</w:t>
      </w:r>
    </w:p>
    <w:bookmarkEnd w:id="171"/>
    <w:bookmarkStart w:id="172" w:name="X02964bd421b6ce1686f5e02f1f98c7c34b51012"/>
    <w:p>
      <w:pPr>
        <w:pStyle w:val="Heading2"/>
        <w:keepNext/>
      </w:pPr>
      <w:r>
        <w:t xml:space="preserve">Si falta el dato / Política de revisiones</w:t>
      </w:r>
    </w:p>
    <w:p>
      <w:pPr>
        <w:numPr>
          <w:ilvl w:val="0"/>
          <w:numId w:val="1071"/>
        </w:numPr>
      </w:pPr>
      <w:r>
        <w:rPr>
          <w:bCs/>
          <w:b/>
        </w:rPr>
        <w:t xml:space="preserve">Si falta el dato:</w:t>
      </w:r>
      <w:r>
        <w:t xml:space="preserve"> </w:t>
      </w:r>
      <w:r>
        <w:t xml:space="preserve">Sin mes común entre stock e IPC, se mantiene el último valor disponible, señalado como desactualizado; sin dato, reservas e IdC renormalizan dentro de la dimensión de financiamiento.</w:t>
      </w:r>
    </w:p>
    <w:p>
      <w:pPr>
        <w:numPr>
          <w:ilvl w:val="0"/>
          <w:numId w:val="1071"/>
        </w:numPr>
      </w:pPr>
      <w:r>
        <w:rPr>
          <w:bCs/>
          <w:b/>
        </w:rPr>
        <w:t xml:space="preserve">Política de revisiones:</w:t>
      </w:r>
      <w:r>
        <w:t xml:space="preserve"> </w:t>
      </w:r>
      <w:r>
        <w:t xml:space="preserve">Los saldos del BCRA no se revisan de forma habitual; la serie se regenera completa (desde diciembre de 2023) en cada actualización.</w:t>
      </w:r>
    </w:p>
    <w:bookmarkEnd w:id="172"/>
    <w:bookmarkStart w:id="173" w:name="Xfec2c1dec879a8614d6605057a6efcb2a0b1de1"/>
    <w:p>
      <w:pPr>
        <w:pStyle w:val="Heading2"/>
        <w:keepNext/>
      </w:pPr>
      <w:r>
        <w:t xml:space="preserve">Historial — cambios metodológicos documentados</w:t>
      </w:r>
    </w:p>
    <w:p>
      <w:pPr>
        <w:pStyle w:val="FirstParagraph"/>
      </w:pPr>
      <w:r>
        <w:rPr>
          <w:bCs/>
          <w:b/>
        </w:rPr>
        <w:t xml:space="preserve">2026-07-03</w:t>
      </w:r>
      <w:r>
        <w:t xml:space="preserve"> </w:t>
      </w:r>
      <w:r>
        <w:t xml:space="preserve">— Nace y entra al índice: rescata la única señal no redundante de los cuatro contextos nominales (que dejan de publicarse); la dimensión de financiamiento queda 45% reservas + 40% IdC + 15% crédito.</w:t>
      </w:r>
    </w:p>
    <w:p>
      <w:pPr>
        <w:pStyle w:val="BodyText"/>
      </w:pPr>
      <w:r>
        <w:rPr>
          <w:bCs/>
          <w:b/>
        </w:rPr>
        <w:t xml:space="preserve">2026-07-04</w:t>
      </w:r>
      <w:r>
        <w:t xml:space="preserve"> </w:t>
      </w:r>
      <w:r>
        <w:t xml:space="preserve">— El titular pasa al último mes con IPC cerrado; el dato diario fresco queda como provisorio (antes se deflactaba el préstamo del día con un IPC de dos meses atrás).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73"/>
    <w:bookmarkEnd w:id="174"/>
    <w:bookmarkStart w:id="184" w:name="costo-real-del-financiamiento-del-tesoro"/>
    <w:p>
      <w:pPr>
        <w:pStyle w:val="Heading1"/>
        <w:keepNext/>
      </w:pPr>
      <w:r>
        <w:t xml:space="preserve">Costo real del financiamiento del Tesoro</w:t>
      </w:r>
    </w:p>
    <w:p>
      <w:pPr>
        <w:pStyle w:val="FirstParagraph"/>
      </w:pPr>
      <w:r>
        <w:t xml:space="preserve">Qué tasa de interés real paga el Tesoro para renovar su deuda en pesos: la tasa efectiva anual de las licitaciones del mes, descontada la inflación esperada.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8,07 % real anual (TIREA vs. inflación esperada REM)</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4 % del ITCM</w:t>
            </w:r>
          </w:p>
        </w:tc>
        <w:tc>
          <w:p>
            <w:pPr>
              <w:pStyle w:val="Compact"/>
              <w:jc w:val="left"/>
            </w:pPr>
            <w:r>
              <w:rPr>
                <w:sz w:val="18"/>
              </w:rPr>
              <w:t xml:space="preserve">Cinturón Macroeconomía</w:t>
            </w:r>
          </w:p>
        </w:tc>
      </w:tr>
    </w:tbl>
    <w:bookmarkStart w:id="175" w:name="identificación-1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costo_financiamiento_tesoro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 real anual (TIREA vs. inflación esperada REM)</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(29 puntos)</w:t>
            </w:r>
          </w:p>
        </w:tc>
        <w:tc>
          <w:p>
            <w:pPr>
              <w:pStyle w:val="Compact"/>
              <w:jc w:val="left"/>
            </w:pPr>
            <w:r>
              <w:rPr>
                <w:bCs/>
                <w:b/>
                <w:sz w:val="18"/>
              </w:rPr>
              <w:t xml:space="preserve">REZAGO DE PUBLICACIÓN</w:t>
            </w:r>
          </w:p>
        </w:tc>
        <w:tc>
          <w:p>
            <w:pPr>
              <w:pStyle w:val="Compact"/>
              <w:jc w:val="left"/>
            </w:pPr>
            <w:r>
              <w:rPr>
                <w:sz w:val="18"/>
              </w:rPr>
              <w:t xml:space="preserve">Se actualiza con cada licitación (dos por mes); el mes cierra cuando la Secretaría de Finanzas publica su planilla de colocaciones.</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Finanzas (colocaciones de deuda) + BCRA (expectativas de inflación)</w:t>
            </w:r>
          </w:p>
        </w:tc>
        <w:tc>
          <w:p>
            <w:pPr>
              <w:pStyle w:val="Compact"/>
              <w:jc w:val="left"/>
            </w:pPr>
            <w:r>
              <w:rPr>
                <w:bCs/>
                <w:b/>
                <w:sz w:val="18"/>
              </w:rPr>
              <w:t xml:space="preserve">OPERACIÓN ESTADÍSTICA</w:t>
            </w:r>
          </w:p>
        </w:tc>
        <w:tc>
          <w:p>
            <w:pPr>
              <w:pStyle w:val="Compact"/>
              <w:jc w:val="left"/>
            </w:pPr>
            <w:r>
              <w:rPr>
                <w:sz w:val="18"/>
              </w:rPr>
              <w:t xml:space="preserve">Colocaciones de letras y bonos del Tesoro en el mercado local, y expectativa de inflación a doce meses</w:t>
            </w:r>
          </w:p>
        </w:tc>
      </w:tr>
      <w:tr>
        <w:trPr>
          <w:cantSplit/>
        </w:trPr>
        <w:tc>
          <w:p>
            <w:pPr>
              <w:pStyle w:val="Compact"/>
              <w:jc w:val="left"/>
            </w:pPr>
            <w:r>
              <w:rPr>
                <w:bCs/>
                <w:b/>
                <w:sz w:val="18"/>
              </w:rPr>
              <w:t xml:space="preserve">MODO DE ACCESO</w:t>
            </w:r>
          </w:p>
        </w:tc>
        <w:tc>
          <w:p>
            <w:pPr>
              <w:pStyle w:val="Compact"/>
              <w:jc w:val="left"/>
            </w:pPr>
            <w:r>
              <w:rPr>
                <w:sz w:val="18"/>
              </w:rPr>
              <w:t xml:space="preserve">Automático: planilla oficial de cada año y serie de expectativas del BCRA.</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75"/>
    <w:bookmarkStart w:id="176" w:name="definición-qué-mide-y-por-qué-importa-15"/>
    <w:p>
      <w:pPr>
        <w:pStyle w:val="Heading2"/>
        <w:keepNext/>
      </w:pPr>
      <w:r>
        <w:t xml:space="preserve">Definición — qué mide y por qué importa</w:t>
      </w:r>
    </w:p>
    <w:p>
      <w:pPr>
        <w:pStyle w:val="FirstParagraph"/>
      </w:pPr>
      <w:r>
        <w:t xml:space="preserve">Qué tasa de interés real paga el Tesoro para renovar su deuda en pesos: la tasa efectiva anual de las licitaciones del mes, descontada la inflación esperada.</w:t>
      </w:r>
    </w:p>
    <w:p>
      <w:pPr>
        <w:pStyle w:val="BodyText"/>
      </w:pPr>
      <w:r>
        <w:t xml:space="preserve">Es el precio del financiamiento del Estado. Reservas, capacidad prestable y crédito miden cuánta financiación hay; esta mide cuánto cuesta conseguirla. Los dos extremos son malos: una tasa real muy negativa indica que el Tesoro coloca licuando al ahorrista, y una muy alta que la deuda crece más rápido que la economía.</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176"/>
    <w:bookmarkStart w:id="177" w:name="método-de-cómputo-15"/>
    <w:p>
      <w:pPr>
        <w:pStyle w:val="Heading2"/>
        <w:keepNext/>
      </w:pPr>
      <w:r>
        <w:t xml:space="preserve">Método de cómputo</w:t>
      </w:r>
    </w:p>
    <w:p>
      <w:pPr>
        <w:numPr>
          <w:ilvl w:val="0"/>
          <w:numId w:val="1072"/>
        </w:numPr>
        <w:pStyle w:val="Compact"/>
      </w:pPr>
      <w:r>
        <w:t xml:space="preserve">De cada colocación se obtiene la tasa efectiva anual implícita a partir del precio de corte, la fecha de vencimiento y la forma de pago del instrumento.</w:t>
      </w:r>
    </w:p>
    <w:p>
      <w:pPr>
        <w:numPr>
          <w:ilvl w:val="0"/>
          <w:numId w:val="1072"/>
        </w:numPr>
        <w:pStyle w:val="Compact"/>
      </w:pPr>
      <w:r>
        <w:t xml:space="preserve">Las colocaciones del mes se promedian ponderando por el monto adjudicado: una licitación chica no mueve el promedio como una grande.</w:t>
      </w:r>
    </w:p>
    <w:p>
      <w:pPr>
        <w:numPr>
          <w:ilvl w:val="0"/>
          <w:numId w:val="1072"/>
        </w:numPr>
        <w:pStyle w:val="Compact"/>
      </w:pPr>
      <w:r>
        <w:t xml:space="preserve">Solo entran los instrumentos a tasa fija en pesos. Los ajustados por inflación, los atados al dólar y los de tasa variable quedan afuera porque su rendimiento no es comparable con el de una tasa fija.</w:t>
      </w:r>
    </w:p>
    <w:p>
      <w:pPr>
        <w:numPr>
          <w:ilvl w:val="0"/>
          <w:numId w:val="1072"/>
        </w:numPr>
        <w:pStyle w:val="Compact"/>
      </w:pPr>
      <w:r>
        <w:t xml:space="preserve">Al promedio se le descuenta la inflación esperada a doce meses, para leer la tasa en términos reales.</w:t>
      </w:r>
    </w:p>
    <w:bookmarkEnd w:id="177"/>
    <w:bookmarkStart w:id="178" w:name="X8797a617a46fa23875915c569ac62b6d653dda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real anual (TIREA vs. inflación esperada REM))</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−1,89 – 12,5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−3,57 – −1,89</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12,5 – 16,67</w:t>
            </w:r>
          </w:p>
        </w:tc>
        <w:tc>
          <w:tcPr>
            <w:shd w:val="clear" w:color="auto" w:fill="FEF3C7"/>
          </w:tcPr>
          <w:p>
            <w:pPr>
              <w:pStyle w:val="Compact"/>
              <w:jc w:val="center"/>
            </w:pPr>
            <w:r>
              <w:rPr>
                <w:b/>
                <w:sz w:val="18"/>
                <w:color w:val="713F12"/>
              </w:rPr>
              <w:t xml:space="preserve">AMARILLO</w:t>
            </w:r>
          </w:p>
        </w:tc>
      </w:tr>
      <w:tr>
        <w:trPr>
          <w:cantSplit/>
        </w:trPr>
        <w:tc>
          <w:tcPr>
            <w:shd w:val="clear" w:color="auto" w:fill="F6F8F7"/>
          </w:tcPr>
          <w:p>
            <w:pPr>
              <w:pStyle w:val="Compact"/>
              <w:jc w:val="left"/>
            </w:pPr>
            <w:r>
              <w:rPr>
                <w:sz w:val="18"/>
              </w:rPr>
              <w:t xml:space="preserve">≤ −3,57</w:t>
            </w:r>
          </w:p>
        </w:tc>
        <w:tc>
          <w:tcPr>
            <w:shd w:val="clear" w:color="auto" w:fill="FFEDD5"/>
          </w:tcPr>
          <w:p>
            <w:pPr>
              <w:pStyle w:val="Compact"/>
              <w:jc w:val="center"/>
            </w:pPr>
            <w:r>
              <w:rPr>
                <w:b/>
                <w:sz w:val="18"/>
                <w:color w:val="7C2D12"/>
              </w:rPr>
              <w:t xml:space="preserve">NARANJA</w:t>
            </w:r>
          </w:p>
        </w:tc>
      </w:tr>
      <w:tr>
        <w:trPr>
          <w:cantSplit/>
        </w:trPr>
        <w:tc>
          <w:p>
            <w:pPr>
              <w:pStyle w:val="Compact"/>
              <w:jc w:val="left"/>
            </w:pPr>
            <w:r>
              <w:rPr>
                <w:sz w:val="18"/>
              </w:rPr>
              <w:t xml:space="preserve">16,67 – 19,33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19,33</w:t>
            </w:r>
          </w:p>
        </w:tc>
        <w:tc>
          <w:tcPr>
            <w:shd w:val="clear" w:color="auto" w:fill="FEE2E2"/>
          </w:tcPr>
          <w:p>
            <w:pPr>
              <w:pStyle w:val="Compact"/>
              <w:jc w:val="center"/>
            </w:pPr>
            <w:r>
              <w:rPr>
                <w:b/>
                <w:sz w:val="18"/>
                <w:color w:val="7F1D1D"/>
              </w:rPr>
              <w:t xml:space="preserve">ROJO</w:t>
            </w:r>
          </w:p>
        </w:tc>
      </w:tr>
    </w:tbl>
    <w:bookmarkEnd w:id="178"/>
    <w:bookmarkStart w:id="179" w:name="datos-concretos-detrás-del-valor-1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73"/>
        </w:numPr>
        <w:pStyle w:val="Compact"/>
      </w:pPr>
      <w:r>
        <w:t xml:space="preserve">2026-06: TIREA 32.2% en 1 colocación/es a tasa fija en pesos contra inflación esperada 22.3% → +8.1% real</w:t>
      </w:r>
    </w:p>
    <w:bookmarkEnd w:id="179"/>
    <w:bookmarkStart w:id="180" w:name="color-vigente-y-por-qué-15"/>
    <w:p>
      <w:pPr>
        <w:pStyle w:val="Heading2"/>
        <w:keepNext/>
      </w:pPr>
      <w:r>
        <w:t xml:space="preserve">Color vigente y por qué</w:t>
      </w:r>
    </w:p>
    <w:p>
      <w:pPr>
        <w:pStyle w:val="FirstParagraph"/>
      </w:pPr>
      <w:r>
        <w:t xml:space="preserve">Dato vigente: 8,07 % real anual (TIREA vs. inflación esperada REM) (2026-06).</w:t>
      </w:r>
    </w:p>
    <w:p>
      <w:pPr>
        <w:pStyle w:val="BodyText"/>
      </w:pPr>
      <w:r>
        <w:t xml:space="preserve">8,07 % real anual (TIREA vs. inflación esperada REM) cae en el tramo que corresponde a Verde, a 4,43 del corte más cercano.</w:t>
      </w:r>
    </w:p>
    <w:p>
      <w:pPr>
        <w:pStyle w:val="BodyText"/>
      </w:pPr>
      <w:r>
        <w:rPr>
          <w:bCs/>
          <w:b/>
        </w:rPr>
        <w:t xml:space="preserve">Color vigente: VERDE</w:t>
      </w:r>
    </w:p>
    <w:p>
      <w:pPr>
        <w:pStyle w:val="BodyText"/>
      </w:pPr>
      <w:r>
        <w:t xml:space="preserve">Ponderación vigente en el ITCM: 4 % efectivo. El color es una lectura adicional — no reemplaza ni cambia esta ponderación.</w:t>
      </w:r>
    </w:p>
    <w:bookmarkEnd w:id="180"/>
    <w:bookmarkStart w:id="181" w:name="transparencia-limitaciones-declaradas-15"/>
    <w:p>
      <w:pPr>
        <w:pStyle w:val="Heading2"/>
        <w:keepNext/>
      </w:pPr>
      <w:r>
        <w:t xml:space="preserve">Transparencia — limitaciones declaradas</w:t>
      </w:r>
    </w:p>
    <w:p>
      <w:pPr>
        <w:numPr>
          <w:ilvl w:val="0"/>
          <w:numId w:val="1074"/>
        </w:numPr>
        <w:pStyle w:val="Compact"/>
      </w:pPr>
      <w:r>
        <w:t xml:space="preserve">Es el único indicador del tablero cuya escala premia el punto medio y castiga los dos extremos: una tasa real muy negativa significa que el Estado se financia licuando al ahorrista, y una muy alta que la deuda crece más rápido que la economía.</w:t>
      </w:r>
    </w:p>
    <w:p>
      <w:pPr>
        <w:numPr>
          <w:ilvl w:val="0"/>
          <w:numId w:val="1074"/>
        </w:numPr>
        <w:pStyle w:val="Compact"/>
      </w:pPr>
      <w:r>
        <w:t xml:space="preserve">Se expresa en tasa efectiva anual, no en tasa nominal anual. A tasas altas la diferencia es enorme: la letra colocada en diciembre de 2023 equivalía a 105% nominal y a 169% efectiva.</w:t>
      </w:r>
    </w:p>
    <w:p>
      <w:pPr>
        <w:numPr>
          <w:ilvl w:val="0"/>
          <w:numId w:val="1074"/>
        </w:numPr>
        <w:pStyle w:val="Compact"/>
      </w:pPr>
      <w:r>
        <w:t xml:space="preserve">Los meses sin colocaciones a tasa fija en pesos no tienen dato: enero y febrero de 2024 quedan fuera de la serie porque todo lo emitido en esos meses se ajustaba por inflación.</w:t>
      </w:r>
    </w:p>
    <w:p>
      <w:pPr>
        <w:numPr>
          <w:ilvl w:val="0"/>
          <w:numId w:val="1074"/>
        </w:numPr>
        <w:pStyle w:val="Compact"/>
      </w:pPr>
      <w:r>
        <w:t xml:space="preserve">El promedio mezcla plazos: un mes con colocaciones largas y otro con cortas no son estrictamente comparables cuando la curva de tasas tiene pendiente.</w:t>
      </w:r>
    </w:p>
    <w:p>
      <w:pPr>
        <w:numPr>
          <w:ilvl w:val="0"/>
          <w:numId w:val="1074"/>
        </w:numPr>
        <w:pStyle w:val="Compact"/>
      </w:pPr>
      <w:r>
        <w:t xml:space="preserve">El deflactor es una expectativa relevada por encuesta, la misma que usa el indicador de expectativas de inflación.</w:t>
      </w:r>
    </w:p>
    <w:bookmarkEnd w:id="181"/>
    <w:bookmarkStart w:id="182" w:name="X0c45de6897a5612009ee621684988b95b96a817"/>
    <w:p>
      <w:pPr>
        <w:pStyle w:val="Heading2"/>
        <w:keepNext/>
      </w:pPr>
      <w:r>
        <w:t xml:space="preserve">Si falta el dato / Política de revisiones</w:t>
      </w:r>
    </w:p>
    <w:p>
      <w:pPr>
        <w:numPr>
          <w:ilvl w:val="0"/>
          <w:numId w:val="1075"/>
        </w:numPr>
      </w:pPr>
      <w:r>
        <w:rPr>
          <w:bCs/>
          <w:b/>
        </w:rPr>
        <w:t xml:space="preserve">Si falta el dato:</w:t>
      </w:r>
      <w:r>
        <w:t xml:space="preserve"> </w:t>
      </w:r>
      <w:r>
        <w:t xml:space="preserve">Sin colocaciones a tasa fija en el mes se conserva el último valor disponible, señalado como desactualizado; reservas, capacidad prestable y crédito renormalizan dentro de la dimensión.</w:t>
      </w:r>
    </w:p>
    <w:p>
      <w:pPr>
        <w:numPr>
          <w:ilvl w:val="0"/>
          <w:numId w:val="1075"/>
        </w:numPr>
      </w:pPr>
      <w:r>
        <w:rPr>
          <w:bCs/>
          <w:b/>
        </w:rPr>
        <w:t xml:space="preserve">Política de revisiones:</w:t>
      </w:r>
      <w:r>
        <w:t xml:space="preserve"> </w:t>
      </w:r>
      <w:r>
        <w:t xml:space="preserve">Las planillas del año en curso se actualizan a lo largo del año; la serie se regenera completa desde diciembre de 2023 en cada actualización.</w:t>
      </w:r>
    </w:p>
    <w:bookmarkEnd w:id="182"/>
    <w:bookmarkStart w:id="183" w:name="X4ab0c5eb5abca5f38141be4205cfacb1b6608f5"/>
    <w:p>
      <w:pPr>
        <w:pStyle w:val="Heading2"/>
        <w:keepNext/>
      </w:pPr>
      <w:r>
        <w:t xml:space="preserve">Historial — cambios metodológicos documentados</w:t>
      </w:r>
    </w:p>
    <w:p>
      <w:pPr>
        <w:pStyle w:val="FirstParagraph"/>
      </w:pPr>
      <w:r>
        <w:rPr>
          <w:bCs/>
          <w:b/>
        </w:rPr>
        <w:t xml:space="preserve">2026-07-18</w:t>
      </w:r>
      <w:r>
        <w:t xml:space="preserve"> </w:t>
      </w:r>
      <w:r>
        <w:t xml:space="preserve">— Nace y entra al índice con el 25% de la dimensión de financiamiento, que pasa a llamarse capacidad y costo del financiamiento; los otros tres componentes se recortan en proporción. Cubre el precio del financiamiento del Estado, que la dimensión no medía.</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83"/>
    <w:bookmarkEnd w:id="184"/>
    <w:bookmarkStart w:id="194" w:name="resultado-primario-del-estado-nacional"/>
    <w:p>
      <w:pPr>
        <w:pStyle w:val="Heading1"/>
        <w:keepNext/>
      </w:pPr>
      <w:r>
        <w:t xml:space="preserve">Resultado primario del Estado nacional</w:t>
      </w:r>
    </w:p>
    <w:p>
      <w:pPr>
        <w:pStyle w:val="FirstParagraph"/>
      </w:pPr>
      <w:r>
        <w:t xml:space="preserve">Cuánto le sobra (o le falta) al Estado nacional después de pagar todo su gasto, antes de los intereses de la deuda, acumulado en doce meses y medido como porcentaje de lo que recauda.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5,55 % de la recaudación (acum. 12 meses)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12 % del ITCM</w:t>
            </w:r>
          </w:p>
        </w:tc>
        <w:tc>
          <w:p>
            <w:pPr>
              <w:pStyle w:val="Compact"/>
              <w:jc w:val="left"/>
            </w:pPr>
            <w:r>
              <w:rPr>
                <w:sz w:val="18"/>
              </w:rPr>
              <w:t xml:space="preserve">Cinturón Macroeconomía</w:t>
            </w:r>
          </w:p>
        </w:tc>
      </w:tr>
    </w:tbl>
    <w:bookmarkStart w:id="185" w:name="identificación-1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resultado_primario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Viabilidad fiscal-comercial</w:t>
            </w:r>
          </w:p>
        </w:tc>
        <w:tc>
          <w:p>
            <w:pPr>
              <w:pStyle w:val="Compact"/>
              <w:jc w:val="left"/>
            </w:pPr>
            <w:r>
              <w:rPr>
                <w:bCs/>
                <w:b/>
                <w:sz w:val="18"/>
              </w:rPr>
              <w:t xml:space="preserve">UNIDAD DE MEDIDA</w:t>
            </w:r>
          </w:p>
        </w:tc>
        <w:tc>
          <w:p>
            <w:pPr>
              <w:pStyle w:val="Compact"/>
              <w:jc w:val="left"/>
            </w:pPr>
            <w:r>
              <w:rPr>
                <w:sz w:val="18"/>
              </w:rPr>
              <w:t xml:space="preserve">% de la recaudación (acum. 12 meses)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Un mes: el informe de ingresos y gastos se publica en la segunda quincena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(resultado primario) + recaudación nacional</w:t>
            </w:r>
          </w:p>
        </w:tc>
        <w:tc>
          <w:p>
            <w:pPr>
              <w:pStyle w:val="Compact"/>
              <w:jc w:val="left"/>
            </w:pPr>
            <w:r>
              <w:rPr>
                <w:bCs/>
                <w:b/>
                <w:sz w:val="18"/>
              </w:rPr>
              <w:t xml:space="preserve">OPERACIÓN ESTADÍSTICA</w:t>
            </w:r>
          </w:p>
        </w:tc>
        <w:tc>
          <w:p>
            <w:pPr>
              <w:pStyle w:val="Compact"/>
              <w:jc w:val="left"/>
            </w:pPr>
            <w:r>
              <w:rPr>
                <w:sz w:val="18"/>
              </w:rPr>
              <w:t xml:space="preserve">Informe mensual de ingresos y gastos del Sector Público Nacional, y recaudación tributaria total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de series de tiempo del Estado nacional.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85"/>
    <w:bookmarkStart w:id="186" w:name="definición-qué-mide-y-por-qué-importa-16"/>
    <w:p>
      <w:pPr>
        <w:pStyle w:val="Heading2"/>
        <w:keepNext/>
      </w:pPr>
      <w:r>
        <w:t xml:space="preserve">Definición — qué mide y por qué importa</w:t>
      </w:r>
    </w:p>
    <w:p>
      <w:pPr>
        <w:pStyle w:val="FirstParagraph"/>
      </w:pPr>
      <w:r>
        <w:t xml:space="preserve">Cuánto le sobra (o le falta) al Estado nacional después de pagar todo su gasto, antes de los intereses de la deuda, acumulado en doce meses y medido como porcentaje de lo que recauda.</w:t>
      </w:r>
    </w:p>
    <w:p>
      <w:pPr>
        <w:pStyle w:val="BodyText"/>
      </w:pPr>
      <w:r>
        <w:t xml:space="preserve">Es el resultado fiscal, no los ingresos. La recaudación puede caer porque la actividad afloja o porque se bajaron impuestos a propósito, y en ninguno de los dos casos eso dice si las cuentas cierran. Este indicador responde esa pregunta directamente: de cada cien pesos recaudados, cuántos quedan.</w:t>
      </w:r>
    </w:p>
    <w:p>
      <w:pPr>
        <w:pStyle w:val="BodyText"/>
      </w:pPr>
      <w:r>
        <w:rPr>
          <w:bCs/>
          <w:b/>
        </w:rPr>
        <w:t xml:space="preserve">Dimensión que integra — Viabilidad fiscal-comercial.</w:t>
      </w:r>
      <w:r>
        <w:t xml:space="preserve"> </w:t>
      </w:r>
      <w:r>
        <w:t xml:space="preserve">Si las cuentas cierran: la recaudación real (el sostén del ancla fiscal) y el saldo comercial (los dólares genuinos del intercambio).</w:t>
      </w:r>
    </w:p>
    <w:bookmarkEnd w:id="186"/>
    <w:bookmarkStart w:id="187" w:name="método-de-cómputo-16"/>
    <w:p>
      <w:pPr>
        <w:pStyle w:val="Heading2"/>
        <w:keepNext/>
      </w:pPr>
      <w:r>
        <w:t xml:space="preserve">Método de cómputo</w:t>
      </w:r>
    </w:p>
    <w:p>
      <w:pPr>
        <w:numPr>
          <w:ilvl w:val="0"/>
          <w:numId w:val="1076"/>
        </w:numPr>
        <w:pStyle w:val="Compact"/>
      </w:pPr>
      <w:r>
        <w:t xml:space="preserve">Ambas series se acumulan en ventanas de doce meses. El resultado primario mensual es fuertemente estacional —diciembre da déficit todos los años por el aguinaldo y el cierre del ejercicio, enero da superávit alto—, así que puntuar el mes suelto marcaría un colapso fiscal cada diciembre.</w:t>
      </w:r>
    </w:p>
    <w:p>
      <w:pPr>
        <w:numPr>
          <w:ilvl w:val="0"/>
          <w:numId w:val="1076"/>
        </w:numPr>
        <w:pStyle w:val="Compact"/>
      </w:pPr>
      <w:r>
        <w:t xml:space="preserve">El resultado acumulado se divide por la recaudación acumulada del mismo período: de cada peso que recauda el Estado, cuánto le sobra después de gastar, antes de pagar intereses.</w:t>
      </w:r>
    </w:p>
    <w:p>
      <w:pPr>
        <w:numPr>
          <w:ilvl w:val="0"/>
          <w:numId w:val="1076"/>
        </w:numPr>
        <w:pStyle w:val="Compact"/>
      </w:pPr>
      <w:r>
        <w:t xml:space="preserve">Se normaliza contra la recaudación y no contra el producto ni contra los precios: no hay producto nominal mensual publicado, y usar el índice de precios sumaría una dependencia más a un deflactor que ya interviene en otros cuatro indicadores del índice.</w:t>
      </w:r>
    </w:p>
    <w:bookmarkEnd w:id="187"/>
    <w:bookmarkStart w:id="188" w:name="X73e3f854e4b8e082811c0c543bcdb6fb29273d5"/>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la recaudación (acum.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 – 2</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−3,75 – −1</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−3,75</w:t>
            </w:r>
          </w:p>
        </w:tc>
        <w:tc>
          <w:tcPr>
            <w:shd w:val="clear" w:color="auto" w:fill="FEE2E2"/>
          </w:tcPr>
          <w:p>
            <w:pPr>
              <w:pStyle w:val="Compact"/>
              <w:jc w:val="center"/>
            </w:pPr>
            <w:r>
              <w:rPr>
                <w:b/>
                <w:sz w:val="18"/>
                <w:color w:val="7F1D1D"/>
              </w:rPr>
              <w:t xml:space="preserve">ROJO</w:t>
            </w:r>
          </w:p>
        </w:tc>
      </w:tr>
    </w:tbl>
    <w:bookmarkEnd w:id="188"/>
    <w:bookmarkStart w:id="189" w:name="datos-concretos-detrás-del-valor-1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77"/>
        </w:numPr>
        <w:pStyle w:val="Compact"/>
      </w:pPr>
      <w:r>
        <w:t xml:space="preserve">2026-06: superávit primario de 5.5% de la recaudación acumulada de doce meses</w:t>
      </w:r>
    </w:p>
    <w:bookmarkEnd w:id="189"/>
    <w:bookmarkStart w:id="190" w:name="color-vigente-y-por-qué-16"/>
    <w:p>
      <w:pPr>
        <w:pStyle w:val="Heading2"/>
        <w:keepNext/>
      </w:pPr>
      <w:r>
        <w:t xml:space="preserve">Color vigente y por qué</w:t>
      </w:r>
    </w:p>
    <w:p>
      <w:pPr>
        <w:pStyle w:val="FirstParagraph"/>
      </w:pPr>
      <w:r>
        <w:t xml:space="preserve">Dato vigente: 5,55 % de la recaudación (acum. 12 meses) (2026-06).</w:t>
      </w:r>
    </w:p>
    <w:p>
      <w:pPr>
        <w:pStyle w:val="BodyText"/>
      </w:pPr>
      <w:r>
        <w:t xml:space="preserve">5,55 % de la recaudación (acum. 12 meses) cae en el tramo que corresponde a Verde, a 3,55 del corte más cercano.</w:t>
      </w:r>
    </w:p>
    <w:p>
      <w:pPr>
        <w:pStyle w:val="BodyText"/>
      </w:pPr>
      <w:r>
        <w:rPr>
          <w:bCs/>
          <w:b/>
        </w:rPr>
        <w:t xml:space="preserve">Color vigente: VERDE</w:t>
      </w:r>
    </w:p>
    <w:p>
      <w:pPr>
        <w:pStyle w:val="BodyText"/>
      </w:pPr>
      <w:r>
        <w:t xml:space="preserve">Ponderación vigente en el ITCM: 12 % efectivo. El color es una lectura adicional — no reemplaza ni cambia esta ponderación.</w:t>
      </w:r>
    </w:p>
    <w:bookmarkEnd w:id="190"/>
    <w:bookmarkStart w:id="191" w:name="transparencia-limitaciones-declaradas-16"/>
    <w:p>
      <w:pPr>
        <w:pStyle w:val="Heading2"/>
        <w:keepNext/>
      </w:pPr>
      <w:r>
        <w:t xml:space="preserve">Transparencia — limitaciones declaradas</w:t>
      </w:r>
    </w:p>
    <w:p>
      <w:pPr>
        <w:numPr>
          <w:ilvl w:val="0"/>
          <w:numId w:val="1078"/>
        </w:numPr>
        <w:pStyle w:val="Compact"/>
      </w:pPr>
      <w:r>
        <w:t xml:space="preserve">El denominador es la recaudación tributaria, no el total de ingresos del Sector Público Nacional: sirve como escala estable y comparable en el tiempo, pero no es un cociente entre magnitudes del mismo universo contable.</w:t>
      </w:r>
    </w:p>
    <w:p>
      <w:pPr>
        <w:numPr>
          <w:ilvl w:val="0"/>
          <w:numId w:val="1078"/>
        </w:numPr>
        <w:pStyle w:val="Compact"/>
      </w:pPr>
      <w:r>
        <w:t xml:space="preserve">Es resultado primario: excluye los intereses de la deuda. Un superávit primario alto convive con déficit financiero si la carga de intereses es grande.</w:t>
      </w:r>
    </w:p>
    <w:p>
      <w:pPr>
        <w:numPr>
          <w:ilvl w:val="0"/>
          <w:numId w:val="1078"/>
        </w:numPr>
        <w:pStyle w:val="Compact"/>
      </w:pPr>
      <w:r>
        <w:t xml:space="preserve">La ventana de doce meses suaviza la estacionalidad pero también demora en reflejar un cambio de régimen fiscal: un giro brusco tarda meses en verse completo.</w:t>
      </w:r>
    </w:p>
    <w:p>
      <w:pPr>
        <w:numPr>
          <w:ilvl w:val="0"/>
          <w:numId w:val="1078"/>
        </w:numPr>
        <w:pStyle w:val="Compact"/>
      </w:pPr>
      <w:r>
        <w:t xml:space="preserve">No mide la calidad del ajuste: el mismo resultado puede alcanzarse recortando gasto de capital o licuando jubilaciones, y el indicador no los distingue.</w:t>
      </w:r>
    </w:p>
    <w:bookmarkEnd w:id="191"/>
    <w:bookmarkStart w:id="192" w:name="X7a06634bdbc93c4680ba63361d07c52d56fc14d"/>
    <w:p>
      <w:pPr>
        <w:pStyle w:val="Heading2"/>
        <w:keepNext/>
      </w:pPr>
      <w:r>
        <w:t xml:space="preserve">Si falta el dato / Política de revisiones</w:t>
      </w:r>
    </w:p>
    <w:p>
      <w:pPr>
        <w:numPr>
          <w:ilvl w:val="0"/>
          <w:numId w:val="1079"/>
        </w:numPr>
      </w:pPr>
      <w:r>
        <w:rPr>
          <w:bCs/>
          <w:b/>
        </w:rPr>
        <w:t xml:space="preserve">Si falta el dato:</w:t>
      </w:r>
      <w:r>
        <w:t xml:space="preserve"> </w:t>
      </w:r>
      <w:r>
        <w:t xml:space="preserve">Sin una ventana completa de doce meses se conserva el último valor disponible, señalado como desactualizado; la recaudación y el saldo comercial renormalizan dentro de la dimensión.</w:t>
      </w:r>
    </w:p>
    <w:p>
      <w:pPr>
        <w:numPr>
          <w:ilvl w:val="0"/>
          <w:numId w:val="1079"/>
        </w:numPr>
      </w:pPr>
      <w:r>
        <w:rPr>
          <w:bCs/>
          <w:b/>
        </w:rPr>
        <w:t xml:space="preserve">Política de revisiones:</w:t>
      </w:r>
      <w:r>
        <w:t xml:space="preserve"> </w:t>
      </w:r>
      <w:r>
        <w:t xml:space="preserve">Las cifras fiscales pueden revisarse en publicaciones posteriores; la serie se regenera completa desde diciembre de 2023 en cada actualización.</w:t>
      </w:r>
    </w:p>
    <w:bookmarkEnd w:id="192"/>
    <w:bookmarkStart w:id="193" w:name="X04b1f2d7b7764debfd14097dcda10f65a82388c"/>
    <w:p>
      <w:pPr>
        <w:pStyle w:val="Heading2"/>
        <w:keepNext/>
      </w:pPr>
      <w:r>
        <w:t xml:space="preserve">Historial — cambios metodológicos documentados</w:t>
      </w:r>
    </w:p>
    <w:p>
      <w:pPr>
        <w:pStyle w:val="FirstParagraph"/>
      </w:pPr>
      <w:r>
        <w:rPr>
          <w:bCs/>
          <w:b/>
        </w:rPr>
        <w:t xml:space="preserve">2026-07-18</w:t>
      </w:r>
      <w:r>
        <w:t xml:space="preserve"> </w:t>
      </w:r>
      <w:r>
        <w:t xml:space="preserve">— Nace y entra como componente principal de la dimensión fiscal-comercial (50%), que hasta entonces medía la viabilidad fiscal por los ingresos: la recaudación baja al 30% y el saldo comercial al 20%.</w:t>
      </w:r>
    </w:p>
    <w:bookmarkEnd w:id="193"/>
    <w:bookmarkEnd w:id="194"/>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Macroeconomía</dc:title>
  <dc:creator>Fundación CIGOB</dc:creator>
  <cp:keywords/>
  <dcterms:created xsi:type="dcterms:W3CDTF">2026-08-09T23:32:14Z</dcterms:created>
  <dcterms:modified xsi:type="dcterms:W3CDTF">2026-08-09T23:32:14Z</dcterms:modified>
  <dc:description>fichas-cigob: estilado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