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Fichas</w:t>
      </w:r>
      <w:r>
        <w:t xml:space="preserve"> </w:t>
      </w:r>
      <w:r>
        <w:t xml:space="preserve">metodológicas</w:t>
      </w:r>
      <w:r>
        <w:t xml:space="preserve"> </w:t>
      </w:r>
      <w:r>
        <w:t xml:space="preserve">·</w:t>
      </w:r>
      <w:r>
        <w:t xml:space="preserve"> </w:t>
      </w:r>
      <w:r>
        <w:t xml:space="preserve">Cinturón</w:t>
      </w:r>
      <w:r>
        <w:t xml:space="preserve"> </w:t>
      </w:r>
      <w:r>
        <w:t xml:space="preserve">Política</w:t>
      </w:r>
    </w:p>
    <w:p>
      <w:pPr>
        <w:pStyle w:val="Subtitle"/>
      </w:pPr>
      <w:r>
        <w:t xml:space="preserve">Informe</w:t>
      </w:r>
      <w:r>
        <w:t xml:space="preserve"> </w:t>
      </w:r>
      <w:r>
        <w:t xml:space="preserve">de</w:t>
      </w:r>
      <w:r>
        <w:t xml:space="preserve"> </w:t>
      </w:r>
      <w:r>
        <w:t xml:space="preserve">Coyuntura</w:t>
      </w:r>
      <w:r>
        <w:t xml:space="preserve"> </w:t>
      </w:r>
      <w:r>
        <w:t xml:space="preserve">·</w:t>
      </w:r>
      <w:r>
        <w:t xml:space="preserve"> </w:t>
      </w:r>
      <w:r>
        <w:t xml:space="preserve">Capa</w:t>
      </w:r>
      <w:r>
        <w:t xml:space="preserve"> </w:t>
      </w:r>
      <w:r>
        <w:t xml:space="preserve">de</w:t>
      </w:r>
      <w:r>
        <w:t xml:space="preserve"> </w:t>
      </w:r>
      <w:r>
        <w:t xml:space="preserve">semáforo</w:t>
      </w:r>
      <w:r>
        <w:t xml:space="preserve"> </w:t>
      </w:r>
      <w:r>
        <w:t xml:space="preserve">(4</w:t>
      </w:r>
      <w:r>
        <w:t xml:space="preserve"> </w:t>
      </w:r>
      <w:r>
        <w:t xml:space="preserve">colores)</w:t>
      </w:r>
    </w:p>
    <w:p>
      <w:pPr>
        <w:pStyle w:val="Author"/>
      </w:pPr>
      <w:r>
        <w:t xml:space="preserve">Fundación</w:t>
      </w:r>
      <w:r>
        <w:t xml:space="preserve"> </w:t>
      </w:r>
      <w:r>
        <w:t xml:space="preserve">CIGOB</w:t>
      </w:r>
    </w:p>
    <w:p>
      <w:pPr>
        <w:pStyle w:val="FirstParagraph"/>
      </w:pPr>
      <w:r>
        <w:rPr>
          <w:bCs/>
          <w:b/>
        </w:rPr>
        <w:t xml:space="preserve">CIGOB · INFORME DE COYUNTURA</w:t>
      </w:r>
    </w:p>
    <w:bookmarkStart w:id="24" w:name="cinturón-política-resumen"/>
    <w:p>
      <w:pPr>
        <w:pStyle w:val="Heading1"/>
        <w:keepNext/>
      </w:pPr>
      <w:r>
        <w:t xml:space="preserve">Cinturón Política — resumen</w:t>
      </w:r>
    </w:p>
    <w:p>
      <w:pPr>
        <w:pStyle w:val="FirstParagraph"/>
      </w:pPr>
      <w:r>
        <w:t xml:space="preserve">Este documento tiene una ficha por indicador — son 18 en total, y cada una arranca en página nueva. Antes de las fichas, el cinturón completo de un vistazo.</w:t>
      </w:r>
    </w:p>
    <w:bookmarkStart w:id="20" w:name="cómo-se-define-el-color"/>
    <w:p>
      <w:pPr>
        <w:pStyle w:val="Heading2"/>
        <w:keepNext/>
      </w:pPr>
      <w:r>
        <w:t xml:space="preserve">Cómo se define el color</w:t>
      </w:r>
    </w:p>
    <w:p>
      <w:pPr>
        <w:pStyle w:val="FirstParagraph"/>
      </w:pPr>
      <w:r>
        <w:t xml:space="preserve">Todos los colores de este documento —el del índice, el de cada dimensión y el de cada indicador— salen de una sola escala: la</w:t>
      </w:r>
      <w:r>
        <w:t xml:space="preserve"> </w:t>
      </w:r>
      <w:r>
        <w:rPr>
          <w:bCs/>
          <w:b/>
        </w:rPr>
        <w:t xml:space="preserve">tensión de 0 a 10</w:t>
      </w:r>
      <w:r>
        <w:t xml:space="preserve"> </w:t>
      </w:r>
      <w:r>
        <w:t xml:space="preserve">que publica el informe. Se parte en cuatro tramos y esos tramos son los mismos para todo.</w:t>
      </w:r>
    </w:p>
    <w:p>
      <w:pPr>
        <w:pStyle w:val="BodyText"/>
      </w:pPr>
      <w:r>
        <w:t xml:space="preserve">El puntaje del ITCP y el de cada dimensión van de 0 a 100, donde 100 es la mejor situación. La tensión es su reflejo: (100 − puntaje) ÷ 10.</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Tensión</w:t>
            </w:r>
          </w:p>
        </w:tc>
        <w:tc>
          <w:tcPr>
            <w:shd w:val="clear" w:color="auto" w:fill="1F3A34"/>
          </w:tcPr>
          <w:p>
            <w:pPr>
              <w:pStyle w:val="Compact"/>
              <w:jc w:val="left"/>
            </w:pPr>
            <w:r>
              <w:rPr>
                <w:b/>
                <w:sz w:val="18"/>
                <w:color w:val="FFFFFF"/>
              </w:rPr>
              <w:t xml:space="preserve">Puntaje del ITCP y de sus dimensiones (0 a 100)</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hasta 4</w:t>
            </w:r>
          </w:p>
        </w:tc>
        <w:tc>
          <w:p>
            <w:pPr>
              <w:pStyle w:val="Compact"/>
              <w:jc w:val="left"/>
            </w:pPr>
            <w:r>
              <w:rPr>
                <w:sz w:val="18"/>
              </w:rPr>
              <w:t xml:space="preserve">60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más de 4 y hasta 6</w:t>
            </w:r>
          </w:p>
        </w:tc>
        <w:tc>
          <w:tcPr>
            <w:shd w:val="clear" w:color="auto" w:fill="F6F8F7"/>
          </w:tcPr>
          <w:p>
            <w:pPr>
              <w:pStyle w:val="Compact"/>
              <w:jc w:val="left"/>
            </w:pPr>
            <w:r>
              <w:rPr>
                <w:sz w:val="18"/>
              </w:rPr>
              <w:t xml:space="preserve">de 40 a 60</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más de 6 y hasta 8</w:t>
            </w:r>
          </w:p>
        </w:tc>
        <w:tc>
          <w:p>
            <w:pPr>
              <w:pStyle w:val="Compact"/>
              <w:jc w:val="left"/>
            </w:pPr>
            <w:r>
              <w:rPr>
                <w:sz w:val="18"/>
              </w:rPr>
              <w:t xml:space="preserve">de 20 a 40</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más de 8</w:t>
            </w:r>
          </w:p>
        </w:tc>
        <w:tc>
          <w:tcPr>
            <w:shd w:val="clear" w:color="auto" w:fill="F6F8F7"/>
          </w:tcPr>
          <w:p>
            <w:pPr>
              <w:pStyle w:val="Compact"/>
              <w:jc w:val="left"/>
            </w:pPr>
            <w:r>
              <w:rPr>
                <w:sz w:val="18"/>
              </w:rPr>
              <w:t xml:space="preserve">menos de 20</w:t>
            </w:r>
          </w:p>
        </w:tc>
        <w:tc>
          <w:tcPr>
            <w:shd w:val="clear" w:color="auto" w:fill="FEE2E2"/>
          </w:tcPr>
          <w:p>
            <w:pPr>
              <w:pStyle w:val="Compact"/>
              <w:jc w:val="center"/>
            </w:pPr>
            <w:r>
              <w:rPr>
                <w:b/>
                <w:sz w:val="18"/>
                <w:color w:val="7F1D1D"/>
              </w:rPr>
              <w:t xml:space="preserve">ROJO</w:t>
            </w:r>
          </w:p>
        </w:tc>
      </w:tr>
    </w:tbl>
    <w:p>
      <w:pPr>
        <w:pStyle w:val="BodyText"/>
      </w:pPr>
      <w:r>
        <w:rPr>
          <w:bCs/>
          <w:b/>
        </w:rPr>
        <w:t xml:space="preserve">Cada indicador tiene además su propia tabla</w:t>
      </w:r>
      <w:r>
        <w:t xml:space="preserve">, en su unidad de medida —pesos, porcentaje, índice, lo que corresponda—, dentro de su ficha, bajo el título «Semáforo — valores que determinan el color». Ahí no hay ninguna escala intermedia: sólo el dato real y el color que le toca.</w:t>
      </w:r>
    </w:p>
    <w:p>
      <w:r>
        <w:br w:type="page"/>
      </w:r>
    </w:p>
    <w:p>
      <w:pPr>
        <w:pStyle w:val="BodyText"/>
      </w:pPr>
      <w:r>
        <w:rPr>
          <w:bCs/>
          <w:b/>
        </w:rPr>
        <w:t xml:space="preserve">CIGOB · INFORME DE COYUNTURA</w:t>
      </w:r>
    </w:p>
    <w:bookmarkEnd w:id="20"/>
    <w:bookmarkStart w:id="21" w:name="itcp-el-índice-del-cinturón"/>
    <w:p>
      <w:pPr>
        <w:pStyle w:val="Heading2"/>
        <w:keepNext/>
      </w:pPr>
      <w:r>
        <w:t xml:space="preserve">ITCP — el índice del cinturón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ITCP: 65,0</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Moderadamente aflojado</w:t>
            </w:r>
          </w:p>
        </w:tc>
        <w:tc>
          <w:p>
            <w:pPr>
              <w:pStyle w:val="Compact"/>
              <w:jc w:val="left"/>
            </w:pPr>
            <w:r>
              <w:rPr>
                <w:sz w:val="18"/>
              </w:rPr>
              <w:t xml:space="preserve">18 indicadores: 9 en verde · 5 en amarillo · 3 en naranja · 1 en rojo</w:t>
            </w:r>
          </w:p>
        </w:tc>
      </w:tr>
    </w:tbl>
    <w:bookmarkEnd w:id="21"/>
    <w:bookmarkStart w:id="22" w:name="dimensiones"/>
    <w:p>
      <w:pPr>
        <w:pStyle w:val="Heading2"/>
        <w:keepNext/>
      </w:pPr>
      <w:r>
        <w:t xml:space="preserve">Dimensiones</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584"/>
        <w:gridCol w:w="1584"/>
        <w:gridCol w:w="1584"/>
        <w:gridCol w:w="1584"/>
        <w:gridCol w:w="1584"/>
      </w:tblGrid>
      <w:tr>
        <w:trPr>
          <w:cantSplit/>
          <w:tblHeader/>
        </w:trPr>
        <w:tc>
          <w:tcPr>
            <w:shd w:val="clear" w:color="auto" w:fill="1F3A34"/>
          </w:tcPr>
          <w:p>
            <w:pPr>
              <w:pStyle w:val="Compact"/>
              <w:jc w:val="left"/>
            </w:pPr>
            <w:r>
              <w:rPr>
                <w:b/>
                <w:sz w:val="18"/>
                <w:color w:val="FFFFFF"/>
              </w:rPr>
              <w:t xml:space="preserve">Dimensión</w:t>
            </w:r>
          </w:p>
        </w:tc>
        <w:tc>
          <w:tcPr>
            <w:shd w:val="clear" w:color="auto" w:fill="1F3A34"/>
          </w:tcPr>
          <w:p>
            <w:pPr>
              <w:pStyle w:val="Compact"/>
              <w:jc w:val="left"/>
            </w:pPr>
            <w:r>
              <w:rPr>
                <w:b/>
                <w:sz w:val="18"/>
                <w:color w:val="FFFFFF"/>
              </w:rPr>
              <w:t xml:space="preserve">Qué mide</w:t>
            </w:r>
          </w:p>
        </w:tc>
        <w:tc>
          <w:tcPr>
            <w:shd w:val="clear" w:color="auto" w:fill="1F3A34"/>
          </w:tcPr>
          <w:p>
            <w:pPr>
              <w:pStyle w:val="Compact"/>
              <w:jc w:val="left"/>
            </w:pPr>
            <w:r>
              <w:rPr>
                <w:b/>
                <w:sz w:val="18"/>
                <w:color w:val="FFFFFF"/>
              </w:rPr>
              <w:t xml:space="preserve">Puntaje</w:t>
            </w:r>
          </w:p>
        </w:tc>
        <w:tc>
          <w:tcPr>
            <w:shd w:val="clear" w:color="auto" w:fill="1F3A34"/>
          </w:tcPr>
          <w:p>
            <w:pPr>
              <w:pStyle w:val="Compact"/>
              <w:jc w:val="left"/>
            </w:pPr>
            <w:r>
              <w:rPr>
                <w:b/>
                <w:sz w:val="18"/>
                <w:color w:val="FFFFFF"/>
              </w:rPr>
              <w:t xml:space="preserve">Color</w:t>
            </w:r>
          </w:p>
        </w:tc>
        <w:tc>
          <w:tcPr>
            <w:shd w:val="clear" w:color="auto" w:fill="1F3A34"/>
          </w:tcPr>
          <w:p>
            <w:pPr>
              <w:pStyle w:val="Compact"/>
              <w:jc w:val="left"/>
            </w:pPr>
            <w:r>
              <w:rPr>
                <w:b/>
                <w:sz w:val="18"/>
                <w:color w:val="FFFFFF"/>
              </w:rPr>
              <w:t xml:space="preserve">Peso</w:t>
            </w:r>
          </w:p>
        </w:tc>
      </w:tr>
      <w:tr>
        <w:trPr>
          <w:cantSplit/>
        </w:trPr>
        <w:tc>
          <w:p>
            <w:pPr>
              <w:pStyle w:val="Compact"/>
              <w:jc w:val="left"/>
            </w:pPr>
            <w:r>
              <w:rPr>
                <w:sz w:val="18"/>
              </w:rPr>
              <w:t xml:space="preserve">Poder legislativo</w:t>
            </w:r>
          </w:p>
        </w:tc>
        <w:tc>
          <w:p>
            <w:pPr>
              <w:pStyle w:val="Compact"/>
              <w:jc w:val="left"/>
            </w:pPr>
            <w:r>
              <w:rPr>
                <w:sz w:val="18"/>
              </w:rPr>
              <w:t xml:space="preserve">La capacidad de gobernar por ley en el Congreso.</w:t>
            </w:r>
          </w:p>
        </w:tc>
        <w:tc>
          <w:p>
            <w:pPr>
              <w:pStyle w:val="Compact"/>
              <w:jc w:val="left"/>
            </w:pPr>
            <w:r>
              <w:rPr>
                <w:sz w:val="18"/>
              </w:rPr>
              <w:t xml:space="preserve">46,5</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21,0 %</w:t>
            </w:r>
          </w:p>
        </w:tc>
      </w:tr>
      <w:tr>
        <w:trPr>
          <w:cantSplit/>
        </w:trPr>
        <w:tc>
          <w:tcPr>
            <w:shd w:val="clear" w:color="auto" w:fill="F6F8F7"/>
          </w:tcPr>
          <w:p>
            <w:pPr>
              <w:pStyle w:val="Compact"/>
              <w:jc w:val="left"/>
            </w:pPr>
            <w:r>
              <w:rPr>
                <w:sz w:val="18"/>
              </w:rPr>
              <w:t xml:space="preserve">Alianzas territoriales</w:t>
            </w:r>
          </w:p>
        </w:tc>
        <w:tc>
          <w:tcPr>
            <w:shd w:val="clear" w:color="auto" w:fill="F6F8F7"/>
          </w:tcPr>
          <w:p>
            <w:pPr>
              <w:pStyle w:val="Compact"/>
              <w:jc w:val="left"/>
            </w:pPr>
            <w:r>
              <w:rPr>
                <w:sz w:val="18"/>
              </w:rPr>
              <w:t xml:space="preserve">El sostén federal del gobierno, visto desde tres señales.</w:t>
            </w:r>
          </w:p>
        </w:tc>
        <w:tc>
          <w:tcPr>
            <w:shd w:val="clear" w:color="auto" w:fill="F6F8F7"/>
          </w:tcPr>
          <w:p>
            <w:pPr>
              <w:pStyle w:val="Compact"/>
              <w:jc w:val="left"/>
            </w:pPr>
            <w:r>
              <w:rPr>
                <w:sz w:val="18"/>
              </w:rPr>
              <w:t xml:space="preserve">77,7</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19,0 %</w:t>
            </w:r>
          </w:p>
        </w:tc>
      </w:tr>
      <w:tr>
        <w:trPr>
          <w:cantSplit/>
        </w:trPr>
        <w:tc>
          <w:p>
            <w:pPr>
              <w:pStyle w:val="Compact"/>
              <w:jc w:val="left"/>
            </w:pPr>
            <w:r>
              <w:rPr>
                <w:sz w:val="18"/>
              </w:rPr>
              <w:t xml:space="preserve">Cohesión interna del oficialismo</w:t>
            </w:r>
          </w:p>
        </w:tc>
        <w:tc>
          <w:p>
            <w:pPr>
              <w:pStyle w:val="Compact"/>
              <w:jc w:val="left"/>
            </w:pPr>
            <w:r>
              <w:rPr>
                <w:sz w:val="18"/>
              </w:rPr>
              <w:t xml:space="preserve">Qué tan unido está el oficialismo puertas adentro.</w:t>
            </w:r>
          </w:p>
        </w:tc>
        <w:tc>
          <w:p>
            <w:pPr>
              <w:pStyle w:val="Compact"/>
              <w:jc w:val="left"/>
            </w:pPr>
            <w:r>
              <w:rPr>
                <w:sz w:val="18"/>
              </w:rPr>
              <w:t xml:space="preserve">96,7</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15,0 %</w:t>
            </w:r>
          </w:p>
        </w:tc>
      </w:tr>
      <w:tr>
        <w:trPr>
          <w:cantSplit/>
        </w:trPr>
        <w:tc>
          <w:tcPr>
            <w:shd w:val="clear" w:color="auto" w:fill="F6F8F7"/>
          </w:tcPr>
          <w:p>
            <w:pPr>
              <w:pStyle w:val="Compact"/>
              <w:jc w:val="left"/>
            </w:pPr>
            <w:r>
              <w:rPr>
                <w:sz w:val="18"/>
              </w:rPr>
              <w:t xml:space="preserve">Poder judicial</w:t>
            </w:r>
          </w:p>
        </w:tc>
        <w:tc>
          <w:tcPr>
            <w:shd w:val="clear" w:color="auto" w:fill="F6F8F7"/>
          </w:tcPr>
          <w:p>
            <w:pPr>
              <w:pStyle w:val="Compact"/>
              <w:jc w:val="left"/>
            </w:pPr>
            <w:r>
              <w:rPr>
                <w:sz w:val="18"/>
              </w:rPr>
              <w:t xml:space="preserve">La capacidad de integrar el Poder Judicial, medida por la proporción de cargos de juez que tienen juez designado.</w:t>
            </w:r>
          </w:p>
        </w:tc>
        <w:tc>
          <w:tcPr>
            <w:shd w:val="clear" w:color="auto" w:fill="F6F8F7"/>
          </w:tcPr>
          <w:p>
            <w:pPr>
              <w:pStyle w:val="Compact"/>
              <w:jc w:val="left"/>
            </w:pPr>
            <w:r>
              <w:rPr>
                <w:sz w:val="18"/>
              </w:rPr>
              <w:t xml:space="preserve">59,2</w:t>
            </w:r>
          </w:p>
        </w:tc>
        <w:tc>
          <w:tcPr>
            <w:shd w:val="clear" w:color="auto" w:fill="FEF3C7"/>
          </w:tcPr>
          <w:p>
            <w:pPr>
              <w:pStyle w:val="Compact"/>
              <w:jc w:val="center"/>
            </w:pPr>
            <w:r>
              <w:rPr>
                <w:b/>
                <w:sz w:val="18"/>
                <w:color w:val="713F12"/>
              </w:rPr>
              <w:t xml:space="preserve">AMARILLO</w:t>
            </w:r>
          </w:p>
        </w:tc>
        <w:tc>
          <w:tcPr>
            <w:shd w:val="clear" w:color="auto" w:fill="F6F8F7"/>
          </w:tcPr>
          <w:p>
            <w:pPr>
              <w:pStyle w:val="Compact"/>
              <w:jc w:val="left"/>
            </w:pPr>
            <w:r>
              <w:rPr>
                <w:sz w:val="18"/>
              </w:rPr>
              <w:t xml:space="preserve">15,0 %</w:t>
            </w:r>
          </w:p>
        </w:tc>
      </w:tr>
      <w:tr>
        <w:trPr>
          <w:cantSplit/>
        </w:trPr>
        <w:tc>
          <w:p>
            <w:pPr>
              <w:pStyle w:val="Compact"/>
              <w:jc w:val="left"/>
            </w:pPr>
            <w:r>
              <w:rPr>
                <w:sz w:val="18"/>
              </w:rPr>
              <w:t xml:space="preserve">Sector privado</w:t>
            </w:r>
          </w:p>
        </w:tc>
        <w:tc>
          <w:p>
            <w:pPr>
              <w:pStyle w:val="Compact"/>
              <w:jc w:val="left"/>
            </w:pPr>
            <w:r>
              <w:rPr>
                <w:sz w:val="18"/>
              </w:rPr>
              <w:t xml:space="preserve">La relación con los empresarios, medida por la diferencia entre lo que esperan las constructoras que trabajan para el Estado y lo que esperan sus pares que trabajan…</w:t>
            </w:r>
          </w:p>
        </w:tc>
        <w:tc>
          <w:p>
            <w:pPr>
              <w:pStyle w:val="Compact"/>
              <w:jc w:val="left"/>
            </w:pPr>
            <w:r>
              <w:rPr>
                <w:sz w:val="18"/>
              </w:rPr>
              <w:t xml:space="preserve">54,2</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13,0 %</w:t>
            </w:r>
          </w:p>
        </w:tc>
      </w:tr>
      <w:tr>
        <w:trPr>
          <w:cantSplit/>
        </w:trPr>
        <w:tc>
          <w:tcPr>
            <w:shd w:val="clear" w:color="auto" w:fill="F6F8F7"/>
          </w:tcPr>
          <w:p>
            <w:pPr>
              <w:pStyle w:val="Compact"/>
              <w:jc w:val="left"/>
            </w:pPr>
            <w:r>
              <w:rPr>
                <w:sz w:val="18"/>
              </w:rPr>
              <w:t xml:space="preserve">Conflicto social</w:t>
            </w:r>
          </w:p>
        </w:tc>
        <w:tc>
          <w:tcPr>
            <w:shd w:val="clear" w:color="auto" w:fill="F6F8F7"/>
          </w:tcPr>
          <w:p>
            <w:pPr>
              <w:pStyle w:val="Compact"/>
              <w:jc w:val="left"/>
            </w:pPr>
            <w:r>
              <w:rPr>
                <w:sz w:val="18"/>
              </w:rPr>
              <w:t xml:space="preserve">La conflictividad social que el gobierno tiene que administrar.</w:t>
            </w:r>
          </w:p>
        </w:tc>
        <w:tc>
          <w:tcPr>
            <w:shd w:val="clear" w:color="auto" w:fill="F6F8F7"/>
          </w:tcPr>
          <w:p>
            <w:pPr>
              <w:pStyle w:val="Compact"/>
              <w:jc w:val="left"/>
            </w:pPr>
            <w:r>
              <w:rPr>
                <w:sz w:val="18"/>
              </w:rPr>
              <w:t xml:space="preserve">48,9</w:t>
            </w:r>
          </w:p>
        </w:tc>
        <w:tc>
          <w:tcPr>
            <w:shd w:val="clear" w:color="auto" w:fill="FEF3C7"/>
          </w:tcPr>
          <w:p>
            <w:pPr>
              <w:pStyle w:val="Compact"/>
              <w:jc w:val="center"/>
            </w:pPr>
            <w:r>
              <w:rPr>
                <w:b/>
                <w:sz w:val="18"/>
                <w:color w:val="713F12"/>
              </w:rPr>
              <w:t xml:space="preserve">AMARILLO</w:t>
            </w:r>
          </w:p>
        </w:tc>
        <w:tc>
          <w:tcPr>
            <w:shd w:val="clear" w:color="auto" w:fill="F6F8F7"/>
          </w:tcPr>
          <w:p>
            <w:pPr>
              <w:pStyle w:val="Compact"/>
              <w:jc w:val="left"/>
            </w:pPr>
            <w:r>
              <w:rPr>
                <w:sz w:val="18"/>
              </w:rPr>
              <w:t xml:space="preserve">10,0 %</w:t>
            </w:r>
          </w:p>
        </w:tc>
      </w:tr>
      <w:tr>
        <w:trPr>
          <w:cantSplit/>
        </w:trPr>
        <w:tc>
          <w:p>
            <w:pPr>
              <w:pStyle w:val="Compact"/>
              <w:jc w:val="left"/>
            </w:pPr>
            <w:r>
              <w:rPr>
                <w:sz w:val="18"/>
              </w:rPr>
              <w:t xml:space="preserve">Imagen y voto</w:t>
            </w:r>
          </w:p>
        </w:tc>
        <w:tc>
          <w:p>
            <w:pPr>
              <w:pStyle w:val="Compact"/>
              <w:jc w:val="left"/>
            </w:pPr>
            <w:r>
              <w:rPr>
                <w:sz w:val="18"/>
              </w:rPr>
              <w:t xml:space="preserve">La ventaja electoral medida en las encuestas: la brecha de intención de voto entre La Libertad Avanza y el peronismo.</w:t>
            </w:r>
          </w:p>
        </w:tc>
        <w:tc>
          <w:p>
            <w:pPr>
              <w:pStyle w:val="Compact"/>
              <w:jc w:val="left"/>
            </w:pPr>
            <w:r>
              <w:rPr>
                <w:sz w:val="18"/>
              </w:rPr>
              <w:t xml:space="preserve">73,0</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7,0 %</w:t>
            </w:r>
          </w:p>
        </w:tc>
      </w:tr>
    </w:tbl>
    <w:p>
      <w:r>
        <w:br w:type="page"/>
      </w:r>
    </w:p>
    <w:p>
      <w:pPr>
        <w:pStyle w:val="BodyText"/>
      </w:pPr>
      <w:r>
        <w:rPr>
          <w:bCs/>
          <w:b/>
        </w:rPr>
        <w:t xml:space="preserve">CIGOB · INFORME DE COYUNTURA</w:t>
      </w:r>
    </w:p>
    <w:bookmarkEnd w:id="22"/>
    <w:bookmarkStart w:id="23" w:name="todos-los-indicadores"/>
    <w:p>
      <w:pPr>
        <w:pStyle w:val="Heading2"/>
        <w:keepNext/>
      </w:pPr>
      <w:r>
        <w:t xml:space="preserve">Todos los indicadores</w:t>
      </w:r>
    </w:p>
    <w:p>
      <w:pPr>
        <w:pStyle w:val="FirstParagraph"/>
      </w:pPr>
      <w:r>
        <w:t xml:space="preserve">Agrupados por dimensión. La columna de peso dice cuánto mueve cada indicador el índice del cinturón; el color es el del semáforo de este mes.</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584"/>
        <w:gridCol w:w="1584"/>
        <w:gridCol w:w="1584"/>
        <w:gridCol w:w="1584"/>
        <w:gridCol w:w="1584"/>
      </w:tblGrid>
      <w:tr>
        <w:trPr>
          <w:cantSplit/>
          <w:tblHeader/>
        </w:trPr>
        <w:tc>
          <w:tcPr>
            <w:shd w:val="clear" w:color="auto" w:fill="1F3A34"/>
          </w:tcPr>
          <w:p>
            <w:pPr>
              <w:pStyle w:val="Compact"/>
              <w:jc w:val="left"/>
            </w:pPr>
            <w:r>
              <w:rPr>
                <w:b/>
                <w:sz w:val="18"/>
                <w:color w:val="FFFFFF"/>
              </w:rPr>
              <w:t xml:space="preserve">Indicador</w:t>
            </w:r>
          </w:p>
        </w:tc>
        <w:tc>
          <w:tcPr>
            <w:shd w:val="clear" w:color="auto" w:fill="1F3A34"/>
          </w:tcPr>
          <w:p>
            <w:pPr>
              <w:pStyle w:val="Compact"/>
              <w:jc w:val="left"/>
            </w:pPr>
            <w:r>
              <w:rPr>
                <w:b/>
                <w:sz w:val="18"/>
                <w:color w:val="FFFFFF"/>
              </w:rPr>
              <w:t xml:space="preserve">Qué mide</w:t>
            </w:r>
          </w:p>
        </w:tc>
        <w:tc>
          <w:tcPr>
            <w:shd w:val="clear" w:color="auto" w:fill="1F3A34"/>
          </w:tcPr>
          <w:p>
            <w:pPr>
              <w:pStyle w:val="Compact"/>
              <w:jc w:val="left"/>
            </w:pPr>
            <w:r>
              <w:rPr>
                <w:b/>
                <w:sz w:val="18"/>
                <w:color w:val="FFFFFF"/>
              </w:rPr>
              <w:t xml:space="preserve">Hoy</w:t>
            </w:r>
          </w:p>
        </w:tc>
        <w:tc>
          <w:tcPr>
            <w:shd w:val="clear" w:color="auto" w:fill="1F3A34"/>
          </w:tcPr>
          <w:p>
            <w:pPr>
              <w:pStyle w:val="Compact"/>
              <w:jc w:val="left"/>
            </w:pPr>
            <w:r>
              <w:rPr>
                <w:b/>
                <w:sz w:val="18"/>
                <w:color w:val="FFFFFF"/>
              </w:rPr>
              <w:t xml:space="preserve">Color</w:t>
            </w:r>
          </w:p>
        </w:tc>
        <w:tc>
          <w:tcPr>
            <w:shd w:val="clear" w:color="auto" w:fill="1F3A34"/>
          </w:tcPr>
          <w:p>
            <w:pPr>
              <w:pStyle w:val="Compact"/>
              <w:jc w:val="left"/>
            </w:pPr>
            <w:r>
              <w:rPr>
                <w:b/>
                <w:sz w:val="18"/>
                <w:color w:val="FFFFFF"/>
              </w:rPr>
              <w:t xml:space="preserve">Peso en el ITCP</w:t>
            </w:r>
          </w:p>
        </w:tc>
      </w:tr>
      <w:tr>
        <w:trPr>
          <w:cantSplit/>
        </w:trPr>
        <w:tc>
          <w:tcPr>
            <w:gridSpan w:val="5"/>
            <w:shd w:val="clear" w:color="auto" w:fill="E8EDEB"/>
          </w:tcPr>
          <w:p>
            <w:pPr>
              <w:pStyle w:val="Compact"/>
              <w:jc w:val="left"/>
              <w:keepNext/>
            </w:pPr>
            <w:r>
              <w:rPr>
                <w:b/>
                <w:sz w:val="18"/>
              </w:rPr>
              <w:t>Poder legislativo</w:t>
            </w:r>
          </w:p>
        </w:tc>
      </w:tr>
      <w:tr>
        <w:trPr>
          <w:cantSplit/>
        </w:trPr>
        <w:tc>
          <w:tcPr>
            <w:shd w:val="clear" w:color="auto" w:fill="F6F8F7"/>
          </w:tcPr>
          <w:p>
            <w:pPr>
              <w:pStyle w:val="Compact"/>
              <w:jc w:val="left"/>
            </w:pPr>
            <w:r>
              <w:rPr>
                <w:sz w:val="18"/>
              </w:rPr>
              <w:t xml:space="preserve">Ratio DNU / leyes</w:t>
            </w:r>
          </w:p>
        </w:tc>
        <w:tc>
          <w:tcPr>
            <w:shd w:val="clear" w:color="auto" w:fill="F6F8F7"/>
          </w:tcPr>
          <w:p>
            <w:pPr>
              <w:pStyle w:val="Compact"/>
              <w:jc w:val="left"/>
            </w:pPr>
            <w:r>
              <w:rPr>
                <w:sz w:val="18"/>
              </w:rPr>
              <w:t xml:space="preserve">Cuántos Decretos de Necesidad y Urgencia se dictan por cada ley sancionada, en los últimos 12 meses.</w:t>
            </w:r>
          </w:p>
        </w:tc>
        <w:tc>
          <w:tcPr>
            <w:shd w:val="clear" w:color="auto" w:fill="F6F8F7"/>
          </w:tcPr>
          <w:p>
            <w:pPr>
              <w:pStyle w:val="Compact"/>
              <w:jc w:val="left"/>
            </w:pPr>
            <w:r>
              <w:rPr>
                <w:sz w:val="18"/>
              </w:rPr>
              <w:t xml:space="preserve">1,92 DNUs por ley</w:t>
            </w:r>
          </w:p>
        </w:tc>
        <w:tc>
          <w:tcPr>
            <w:shd w:val="clear" w:color="auto" w:fill="FEE2E2"/>
          </w:tcPr>
          <w:p>
            <w:pPr>
              <w:pStyle w:val="Compact"/>
              <w:jc w:val="center"/>
            </w:pPr>
            <w:r>
              <w:rPr>
                <w:b/>
                <w:sz w:val="18"/>
                <w:color w:val="7F1D1D"/>
              </w:rPr>
              <w:t xml:space="preserve">ROJO</w:t>
            </w:r>
          </w:p>
        </w:tc>
        <w:tc>
          <w:tcPr>
            <w:shd w:val="clear" w:color="auto" w:fill="F6F8F7"/>
          </w:tcPr>
          <w:p>
            <w:pPr>
              <w:pStyle w:val="Compact"/>
              <w:jc w:val="left"/>
            </w:pPr>
            <w:r>
              <w:rPr>
                <w:sz w:val="18"/>
              </w:rPr>
              <w:t xml:space="preserve">4,2 %</w:t>
            </w:r>
          </w:p>
        </w:tc>
      </w:tr>
      <w:tr>
        <w:trPr>
          <w:cantSplit/>
        </w:trPr>
        <w:tc>
          <w:p>
            <w:pPr>
              <w:pStyle w:val="Compact"/>
              <w:jc w:val="left"/>
            </w:pPr>
            <w:r>
              <w:rPr>
                <w:sz w:val="18"/>
              </w:rPr>
              <w:t xml:space="preserve">Eficacia parlamentaria</w:t>
            </w:r>
          </w:p>
        </w:tc>
        <w:tc>
          <w:p>
            <w:pPr>
              <w:pStyle w:val="Compact"/>
              <w:jc w:val="left"/>
            </w:pPr>
            <w:r>
              <w:rPr>
                <w:sz w:val="18"/>
              </w:rPr>
              <w:t xml:space="preserve">Qué porcentaje de los proyectos que envía el Ejecutivo el Congreso termina aprobando, contados recién a partir de que…</w:t>
            </w:r>
          </w:p>
        </w:tc>
        <w:tc>
          <w:p>
            <w:pPr>
              <w:pStyle w:val="Compact"/>
              <w:jc w:val="left"/>
            </w:pPr>
            <w:r>
              <w:rPr>
                <w:sz w:val="18"/>
              </w:rPr>
              <w:t xml:space="preserve">15,4 % de proyectos</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5,7 %</w:t>
            </w:r>
          </w:p>
        </w:tc>
      </w:tr>
      <w:tr>
        <w:trPr>
          <w:cantSplit/>
        </w:trPr>
        <w:tc>
          <w:tcPr>
            <w:shd w:val="clear" w:color="auto" w:fill="F6F8F7"/>
          </w:tcPr>
          <w:p>
            <w:pPr>
              <w:pStyle w:val="Compact"/>
              <w:jc w:val="left"/>
            </w:pPr>
            <w:r>
              <w:rPr>
                <w:sz w:val="18"/>
              </w:rPr>
              <w:t xml:space="preserve">Sesiones caídas por falta de quórum</w:t>
            </w:r>
          </w:p>
        </w:tc>
        <w:tc>
          <w:tcPr>
            <w:shd w:val="clear" w:color="auto" w:fill="F6F8F7"/>
          </w:tcPr>
          <w:p>
            <w:pPr>
              <w:pStyle w:val="Compact"/>
              <w:jc w:val="left"/>
            </w:pPr>
            <w:r>
              <w:rPr>
                <w:sz w:val="18"/>
              </w:rPr>
              <w:t xml:space="preserve">Qué porcentaje de las sesiones convocadas en Diputados para tratar temas queda en minoría, es decir, no reúne el quórum…</w:t>
            </w:r>
          </w:p>
        </w:tc>
        <w:tc>
          <w:tcPr>
            <w:shd w:val="clear" w:color="auto" w:fill="F6F8F7"/>
          </w:tcPr>
          <w:p>
            <w:pPr>
              <w:pStyle w:val="Compact"/>
              <w:jc w:val="left"/>
            </w:pPr>
            <w:r>
              <w:rPr>
                <w:sz w:val="18"/>
              </w:rPr>
              <w:t xml:space="preserve">10 % de sesiones</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2,7 %</w:t>
            </w:r>
          </w:p>
        </w:tc>
      </w:tr>
      <w:tr>
        <w:trPr>
          <w:cantSplit/>
        </w:trPr>
        <w:tc>
          <w:p>
            <w:pPr>
              <w:pStyle w:val="Compact"/>
              <w:jc w:val="left"/>
            </w:pPr>
            <w:r>
              <w:rPr>
                <w:sz w:val="18"/>
              </w:rPr>
              <w:t xml:space="preserve">Bloqueo legislativo sostenido</w:t>
            </w:r>
          </w:p>
        </w:tc>
        <w:tc>
          <w:p>
            <w:pPr>
              <w:pStyle w:val="Compact"/>
              <w:jc w:val="left"/>
            </w:pPr>
            <w:r>
              <w:rPr>
                <w:sz w:val="18"/>
              </w:rPr>
              <w:t xml:space="preserve">De las normas del Ejecutivo que el Congreso desafió en el recinto en los últimos 12 meses (vetos cuya insistencia se…</w:t>
            </w:r>
          </w:p>
        </w:tc>
        <w:tc>
          <w:p>
            <w:pPr>
              <w:pStyle w:val="Compact"/>
              <w:jc w:val="left"/>
            </w:pPr>
            <w:r>
              <w:rPr>
                <w:sz w:val="18"/>
              </w:rPr>
              <w:t xml:space="preserve">33,3 % de normas desafiadas en el recinto que siguen en pie, últimos 12 meses</w:t>
            </w:r>
          </w:p>
        </w:tc>
        <w:tc>
          <w:tcPr>
            <w:shd w:val="clear" w:color="auto" w:fill="FFEDD5"/>
          </w:tcPr>
          <w:p>
            <w:pPr>
              <w:pStyle w:val="Compact"/>
              <w:jc w:val="center"/>
            </w:pPr>
            <w:r>
              <w:rPr>
                <w:b/>
                <w:sz w:val="18"/>
                <w:color w:val="7C2D12"/>
              </w:rPr>
              <w:t xml:space="preserve">NARANJA</w:t>
            </w:r>
          </w:p>
        </w:tc>
        <w:tc>
          <w:p>
            <w:pPr>
              <w:pStyle w:val="Compact"/>
              <w:jc w:val="left"/>
            </w:pPr>
            <w:r>
              <w:rPr>
                <w:sz w:val="18"/>
              </w:rPr>
              <w:t xml:space="preserve">2,5 %</w:t>
            </w:r>
          </w:p>
        </w:tc>
      </w:tr>
      <w:tr>
        <w:trPr>
          <w:cantSplit/>
        </w:trPr>
        <w:tc>
          <w:tcPr>
            <w:shd w:val="clear" w:color="auto" w:fill="F6F8F7"/>
          </w:tcPr>
          <w:p>
            <w:pPr>
              <w:pStyle w:val="Compact"/>
              <w:jc w:val="left"/>
            </w:pPr>
            <w:r>
              <w:rPr>
                <w:sz w:val="18"/>
              </w:rPr>
              <w:t xml:space="preserve">Normas desafiadas en el recinto</w:t>
            </w:r>
          </w:p>
        </w:tc>
        <w:tc>
          <w:tcPr>
            <w:shd w:val="clear" w:color="auto" w:fill="F6F8F7"/>
          </w:tcPr>
          <w:p>
            <w:pPr>
              <w:pStyle w:val="Compact"/>
              <w:jc w:val="left"/>
            </w:pPr>
            <w:r>
              <w:rPr>
                <w:sz w:val="18"/>
              </w:rPr>
              <w:t xml:space="preserve">Cuántas normas propias del Gobierno fueron puestas en discusión en el recinto durante los últimos doce meses.</w:t>
            </w:r>
          </w:p>
        </w:tc>
        <w:tc>
          <w:tcPr>
            <w:shd w:val="clear" w:color="auto" w:fill="F6F8F7"/>
          </w:tcPr>
          <w:p>
            <w:pPr>
              <w:pStyle w:val="Compact"/>
              <w:jc w:val="left"/>
            </w:pPr>
            <w:r>
              <w:rPr>
                <w:sz w:val="18"/>
              </w:rPr>
              <w:t xml:space="preserve">3 normas del Ejecutivo desafiadas en el recinto, últimos 12 meses</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2,7 %</w:t>
            </w:r>
          </w:p>
        </w:tc>
      </w:tr>
      <w:tr>
        <w:trPr>
          <w:cantSplit/>
        </w:trPr>
        <w:tc>
          <w:p>
            <w:pPr>
              <w:pStyle w:val="Compact"/>
              <w:jc w:val="left"/>
            </w:pPr>
            <w:r>
              <w:rPr>
                <w:sz w:val="18"/>
              </w:rPr>
              <w:t xml:space="preserve">Producción legislativa del Congreso</w:t>
            </w:r>
          </w:p>
        </w:tc>
        <w:tc>
          <w:p>
            <w:pPr>
              <w:pStyle w:val="Compact"/>
              <w:jc w:val="left"/>
            </w:pPr>
            <w:r>
              <w:rPr>
                <w:sz w:val="18"/>
              </w:rPr>
              <w:t xml:space="preserve">Cuántas leyes sancionó el Congreso en los últimos doce meses, sin distinguir de quién nació cada proyecto.</w:t>
            </w:r>
          </w:p>
        </w:tc>
        <w:tc>
          <w:p>
            <w:pPr>
              <w:pStyle w:val="Compact"/>
              <w:jc w:val="left"/>
            </w:pPr>
            <w:r>
              <w:rPr>
                <w:sz w:val="18"/>
              </w:rPr>
              <w:t xml:space="preserve">25 leyes sancionadas (12m)</w:t>
            </w:r>
          </w:p>
        </w:tc>
        <w:tc>
          <w:tcPr>
            <w:shd w:val="clear" w:color="auto" w:fill="FFEDD5"/>
          </w:tcPr>
          <w:p>
            <w:pPr>
              <w:pStyle w:val="Compact"/>
              <w:jc w:val="center"/>
            </w:pPr>
            <w:r>
              <w:rPr>
                <w:b/>
                <w:sz w:val="18"/>
                <w:color w:val="7C2D12"/>
              </w:rPr>
              <w:t xml:space="preserve">NARANJA</w:t>
            </w:r>
          </w:p>
        </w:tc>
        <w:tc>
          <w:p>
            <w:pPr>
              <w:pStyle w:val="Compact"/>
              <w:jc w:val="left"/>
            </w:pPr>
            <w:r>
              <w:rPr>
                <w:sz w:val="18"/>
              </w:rPr>
              <w:t xml:space="preserve">3,1 %</w:t>
            </w:r>
          </w:p>
        </w:tc>
      </w:tr>
      <w:tr>
        <w:trPr>
          <w:cantSplit/>
        </w:trPr>
        <w:tc>
          <w:tcPr>
            <w:gridSpan w:val="5"/>
            <w:shd w:val="clear" w:color="auto" w:fill="E8EDEB"/>
          </w:tcPr>
          <w:p>
            <w:pPr>
              <w:pStyle w:val="Compact"/>
              <w:jc w:val="left"/>
              <w:keepNext/>
            </w:pPr>
            <w:r>
              <w:rPr>
                <w:b/>
                <w:sz w:val="18"/>
              </w:rPr>
              <w:t>Alianzas territoriales</w:t>
            </w:r>
          </w:p>
        </w:tc>
      </w:tr>
      <w:tr>
        <w:trPr>
          <w:cantSplit/>
        </w:trPr>
        <w:tc>
          <w:p>
            <w:pPr>
              <w:pStyle w:val="Compact"/>
              <w:jc w:val="left"/>
            </w:pPr>
            <w:r>
              <w:rPr>
                <w:sz w:val="18"/>
              </w:rPr>
              <w:t xml:space="preserve">Armonía federal (transferencias)</w:t>
            </w:r>
          </w:p>
        </w:tc>
        <w:tc>
          <w:p>
            <w:pPr>
              <w:pStyle w:val="Compact"/>
              <w:jc w:val="left"/>
            </w:pPr>
            <w:r>
              <w:rPr>
                <w:sz w:val="18"/>
              </w:rPr>
              <w:t xml:space="preserve">Cuánto varían, en términos reales, las transferencias del Estado nacional a las provincias.</w:t>
            </w:r>
          </w:p>
        </w:tc>
        <w:tc>
          <w:p>
            <w:pPr>
              <w:pStyle w:val="Compact"/>
              <w:jc w:val="left"/>
            </w:pPr>
            <w:r>
              <w:rPr>
                <w:sz w:val="18"/>
              </w:rPr>
              <w:t xml:space="preserve">0,8 % interanual real</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7,6 %</w:t>
            </w:r>
          </w:p>
        </w:tc>
      </w:tr>
      <w:tr>
        <w:trPr>
          <w:cantSplit/>
        </w:trPr>
        <w:tc>
          <w:tcPr>
            <w:shd w:val="clear" w:color="auto" w:fill="F6F8F7"/>
          </w:tcPr>
          <w:p>
            <w:pPr>
              <w:pStyle w:val="Compact"/>
              <w:jc w:val="left"/>
            </w:pPr>
            <w:r>
              <w:rPr>
                <w:sz w:val="18"/>
              </w:rPr>
              <w:t xml:space="preserve">Adhesión provincial al RIGI</w:t>
            </w:r>
          </w:p>
        </w:tc>
        <w:tc>
          <w:tcPr>
            <w:shd w:val="clear" w:color="auto" w:fill="F6F8F7"/>
          </w:tcPr>
          <w:p>
            <w:pPr>
              <w:pStyle w:val="Compact"/>
              <w:jc w:val="left"/>
            </w:pPr>
            <w:r>
              <w:rPr>
                <w:sz w:val="18"/>
              </w:rPr>
              <w:t xml:space="preserve">Cuántas de las 24 jurisdicciones del país (23 provincias y la Ciudad de Buenos Aires) figuran adheridas al Régimen de…</w:t>
            </w:r>
          </w:p>
        </w:tc>
        <w:tc>
          <w:tcPr>
            <w:shd w:val="clear" w:color="auto" w:fill="F6F8F7"/>
          </w:tcPr>
          <w:p>
            <w:pPr>
              <w:pStyle w:val="Compact"/>
              <w:jc w:val="left"/>
            </w:pPr>
            <w:r>
              <w:rPr>
                <w:sz w:val="18"/>
              </w:rPr>
              <w:t xml:space="preserve">66,7 % de jurisdicciones (sobre 24) adheridas al RIGI</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5,7 %</w:t>
            </w:r>
          </w:p>
        </w:tc>
      </w:tr>
      <w:tr>
        <w:trPr>
          <w:cantSplit/>
        </w:trPr>
        <w:tc>
          <w:p>
            <w:pPr>
              <w:pStyle w:val="Compact"/>
              <w:jc w:val="left"/>
            </w:pPr>
            <w:r>
              <w:rPr>
                <w:sz w:val="18"/>
              </w:rPr>
              <w:t xml:space="preserve">Alineamiento de senadores por provincia</w:t>
            </w:r>
          </w:p>
        </w:tc>
        <w:tc>
          <w:p>
            <w:pPr>
              <w:pStyle w:val="Compact"/>
              <w:jc w:val="left"/>
            </w:pPr>
            <w:r>
              <w:rPr>
                <w:sz w:val="18"/>
              </w:rPr>
              <w:t xml:space="preserve">Qué porcentaje de los votos de senadores no alineados con el oficialismo (La Libertad Avanza) coincide con la posición…</w:t>
            </w:r>
          </w:p>
        </w:tc>
        <w:tc>
          <w:p>
            <w:pPr>
              <w:pStyle w:val="Compact"/>
              <w:jc w:val="left"/>
            </w:pPr>
            <w:r>
              <w:rPr>
                <w:sz w:val="18"/>
              </w:rPr>
              <w:t xml:space="preserve">60,1 % votos de senadores no-LLA alineados con LLA, por provincia</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5,7 %</w:t>
            </w:r>
          </w:p>
        </w:tc>
      </w:tr>
      <w:tr>
        <w:trPr>
          <w:cantSplit/>
        </w:trPr>
        <w:tc>
          <w:tcPr>
            <w:gridSpan w:val="5"/>
            <w:shd w:val="clear" w:color="auto" w:fill="E8EDEB"/>
          </w:tcPr>
          <w:p>
            <w:pPr>
              <w:pStyle w:val="Compact"/>
              <w:jc w:val="left"/>
              <w:keepNext/>
            </w:pPr>
            <w:r>
              <w:rPr>
                <w:b/>
                <w:sz w:val="18"/>
              </w:rPr>
              <w:t>Cohesión interna del oficialismo</w:t>
            </w:r>
          </w:p>
        </w:tc>
      </w:tr>
      <w:tr>
        <w:trPr>
          <w:cantSplit/>
        </w:trPr>
        <w:tc>
          <w:p>
            <w:pPr>
              <w:pStyle w:val="Compact"/>
              <w:jc w:val="left"/>
            </w:pPr>
            <w:r>
              <w:rPr>
                <w:sz w:val="18"/>
              </w:rPr>
              <w:t xml:space="preserve">Cohesión del bloque LLA (bicameral)</w:t>
            </w:r>
          </w:p>
        </w:tc>
        <w:tc>
          <w:p>
            <w:pPr>
              <w:pStyle w:val="Compact"/>
              <w:jc w:val="left"/>
            </w:pPr>
            <w:r>
              <w:rPr>
                <w:sz w:val="18"/>
              </w:rPr>
              <w:t xml:space="preserve">Qué tan parejo vota puertas adentro el bloque propio de LLA en las votaciones divididas de los últimos 90 días de ambas…</w:t>
            </w:r>
          </w:p>
        </w:tc>
        <w:tc>
          <w:p>
            <w:pPr>
              <w:pStyle w:val="Compact"/>
              <w:jc w:val="left"/>
            </w:pPr>
            <w:r>
              <w:rPr>
                <w:sz w:val="18"/>
              </w:rPr>
              <w:t xml:space="preserve">99,8 % cohesión (índice de Rice bicameral: Diputados 65% + Senado 35%, promedio actas divididas últimos 90 días)</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15,0 %</w:t>
            </w:r>
          </w:p>
        </w:tc>
      </w:tr>
      <w:tr>
        <w:trPr>
          <w:cantSplit/>
        </w:trPr>
        <w:tc>
          <w:tcPr>
            <w:gridSpan w:val="5"/>
            <w:shd w:val="clear" w:color="auto" w:fill="E8EDEB"/>
          </w:tcPr>
          <w:p>
            <w:pPr>
              <w:pStyle w:val="Compact"/>
              <w:jc w:val="left"/>
              <w:keepNext/>
            </w:pPr>
            <w:r>
              <w:rPr>
                <w:b/>
                <w:sz w:val="18"/>
              </w:rPr>
              <w:t>Poder judicial</w:t>
            </w:r>
          </w:p>
        </w:tc>
      </w:tr>
      <w:tr>
        <w:trPr>
          <w:cantSplit/>
        </w:trPr>
        <w:tc>
          <w:p>
            <w:pPr>
              <w:pStyle w:val="Compact"/>
              <w:jc w:val="left"/>
            </w:pPr>
            <w:r>
              <w:rPr>
                <w:sz w:val="18"/>
              </w:rPr>
              <w:t xml:space="preserve">Judicialización de la agenda</w:t>
            </w:r>
          </w:p>
        </w:tc>
        <w:tc>
          <w:p>
            <w:pPr>
              <w:pStyle w:val="Compact"/>
              <w:jc w:val="left"/>
            </w:pPr>
            <w:r>
              <w:rPr>
                <w:sz w:val="18"/>
              </w:rPr>
              <w:t xml:space="preserve">Qué porcentaje de los fallos publicados en jurisdicción federal y nacional involucra una medida cautelar.</w:t>
            </w:r>
          </w:p>
        </w:tc>
        <w:tc>
          <w:p>
            <w:pPr>
              <w:pStyle w:val="Compact"/>
              <w:jc w:val="left"/>
            </w:pPr>
            <w:r>
              <w:rPr>
                <w:sz w:val="18"/>
              </w:rPr>
              <w:t xml:space="preserve">1,75 % de sumarios con medida cautelar</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3,0 %</w:t>
            </w:r>
          </w:p>
        </w:tc>
      </w:tr>
      <w:tr>
        <w:trPr>
          <w:cantSplit/>
        </w:trPr>
        <w:tc>
          <w:tcPr>
            <w:shd w:val="clear" w:color="auto" w:fill="F6F8F7"/>
          </w:tcPr>
          <w:p>
            <w:pPr>
              <w:pStyle w:val="Compact"/>
              <w:jc w:val="left"/>
            </w:pPr>
            <w:r>
              <w:rPr>
                <w:sz w:val="18"/>
              </w:rPr>
              <w:t xml:space="preserve">Velocidad de resolución de la Corte</w:t>
            </w:r>
          </w:p>
        </w:tc>
        <w:tc>
          <w:tcPr>
            <w:shd w:val="clear" w:color="auto" w:fill="F6F8F7"/>
          </w:tcPr>
          <w:p>
            <w:pPr>
              <w:pStyle w:val="Compact"/>
              <w:jc w:val="left"/>
            </w:pPr>
            <w:r>
              <w:rPr>
                <w:sz w:val="18"/>
              </w:rPr>
              <w:t xml:space="preserve">Cuántos expedientes resuelve la Corte Suprema en un año, en proporción a los que le ingresan.</w:t>
            </w:r>
          </w:p>
        </w:tc>
        <w:tc>
          <w:tcPr>
            <w:shd w:val="clear" w:color="auto" w:fill="F6F8F7"/>
          </w:tcPr>
          <w:p>
            <w:pPr>
              <w:pStyle w:val="Compact"/>
              <w:jc w:val="left"/>
            </w:pPr>
            <w:r>
              <w:rPr>
                <w:sz w:val="18"/>
              </w:rPr>
              <w:t xml:space="preserve">45,4 % de expedientes resueltos sobre ingresados</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3,0 %</w:t>
            </w:r>
          </w:p>
        </w:tc>
      </w:tr>
      <w:tr>
        <w:trPr>
          <w:cantSplit/>
        </w:trPr>
        <w:tc>
          <w:p>
            <w:pPr>
              <w:pStyle w:val="Compact"/>
              <w:jc w:val="left"/>
            </w:pPr>
            <w:r>
              <w:rPr>
                <w:sz w:val="18"/>
              </w:rPr>
              <w:t xml:space="preserve">Actividad de las comisiones de control</w:t>
            </w:r>
          </w:p>
        </w:tc>
        <w:tc>
          <w:p>
            <w:pPr>
              <w:pStyle w:val="Compact"/>
              <w:jc w:val="left"/>
            </w:pPr>
            <w:r>
              <w:rPr>
                <w:sz w:val="18"/>
              </w:rPr>
              <w:t xml:space="preserve">Cuántas veces sesionaron en los últimos doce meses las dos comisiones del Consejo de la Magistratura que tramitan las…</w:t>
            </w:r>
          </w:p>
        </w:tc>
        <w:tc>
          <w:p>
            <w:pPr>
              <w:pStyle w:val="Compact"/>
              <w:jc w:val="left"/>
            </w:pPr>
            <w:r>
              <w:rPr>
                <w:sz w:val="18"/>
              </w:rPr>
              <w:t xml:space="preserve">6 sesiones de las comisiones de control (12m)</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3,0 %</w:t>
            </w:r>
          </w:p>
        </w:tc>
      </w:tr>
      <w:tr>
        <w:trPr>
          <w:cantSplit/>
        </w:trPr>
        <w:tc>
          <w:tcPr>
            <w:shd w:val="clear" w:color="auto" w:fill="F6F8F7"/>
          </w:tcPr>
          <w:p>
            <w:pPr>
              <w:pStyle w:val="Compact"/>
              <w:jc w:val="left"/>
            </w:pPr>
            <w:r>
              <w:rPr>
                <w:sz w:val="18"/>
              </w:rPr>
              <w:t xml:space="preserve">Cobertura de cargos judiciales</w:t>
            </w:r>
          </w:p>
        </w:tc>
        <w:tc>
          <w:tcPr>
            <w:shd w:val="clear" w:color="auto" w:fill="F6F8F7"/>
          </w:tcPr>
          <w:p>
            <w:pPr>
              <w:pStyle w:val="Compact"/>
              <w:jc w:val="left"/>
            </w:pPr>
            <w:r>
              <w:rPr>
                <w:sz w:val="18"/>
              </w:rPr>
              <w:t xml:space="preserve">Qué porcentaje de los cargos de juez de la justicia federal y nacional tiene juez designado.</w:t>
            </w:r>
          </w:p>
        </w:tc>
        <w:tc>
          <w:tcPr>
            <w:shd w:val="clear" w:color="auto" w:fill="F6F8F7"/>
          </w:tcPr>
          <w:p>
            <w:pPr>
              <w:pStyle w:val="Compact"/>
              <w:jc w:val="left"/>
            </w:pPr>
            <w:r>
              <w:rPr>
                <w:sz w:val="18"/>
              </w:rPr>
              <w:t xml:space="preserve">69,63 % de cargos de juez con juez designado</w:t>
            </w:r>
          </w:p>
        </w:tc>
        <w:tc>
          <w:tcPr>
            <w:shd w:val="clear" w:color="auto" w:fill="FEF3C7"/>
          </w:tcPr>
          <w:p>
            <w:pPr>
              <w:pStyle w:val="Compact"/>
              <w:jc w:val="center"/>
            </w:pPr>
            <w:r>
              <w:rPr>
                <w:b/>
                <w:sz w:val="18"/>
                <w:color w:val="713F12"/>
              </w:rPr>
              <w:t xml:space="preserve">AMARILLO</w:t>
            </w:r>
          </w:p>
        </w:tc>
        <w:tc>
          <w:tcPr>
            <w:shd w:val="clear" w:color="auto" w:fill="F6F8F7"/>
          </w:tcPr>
          <w:p>
            <w:pPr>
              <w:pStyle w:val="Compact"/>
              <w:jc w:val="left"/>
            </w:pPr>
            <w:r>
              <w:rPr>
                <w:sz w:val="18"/>
              </w:rPr>
              <w:t xml:space="preserve">6,0 %</w:t>
            </w:r>
          </w:p>
        </w:tc>
      </w:tr>
      <w:tr>
        <w:trPr>
          <w:cantSplit/>
        </w:trPr>
        <w:tc>
          <w:tcPr>
            <w:gridSpan w:val="5"/>
            <w:shd w:val="clear" w:color="auto" w:fill="E8EDEB"/>
          </w:tcPr>
          <w:p>
            <w:pPr>
              <w:pStyle w:val="Compact"/>
              <w:jc w:val="left"/>
              <w:keepNext/>
            </w:pPr>
            <w:r>
              <w:rPr>
                <w:b/>
                <w:sz w:val="18"/>
              </w:rPr>
              <w:t>Sector privado</w:t>
            </w:r>
          </w:p>
        </w:tc>
      </w:tr>
      <w:tr>
        <w:trPr>
          <w:cantSplit/>
        </w:trPr>
        <w:tc>
          <w:tcPr>
            <w:shd w:val="clear" w:color="auto" w:fill="F6F8F7"/>
          </w:tcPr>
          <w:p>
            <w:pPr>
              <w:pStyle w:val="Compact"/>
              <w:jc w:val="left"/>
            </w:pPr>
            <w:r>
              <w:rPr>
                <w:sz w:val="18"/>
              </w:rPr>
              <w:t xml:space="preserve">Brecha de expectativas: obra pública vs. privada</w:t>
            </w:r>
          </w:p>
        </w:tc>
        <w:tc>
          <w:tcPr>
            <w:shd w:val="clear" w:color="auto" w:fill="F6F8F7"/>
          </w:tcPr>
          <w:p>
            <w:pPr>
              <w:pStyle w:val="Compact"/>
              <w:jc w:val="left"/>
            </w:pPr>
            <w:r>
              <w:rPr>
                <w:sz w:val="18"/>
              </w:rPr>
              <w:t xml:space="preserve">La diferencia entre lo que esperan las empresas constructoras que trabajan para el Estado y lo que esperan las que…</w:t>
            </w:r>
          </w:p>
        </w:tc>
        <w:tc>
          <w:tcPr>
            <w:shd w:val="clear" w:color="auto" w:fill="F6F8F7"/>
          </w:tcPr>
          <w:p>
            <w:pPr>
              <w:pStyle w:val="Compact"/>
              <w:jc w:val="left"/>
            </w:pPr>
            <w:r>
              <w:rPr>
                <w:sz w:val="18"/>
              </w:rPr>
              <w:t xml:space="preserve">−1,1 pp de brecha (obra pública − privada, 12m)</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6,5 %</w:t>
            </w:r>
          </w:p>
        </w:tc>
      </w:tr>
      <w:tr>
        <w:trPr>
          <w:cantSplit/>
        </w:trPr>
        <w:tc>
          <w:p>
            <w:pPr>
              <w:pStyle w:val="Compact"/>
              <w:jc w:val="left"/>
            </w:pPr>
            <w:r>
              <w:rPr>
                <w:sz w:val="18"/>
              </w:rPr>
              <w:t xml:space="preserve">Postura pública de las cámaras empresarias</w:t>
            </w:r>
          </w:p>
        </w:tc>
        <w:tc>
          <w:p>
            <w:pPr>
              <w:pStyle w:val="Compact"/>
              <w:jc w:val="left"/>
            </w:pPr>
            <w:r>
              <w:rPr>
                <w:sz w:val="18"/>
              </w:rPr>
              <w:t xml:space="preserve">Qué dicen en público, por escrito y con firma institucional, las dos cámaras empresarias de referencia —la Asociación…</w:t>
            </w:r>
          </w:p>
        </w:tc>
        <w:tc>
          <w:p>
            <w:pPr>
              <w:pStyle w:val="Compact"/>
              <w:jc w:val="left"/>
            </w:pPr>
            <w:r>
              <w:rPr>
                <w:sz w:val="18"/>
              </w:rPr>
              <w:t xml:space="preserve">−0,43 saldo de postura (−1 a +1, 12m móviles)</w:t>
            </w:r>
          </w:p>
        </w:tc>
        <w:tc>
          <w:tcPr>
            <w:shd w:val="clear" w:color="auto" w:fill="FFEDD5"/>
          </w:tcPr>
          <w:p>
            <w:pPr>
              <w:pStyle w:val="Compact"/>
              <w:jc w:val="center"/>
            </w:pPr>
            <w:r>
              <w:rPr>
                <w:b/>
                <w:sz w:val="18"/>
                <w:color w:val="7C2D12"/>
              </w:rPr>
              <w:t xml:space="preserve">NARANJA</w:t>
            </w:r>
          </w:p>
        </w:tc>
        <w:tc>
          <w:p>
            <w:pPr>
              <w:pStyle w:val="Compact"/>
              <w:jc w:val="left"/>
            </w:pPr>
            <w:r>
              <w:rPr>
                <w:sz w:val="18"/>
              </w:rPr>
              <w:t xml:space="preserve">6,5 %</w:t>
            </w:r>
          </w:p>
        </w:tc>
      </w:tr>
      <w:tr>
        <w:trPr>
          <w:cantSplit/>
        </w:trPr>
        <w:tc>
          <w:tcPr>
            <w:gridSpan w:val="5"/>
            <w:shd w:val="clear" w:color="auto" w:fill="E8EDEB"/>
          </w:tcPr>
          <w:p>
            <w:pPr>
              <w:pStyle w:val="Compact"/>
              <w:jc w:val="left"/>
              <w:keepNext/>
            </w:pPr>
            <w:r>
              <w:rPr>
                <w:b/>
                <w:sz w:val="18"/>
              </w:rPr>
              <w:t>Conflicto social</w:t>
            </w:r>
          </w:p>
        </w:tc>
      </w:tr>
      <w:tr>
        <w:trPr>
          <w:cantSplit/>
        </w:trPr>
        <w:tc>
          <w:p>
            <w:pPr>
              <w:pStyle w:val="Compact"/>
              <w:jc w:val="left"/>
            </w:pPr>
            <w:r>
              <w:rPr>
                <w:sz w:val="18"/>
              </w:rPr>
              <w:t xml:space="preserve">Conflictividad social (país)</w:t>
            </w:r>
          </w:p>
        </w:tc>
        <w:tc>
          <w:p>
            <w:pPr>
              <w:pStyle w:val="Compact"/>
              <w:jc w:val="left"/>
            </w:pPr>
            <w:r>
              <w:rPr>
                <w:sz w:val="18"/>
              </w:rPr>
              <w:t xml:space="preserve">Cuántos eventos de protesta y disturbios hubo en todo el país en los últimos 12 meses completos, comparados contra el…</w:t>
            </w:r>
          </w:p>
        </w:tc>
        <w:tc>
          <w:p>
            <w:pPr>
              <w:pStyle w:val="Compact"/>
              <w:jc w:val="left"/>
            </w:pPr>
            <w:r>
              <w:rPr>
                <w:sz w:val="18"/>
              </w:rPr>
              <w:t xml:space="preserve">−23 % vs 2023</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10,0 %</w:t>
            </w:r>
          </w:p>
        </w:tc>
      </w:tr>
      <w:tr>
        <w:trPr>
          <w:cantSplit/>
        </w:trPr>
        <w:tc>
          <w:tcPr>
            <w:gridSpan w:val="5"/>
            <w:shd w:val="clear" w:color="auto" w:fill="E8EDEB"/>
          </w:tcPr>
          <w:p>
            <w:pPr>
              <w:pStyle w:val="Compact"/>
              <w:jc w:val="left"/>
              <w:keepNext/>
            </w:pPr>
            <w:r>
              <w:rPr>
                <w:b/>
                <w:sz w:val="18"/>
              </w:rPr>
              <w:t>Imagen y voto</w:t>
            </w:r>
          </w:p>
        </w:tc>
      </w:tr>
      <w:tr>
        <w:trPr>
          <w:cantSplit/>
        </w:trPr>
        <w:tc>
          <w:p>
            <w:pPr>
              <w:pStyle w:val="Compact"/>
              <w:jc w:val="left"/>
            </w:pPr>
            <w:r>
              <w:rPr>
                <w:sz w:val="18"/>
              </w:rPr>
              <w:t xml:space="preserve">Ventaja LLA−PJ (Votómetro)</w:t>
            </w:r>
          </w:p>
        </w:tc>
        <w:tc>
          <w:p>
            <w:pPr>
              <w:pStyle w:val="Compact"/>
              <w:jc w:val="left"/>
            </w:pPr>
            <w:r>
              <w:rPr>
                <w:sz w:val="18"/>
              </w:rPr>
              <w:t xml:space="preserve">La diferencia de intención de voto entre LLA y el PJ, ponderando las encuestas disponibles.</w:t>
            </w:r>
          </w:p>
        </w:tc>
        <w:tc>
          <w:p>
            <w:pPr>
              <w:pStyle w:val="Compact"/>
              <w:jc w:val="left"/>
            </w:pPr>
            <w:r>
              <w:rPr>
                <w:sz w:val="18"/>
              </w:rPr>
              <w:t xml:space="preserve">4 Puntos porcentuales</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7,0 %</w:t>
            </w:r>
          </w:p>
        </w:tc>
      </w:tr>
    </w:tbl>
    <w:p>
      <w:pPr>
        <w:pStyle w:val="BodyText"/>
      </w:pPr>
      <w:r>
        <w:rPr>
          <w:iCs/>
          <w:i/>
        </w:rPr>
        <w:t xml:space="preserve">Datos al 2026-08-09.</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23"/>
    <w:bookmarkEnd w:id="24"/>
    <w:bookmarkStart w:id="34" w:name="ventaja-llapj-votómetro"/>
    <w:p>
      <w:pPr>
        <w:pStyle w:val="Heading1"/>
        <w:keepNext/>
      </w:pPr>
      <w:r>
        <w:t xml:space="preserve">Ventaja LLA−PJ (Votómetro)</w:t>
      </w:r>
    </w:p>
    <w:p>
      <w:pPr>
        <w:pStyle w:val="FirstParagraph"/>
      </w:pPr>
      <w:r>
        <w:t xml:space="preserve">La diferencia de intención de voto entre LLA y el PJ, ponderando las encuestas disponibles.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4 Puntos porcentuales</w:t>
            </w:r>
            <w:r>
              <w:rPr>
                <w:sz w:val="18"/>
              </w:rPr>
              <w:t xml:space="preserve"> </w:t>
            </w:r>
            <w:r>
              <w:rPr>
                <w:sz w:val="18"/>
              </w:rPr>
              <w:t xml:space="preserve">(2026-06)</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7 % del ITCP</w:t>
            </w:r>
          </w:p>
        </w:tc>
        <w:tc>
          <w:p>
            <w:pPr>
              <w:pStyle w:val="Compact"/>
              <w:jc w:val="left"/>
            </w:pPr>
            <w:r>
              <w:rPr>
                <w:sz w:val="18"/>
              </w:rPr>
              <w:t xml:space="preserve">Cinturón Política</w:t>
            </w:r>
          </w:p>
        </w:tc>
      </w:tr>
    </w:tbl>
    <w:bookmarkStart w:id="25" w:name="identificación"/>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votometro_ventaja_lla</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Imagen y voto</w:t>
            </w:r>
          </w:p>
        </w:tc>
        <w:tc>
          <w:p>
            <w:pPr>
              <w:pStyle w:val="Compact"/>
              <w:jc w:val="left"/>
            </w:pPr>
            <w:r>
              <w:rPr>
                <w:bCs/>
                <w:b/>
                <w:sz w:val="18"/>
              </w:rPr>
              <w:t xml:space="preserve">UNIDAD DE MEDIDA</w:t>
            </w:r>
          </w:p>
        </w:tc>
        <w:tc>
          <w:p>
            <w:pPr>
              <w:pStyle w:val="Compact"/>
              <w:jc w:val="left"/>
            </w:pPr>
            <w:r>
              <w:rPr>
                <w:sz w:val="18"/>
              </w:rPr>
              <w:t xml:space="preserve">Puntos porcentuales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El Votómetro se actualiza cuando las consultoras publican encuestas nuevas (cadencia irregular, típicamente semanas); el informe recalcula la ventaja todos los días con lo cargado.</w:t>
            </w:r>
          </w:p>
        </w:tc>
      </w:tr>
      <w:tr>
        <w:trPr>
          <w:cantSplit/>
        </w:trPr>
        <w:tc>
          <w:p>
            <w:pPr>
              <w:pStyle w:val="Compact"/>
              <w:jc w:val="left"/>
            </w:pPr>
            <w:r>
              <w:rPr>
                <w:bCs/>
                <w:b/>
                <w:sz w:val="18"/>
              </w:rPr>
              <w:t xml:space="preserve">PRODUCTOR DEL DATO</w:t>
            </w:r>
          </w:p>
        </w:tc>
        <w:tc>
          <w:p>
            <w:pPr>
              <w:pStyle w:val="Compact"/>
              <w:jc w:val="left"/>
            </w:pPr>
            <w:r>
              <w:rPr>
                <w:sz w:val="18"/>
              </w:rPr>
              <w:t xml:space="preserve">Fundación CIGOB — Votómetro</w:t>
            </w:r>
          </w:p>
        </w:tc>
        <w:tc>
          <w:p>
            <w:pPr>
              <w:pStyle w:val="Compact"/>
              <w:jc w:val="left"/>
            </w:pPr>
            <w:r>
              <w:rPr>
                <w:bCs/>
                <w:b/>
                <w:sz w:val="18"/>
              </w:rPr>
              <w:t xml:space="preserve">OPERACIÓN ESTADÍSTICA</w:t>
            </w:r>
          </w:p>
        </w:tc>
        <w:tc>
          <w:p>
            <w:pPr>
              <w:pStyle w:val="Compact"/>
              <w:jc w:val="left"/>
            </w:pPr>
            <w:r>
              <w:rPr>
                <w:sz w:val="18"/>
              </w:rPr>
              <w:t xml:space="preserve">Agregador de encuestas de intención de voto: todos los sondeos publicados desde diciembre de 2023, con calificación de calidad por consultora</w:t>
            </w:r>
          </w:p>
        </w:tc>
      </w:tr>
      <w:tr>
        <w:trPr>
          <w:cantSplit/>
        </w:trPr>
        <w:tc>
          <w:p>
            <w:pPr>
              <w:pStyle w:val="Compact"/>
              <w:jc w:val="left"/>
            </w:pPr>
            <w:r>
              <w:rPr>
                <w:bCs/>
                <w:b/>
                <w:sz w:val="18"/>
              </w:rPr>
              <w:t xml:space="preserve">MODO DE ACCESO</w:t>
            </w:r>
          </w:p>
        </w:tc>
        <w:tc>
          <w:p>
            <w:pPr>
              <w:pStyle w:val="Compact"/>
              <w:jc w:val="left"/>
            </w:pPr>
            <w:r>
              <w:rPr>
                <w:sz w:val="18"/>
              </w:rPr>
              <w:t xml:space="preserve">Automático: lee el listado de encuestas que publica el Votómetro; si el sitio no responde, usa la última copia local.</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25"/>
    <w:bookmarkStart w:id="26" w:name="definición-qué-mide-y-por-qué-importa"/>
    <w:p>
      <w:pPr>
        <w:pStyle w:val="Heading2"/>
        <w:keepNext/>
      </w:pPr>
      <w:r>
        <w:t xml:space="preserve">Definición — qué mide y por qué importa</w:t>
      </w:r>
    </w:p>
    <w:p>
      <w:pPr>
        <w:pStyle w:val="FirstParagraph"/>
      </w:pPr>
      <w:r>
        <w:t xml:space="preserve">La diferencia de intención de voto entre LLA y el PJ, ponderando las encuestas disponibles.</w:t>
      </w:r>
    </w:p>
    <w:p>
      <w:pPr>
        <w:pStyle w:val="BodyText"/>
      </w:pPr>
      <w:r>
        <w:t xml:space="preserve">Mide el capital electoral del oficialismo, base de su poder de negociación.</w:t>
      </w:r>
    </w:p>
    <w:p>
      <w:pPr>
        <w:pStyle w:val="BodyText"/>
      </w:pPr>
      <w:r>
        <w:rPr>
          <w:bCs/>
          <w:b/>
        </w:rPr>
        <w:t xml:space="preserve">Dimensión que integra — Imagen y voto.</w:t>
      </w:r>
      <w:r>
        <w:t xml:space="preserve"> </w:t>
      </w:r>
      <w:r>
        <w:t xml:space="preserve">La ventaja electoral medida en las encuestas: la brecha de intención de voto entre La Libertad Avanza y el peronismo.</w:t>
      </w:r>
    </w:p>
    <w:bookmarkEnd w:id="26"/>
    <w:bookmarkStart w:id="27" w:name="método-de-cómputo"/>
    <w:p>
      <w:pPr>
        <w:pStyle w:val="Heading2"/>
        <w:keepNext/>
      </w:pPr>
      <w:r>
        <w:t xml:space="preserve">Método de cómputo</w:t>
      </w:r>
    </w:p>
    <w:p>
      <w:pPr>
        <w:numPr>
          <w:ilvl w:val="0"/>
          <w:numId w:val="1001"/>
        </w:numPr>
        <w:pStyle w:val="Compact"/>
      </w:pPr>
      <w:r>
        <w:t xml:space="preserve">Solo cuentan las encuestas de los últimos 60 días desde el sondeo más reciente.</w:t>
      </w:r>
    </w:p>
    <w:p>
      <w:pPr>
        <w:numPr>
          <w:ilvl w:val="0"/>
          <w:numId w:val="1001"/>
        </w:numPr>
        <w:pStyle w:val="Compact"/>
      </w:pPr>
      <w:r>
        <w:t xml:space="preserve">Cada encuesta pondera por recencia (el peso decae con los días) y por la calificación de calidad de la consultora (A pesa 3, B pesa 2, C pesa 1).</w:t>
      </w:r>
    </w:p>
    <w:p>
      <w:pPr>
        <w:numPr>
          <w:ilvl w:val="0"/>
          <w:numId w:val="1001"/>
        </w:numPr>
        <w:pStyle w:val="Compact"/>
      </w:pPr>
      <w:r>
        <w:t xml:space="preserve">El indicador es la diferencia LLA − PJ de esas intenciones ponderadas, en puntos porcentuales.</w:t>
      </w:r>
    </w:p>
    <w:bookmarkEnd w:id="27"/>
    <w:bookmarkStart w:id="28" w:name="semáforo-valores-que-determinan-el-color"/>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(Puntos porcentuales)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−2</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−10 – −2</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−13,33 – −10</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−13,33</w:t>
            </w:r>
          </w:p>
        </w:tc>
        <w:tc>
          <w:tcPr>
            <w:shd w:val="clear" w:color="auto" w:fill="FEE2E2"/>
          </w:tcPr>
          <w:p>
            <w:pPr>
              <w:pStyle w:val="Compact"/>
              <w:jc w:val="center"/>
            </w:pPr>
            <w:r>
              <w:rPr>
                <w:b/>
                <w:sz w:val="18"/>
                <w:color w:val="7F1D1D"/>
              </w:rPr>
              <w:t xml:space="preserve">ROJO</w:t>
            </w:r>
          </w:p>
        </w:tc>
      </w:tr>
    </w:tbl>
    <w:bookmarkEnd w:id="28"/>
    <w:bookmarkStart w:id="29" w:name="datos-concretos-detrás-del-valor"/>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2"/>
        </w:numPr>
        <w:pStyle w:val="Compact"/>
      </w:pPr>
      <w:r>
        <w:t xml:space="preserve">El informe publica el valor (4 Puntos porcentuales) pero no los números que lo componen: la fuente entrega la serie ya calculada. Para auditar el dato hay que ir a la operación estadística citada más arriba.</w:t>
      </w:r>
    </w:p>
    <w:bookmarkEnd w:id="29"/>
    <w:bookmarkStart w:id="30" w:name="color-vigente-y-por-qué"/>
    <w:p>
      <w:pPr>
        <w:pStyle w:val="Heading2"/>
        <w:keepNext/>
      </w:pPr>
      <w:r>
        <w:t xml:space="preserve">Color vigente y por qué</w:t>
      </w:r>
    </w:p>
    <w:p>
      <w:pPr>
        <w:pStyle w:val="FirstParagraph"/>
      </w:pPr>
      <w:r>
        <w:t xml:space="preserve">Dato vigente: 4 Puntos porcentuales (2026-06).</w:t>
      </w:r>
    </w:p>
    <w:p>
      <w:pPr>
        <w:pStyle w:val="BodyText"/>
      </w:pPr>
      <w:r>
        <w:t xml:space="preserve">4,0 Puntos porcentuales cae en el tramo que corresponde a Verde, a 6,0 del corte más cercano.</w:t>
      </w:r>
    </w:p>
    <w:p>
      <w:pPr>
        <w:pStyle w:val="BodyText"/>
      </w:pPr>
      <w:r>
        <w:rPr>
          <w:bCs/>
          <w:b/>
        </w:rPr>
        <w:t xml:space="preserve">Color vigente: VERDE</w:t>
      </w:r>
    </w:p>
    <w:p>
      <w:pPr>
        <w:pStyle w:val="BodyText"/>
      </w:pPr>
      <w:r>
        <w:t xml:space="preserve">Ponderación vigente en el ITCP: 7 % efectivo. El color es una lectura adicional — no reemplaza ni cambia esta ponderación.</w:t>
      </w:r>
    </w:p>
    <w:p>
      <w:pPr>
        <w:numPr>
          <w:ilvl w:val="0"/>
          <w:numId w:val="1003"/>
        </w:numPr>
        <w:pStyle w:val="Compact"/>
      </w:pPr>
      <w:r>
        <w:rPr>
          <w:bCs/>
          <w:b/>
        </w:rPr>
        <w:t xml:space="preserve">Participación en otros indicadores.</w:t>
      </w:r>
      <w:r>
        <w:t xml:space="preserve"> </w:t>
      </w:r>
      <w:r>
        <w:t xml:space="preserve">El mismo dato alimentó el indicador de clima electoral del cinturón espíritu de época entre junio y julio de 2026, hasta que ese cinturón quedó acotado a la intención migratoria como único indicador; la lectura duplicada se sigue registrando como seguimiento interno, sin publicarse ni puntuar.</w:t>
      </w:r>
    </w:p>
    <w:bookmarkEnd w:id="30"/>
    <w:bookmarkStart w:id="31" w:name="transparencia-limitaciones-declaradas"/>
    <w:p>
      <w:pPr>
        <w:pStyle w:val="Heading2"/>
        <w:keepNext/>
      </w:pPr>
      <w:r>
        <w:t xml:space="preserve">Transparencia — limitaciones declaradas</w:t>
      </w:r>
    </w:p>
    <w:p>
      <w:pPr>
        <w:numPr>
          <w:ilvl w:val="0"/>
          <w:numId w:val="1004"/>
        </w:numPr>
        <w:pStyle w:val="Compact"/>
      </w:pPr>
      <w:r>
        <w:t xml:space="preserve">La fuente es una curaduría propia de encuestas de terceros, no un registro oficial.</w:t>
      </w:r>
    </w:p>
    <w:p>
      <w:pPr>
        <w:numPr>
          <w:ilvl w:val="0"/>
          <w:numId w:val="1004"/>
        </w:numPr>
        <w:pStyle w:val="Compact"/>
      </w:pPr>
      <w:r>
        <w:t xml:space="preserve">El peso por recencia se calcula contra el día de la actualización: sin encuestas nuevas, el valor deriva lentamente día a día.</w:t>
      </w:r>
    </w:p>
    <w:p>
      <w:pPr>
        <w:numPr>
          <w:ilvl w:val="0"/>
          <w:numId w:val="1004"/>
        </w:numPr>
        <w:pStyle w:val="Compact"/>
      </w:pPr>
      <w:r>
        <w:t xml:space="preserve">Si pasan más de 60 días sin sondeos, el indicador se marca como desactualizado.</w:t>
      </w:r>
    </w:p>
    <w:bookmarkEnd w:id="31"/>
    <w:bookmarkStart w:id="32" w:name="si-falta-el-dato-política-de-revisiones"/>
    <w:p>
      <w:pPr>
        <w:pStyle w:val="Heading2"/>
        <w:keepNext/>
      </w:pPr>
      <w:r>
        <w:t xml:space="preserve">Si falta el dato / Política de revisiones</w:t>
      </w:r>
    </w:p>
    <w:p>
      <w:pPr>
        <w:numPr>
          <w:ilvl w:val="0"/>
          <w:numId w:val="1005"/>
        </w:numPr>
      </w:pPr>
      <w:r>
        <w:rPr>
          <w:bCs/>
          <w:b/>
        </w:rPr>
        <w:t xml:space="preserve">Si falta el dato:</w:t>
      </w:r>
      <w:r>
        <w:t xml:space="preserve"> </w:t>
      </w:r>
      <w:r>
        <w:t xml:space="preserve">Si la lectura falla, se mantiene el último valor disponible, señalado como desactualizado; sin ningún valor previo, el indicador queda fuera y los pesos de su dimensión se renormalizan entre los presentes.</w:t>
      </w:r>
    </w:p>
    <w:p>
      <w:pPr>
        <w:numPr>
          <w:ilvl w:val="0"/>
          <w:numId w:val="1005"/>
        </w:numPr>
      </w:pPr>
      <w:r>
        <w:rPr>
          <w:bCs/>
          <w:b/>
        </w:rPr>
        <w:t xml:space="preserve">Política de revisiones:</w:t>
      </w:r>
      <w:r>
        <w:t xml:space="preserve"> </w:t>
      </w:r>
      <w:r>
        <w:t xml:space="preserve">La serie mensual completa se rederiva de las encuestas en cada actualización: un sondeo cargado con retraso corrige los meses que toca. La serie evalúa la ponderación al cierre de cada mes, así que su último punto puede diferir levemente del titular, que se recalcula todos los días.</w:t>
      </w:r>
    </w:p>
    <w:bookmarkEnd w:id="32"/>
    <w:bookmarkStart w:id="33" w:name="Xa4c99cad3d412932a0237e958bf70f8f0cdbe7e"/>
    <w:p>
      <w:pPr>
        <w:pStyle w:val="Heading2"/>
        <w:keepNext/>
      </w:pPr>
      <w:r>
        <w:t xml:space="preserve">Historial — cambios metodológicos documentados</w:t>
      </w:r>
    </w:p>
    <w:p>
      <w:pPr>
        <w:pStyle w:val="FirstParagraph"/>
      </w:pPr>
      <w:r>
        <w:rPr>
          <w:bCs/>
          <w:b/>
        </w:rPr>
        <w:t xml:space="preserve">2026-05</w:t>
      </w:r>
      <w:r>
        <w:t xml:space="preserve"> </w:t>
      </w:r>
      <w:r>
        <w:t xml:space="preserve">— Incorporado al cinturón político como medida del capital electoral del oficialismo.</w:t>
      </w:r>
    </w:p>
    <w:p>
      <w:pPr>
        <w:pStyle w:val="BodyText"/>
      </w:pPr>
      <w:r>
        <w:rPr>
          <w:bCs/>
          <w:b/>
        </w:rPr>
        <w:t xml:space="preserve">2026-06-30</w:t>
      </w:r>
      <w:r>
        <w:t xml:space="preserve"> </w:t>
      </w:r>
      <w:r>
        <w:t xml:space="preserve">— Serie mensual reconstruida hacia atrás hasta diciembre de 2023, evaluando la misma ponderación al cierre de cada mes.</w:t>
      </w:r>
    </w:p>
    <w:p>
      <w:pPr>
        <w:pStyle w:val="BodyText"/>
      </w:pPr>
      <w:r>
        <w:rPr>
          <w:bCs/>
          <w:b/>
        </w:rPr>
        <w:t xml:space="preserve">2026-07-07</w:t>
      </w:r>
      <w:r>
        <w:t xml:space="preserve"> </w:t>
      </w:r>
      <w:r>
        <w:t xml:space="preserve">— Pasa a puntuar dentro del ITCP (índice paramétrico de cinco dimensiones ponderadas), como único indicador de la dimensión de imagen y voto — antes el cinturón promediaba en partes iguales las tensiones de sus indicadores.</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33"/>
    <w:bookmarkEnd w:id="34"/>
    <w:bookmarkStart w:id="44" w:name="ratio-dnu-leyes"/>
    <w:p>
      <w:pPr>
        <w:pStyle w:val="Heading1"/>
        <w:keepNext/>
      </w:pPr>
      <w:r>
        <w:t xml:space="preserve">Ratio DNU / leyes</w:t>
      </w:r>
    </w:p>
    <w:p>
      <w:pPr>
        <w:pStyle w:val="FirstParagraph"/>
      </w:pPr>
      <w:r>
        <w:t xml:space="preserve">Cuántos Decretos de Necesidad y Urgencia se dictan por cada ley sancionada, en los últimos 12 meses.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1,92 DNUs por ley</w:t>
            </w:r>
            <w:r>
              <w:rPr>
                <w:sz w:val="18"/>
              </w:rPr>
              <w:t xml:space="preserve"> </w:t>
            </w:r>
            <w:r>
              <w:rPr>
                <w:sz w:val="18"/>
              </w:rPr>
              <w:t xml:space="preserve">(2026-08)</w:t>
            </w:r>
          </w:p>
        </w:tc>
        <w:tc>
          <w:tcPr>
            <w:shd w:val="clear" w:color="auto" w:fill="FEE2E2"/>
          </w:tcPr>
          <w:p>
            <w:pPr>
              <w:pStyle w:val="Compact"/>
              <w:jc w:val="center"/>
            </w:pPr>
            <w:r>
              <w:rPr>
                <w:bCs/>
                <w:b/>
                <w:sz w:val="18"/>
                <w:color w:val="7F1D1D"/>
              </w:rPr>
              <w:t xml:space="preserve">ROJO</w:t>
            </w:r>
          </w:p>
        </w:tc>
        <w:tc>
          <w:p>
            <w:pPr>
              <w:pStyle w:val="Compact"/>
              <w:jc w:val="left"/>
            </w:pPr>
            <w:r>
              <w:rPr>
                <w:sz w:val="18"/>
              </w:rPr>
              <w:t xml:space="preserve">Peso efectivo 4,2 % del ITCP</w:t>
            </w:r>
          </w:p>
        </w:tc>
        <w:tc>
          <w:p>
            <w:pPr>
              <w:pStyle w:val="Compact"/>
              <w:jc w:val="left"/>
            </w:pPr>
            <w:r>
              <w:rPr>
                <w:sz w:val="18"/>
              </w:rPr>
              <w:t xml:space="preserve">Cinturón Política</w:t>
            </w:r>
          </w:p>
        </w:tc>
      </w:tr>
    </w:tbl>
    <w:bookmarkStart w:id="35" w:name="identificación-1"/>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ratio_dnu</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legislativo</w:t>
            </w:r>
          </w:p>
        </w:tc>
        <w:tc>
          <w:p>
            <w:pPr>
              <w:pStyle w:val="Compact"/>
              <w:jc w:val="left"/>
            </w:pPr>
            <w:r>
              <w:rPr>
                <w:bCs/>
                <w:b/>
                <w:sz w:val="18"/>
              </w:rPr>
              <w:t xml:space="preserve">UNIDAD DE MEDIDA</w:t>
            </w:r>
          </w:p>
        </w:tc>
        <w:tc>
          <w:p>
            <w:pPr>
              <w:pStyle w:val="Compact"/>
              <w:jc w:val="left"/>
            </w:pPr>
            <w:r>
              <w:rPr>
                <w:sz w:val="18"/>
              </w:rPr>
              <w:t xml:space="preserve">DNUs por ley</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InfoLeg carga las normas al ritmo del Boletín Oficial: días entre la publicación y su aparición en el buscador.</w:t>
            </w:r>
          </w:p>
        </w:tc>
      </w:tr>
      <w:tr>
        <w:trPr>
          <w:cantSplit/>
        </w:trPr>
        <w:tc>
          <w:p>
            <w:pPr>
              <w:pStyle w:val="Compact"/>
              <w:jc w:val="left"/>
            </w:pPr>
            <w:r>
              <w:rPr>
                <w:bCs/>
                <w:b/>
                <w:sz w:val="18"/>
              </w:rPr>
              <w:t xml:space="preserve">PRODUCTOR DEL DATO</w:t>
            </w:r>
          </w:p>
        </w:tc>
        <w:tc>
          <w:p>
            <w:pPr>
              <w:pStyle w:val="Compact"/>
              <w:jc w:val="left"/>
            </w:pPr>
            <w:r>
              <w:rPr>
                <w:sz w:val="18"/>
              </w:rPr>
              <w:t xml:space="preserve">InfoLeg (Ministerio de Justicia)</w:t>
            </w:r>
          </w:p>
        </w:tc>
        <w:tc>
          <w:p>
            <w:pPr>
              <w:pStyle w:val="Compact"/>
              <w:jc w:val="left"/>
            </w:pPr>
            <w:r>
              <w:rPr>
                <w:bCs/>
                <w:b/>
                <w:sz w:val="18"/>
              </w:rPr>
              <w:t xml:space="preserve">OPERACIÓN ESTADÍSTICA</w:t>
            </w:r>
          </w:p>
        </w:tc>
        <w:tc>
          <w:p>
            <w:pPr>
              <w:pStyle w:val="Compact"/>
              <w:jc w:val="left"/>
            </w:pPr>
            <w:r>
              <w:rPr>
                <w:sz w:val="18"/>
              </w:rPr>
              <w:t xml:space="preserve">Buscador oficial de normas — conteo de decretos de necesidad y urgencia y de leyes sancionadas en los últimos 365 días</w:t>
            </w:r>
          </w:p>
        </w:tc>
      </w:tr>
      <w:tr>
        <w:trPr>
          <w:cantSplit/>
        </w:trPr>
        <w:tc>
          <w:p>
            <w:pPr>
              <w:pStyle w:val="Compact"/>
              <w:jc w:val="left"/>
            </w:pPr>
            <w:r>
              <w:rPr>
                <w:bCs/>
                <w:b/>
                <w:sz w:val="18"/>
              </w:rPr>
              <w:t xml:space="preserve">MODO DE ACCESO</w:t>
            </w:r>
          </w:p>
        </w:tc>
        <w:tc>
          <w:p>
            <w:pPr>
              <w:pStyle w:val="Compact"/>
              <w:jc w:val="left"/>
            </w:pPr>
            <w:r>
              <w:rPr>
                <w:sz w:val="18"/>
              </w:rPr>
              <w:t xml:space="preserve">Automático: consulta el buscador oficial con dos búsquedas (leyes y decretos con el texto «necesidad y urgencia», ambas acotadas a los últimos 365 días) y toma los conteos de resultados.</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35"/>
    <w:bookmarkStart w:id="36" w:name="definición-qué-mide-y-por-qué-importa-1"/>
    <w:p>
      <w:pPr>
        <w:pStyle w:val="Heading2"/>
        <w:keepNext/>
      </w:pPr>
      <w:r>
        <w:t xml:space="preserve">Definición — qué mide y por qué importa</w:t>
      </w:r>
    </w:p>
    <w:p>
      <w:pPr>
        <w:pStyle w:val="FirstParagraph"/>
      </w:pPr>
      <w:r>
        <w:t xml:space="preserve">Cuántos Decretos de Necesidad y Urgencia se dictan por cada ley sancionada, en los últimos 12 meses.</w:t>
      </w:r>
    </w:p>
    <w:p>
      <w:pPr>
        <w:pStyle w:val="BodyText"/>
      </w:pPr>
      <w:r>
        <w:t xml:space="preserve">Mide con cuánta frecuencia el Gobierno recurre al decreto en lugar de la ley, no si esos decretos le funcionan. Son dos preguntas distintas y conviene no confundirlas: gobernar por decreto suele salir bien —el 95% de los decretos de necesidad y urgencia de esta gestión nunca llegó a votarse en el recinto y por lo tanto sigue vigente—, pero de los ocho que sí llegaron, seis cayeron. La dependencia del decreto es una vulnerabilidad latente: no se cobra mientras el Congreso no active el procedimiento, y se cobra de golpe cuando lo activa.</w:t>
      </w:r>
    </w:p>
    <w:p>
      <w:pPr>
        <w:pStyle w:val="BodyText"/>
      </w:pPr>
      <w:r>
        <w:rPr>
          <w:bCs/>
          <w:b/>
        </w:rPr>
        <w:t xml:space="preserve">Dimensión que integra — Poder legislativo.</w:t>
      </w:r>
      <w:r>
        <w:t xml:space="preserve"> </w:t>
      </w:r>
      <w:r>
        <w:t xml:space="preserve">La capacidad de gobernar por ley en el Congreso: cuánto legisla por decreto en vez de ley (ratio DNU), qué porción de la agenda del Ejecutivo se aprueba, cuántas sesiones de Diputados fracasan por falta de quórum, cuántas derrotas sufre el Ejecutivo en el recinto y qué porción de sus normas desafiadas logra sostener en pie.</w:t>
      </w:r>
    </w:p>
    <w:bookmarkEnd w:id="36"/>
    <w:bookmarkStart w:id="37" w:name="método-de-cómputo-1"/>
    <w:p>
      <w:pPr>
        <w:pStyle w:val="Heading2"/>
        <w:keepNext/>
      </w:pPr>
      <w:r>
        <w:t xml:space="preserve">Método de cómputo</w:t>
      </w:r>
    </w:p>
    <w:p>
      <w:pPr>
        <w:numPr>
          <w:ilvl w:val="0"/>
          <w:numId w:val="1006"/>
        </w:numPr>
        <w:pStyle w:val="Compact"/>
      </w:pPr>
      <w:r>
        <w:t xml:space="preserve">Ratio = DNU dictados en los últimos 365 días / leyes sancionadas en los últimos 365 días — ventana móvil, no acumulado del año calendario.</w:t>
      </w:r>
    </w:p>
    <w:p>
      <w:pPr>
        <w:numPr>
          <w:ilvl w:val="0"/>
          <w:numId w:val="1006"/>
        </w:numPr>
        <w:pStyle w:val="Compact"/>
      </w:pPr>
      <w:r>
        <w:t xml:space="preserve">Los DNU se identifican buscando la frase «necesidad y urgencia» dentro de los decretos.</w:t>
      </w:r>
    </w:p>
    <w:p>
      <w:pPr>
        <w:numPr>
          <w:ilvl w:val="0"/>
          <w:numId w:val="1006"/>
        </w:numPr>
        <w:pStyle w:val="Compact"/>
      </w:pPr>
      <w:r>
        <w:t xml:space="preserve">La serie histórica recalcula esta misma ventana móvil al cierre de cada mes desde diciembre de 2023: cada punto es homogéneo y comparable con el anterior, sin el reseteo de un acumulado que arranca de cero cada enero.</w:t>
      </w:r>
    </w:p>
    <w:bookmarkEnd w:id="37"/>
    <w:bookmarkStart w:id="38" w:name="Xb12ddc46376972206f8477b880174f9cd0b3196"/>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(DNUs por ley)</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1,08</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1,08 – 1,6</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1,6 – 1,87</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1,87</w:t>
            </w:r>
          </w:p>
        </w:tc>
        <w:tc>
          <w:tcPr>
            <w:shd w:val="clear" w:color="auto" w:fill="FEE2E2"/>
          </w:tcPr>
          <w:p>
            <w:pPr>
              <w:pStyle w:val="Compact"/>
              <w:jc w:val="center"/>
            </w:pPr>
            <w:r>
              <w:rPr>
                <w:b/>
                <w:sz w:val="18"/>
                <w:color w:val="7F1D1D"/>
              </w:rPr>
              <w:t xml:space="preserve">ROJO</w:t>
            </w:r>
          </w:p>
        </w:tc>
      </w:tr>
    </w:tbl>
    <w:bookmarkEnd w:id="38"/>
    <w:bookmarkStart w:id="39" w:name="datos-concretos-detrás-del-valor-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7"/>
        </w:numPr>
        <w:pStyle w:val="Compact"/>
      </w:pPr>
      <w:r>
        <w:t xml:space="preserve">El informe publica el valor (1,92 DNUs por ley) pero no los números que lo componen: la fuente entrega la serie ya calculada. Para auditar el dato hay que ir a la operación estadística citada más arriba.</w:t>
      </w:r>
    </w:p>
    <w:bookmarkEnd w:id="39"/>
    <w:bookmarkStart w:id="40" w:name="color-vigente-y-por-qué-1"/>
    <w:p>
      <w:pPr>
        <w:pStyle w:val="Heading2"/>
        <w:keepNext/>
      </w:pPr>
      <w:r>
        <w:t xml:space="preserve">Color vigente y por qué</w:t>
      </w:r>
    </w:p>
    <w:p>
      <w:pPr>
        <w:pStyle w:val="FirstParagraph"/>
      </w:pPr>
      <w:r>
        <w:t xml:space="preserve">Dato vigente: 1,92 DNUs por ley (2026-08).</w:t>
      </w:r>
    </w:p>
    <w:p>
      <w:pPr>
        <w:pStyle w:val="BodyText"/>
      </w:pPr>
      <w:r>
        <w:t xml:space="preserve">1,92 DNUs por ley cae en el tramo que corresponde a Rojo, a 0,05 del corte más cercano.</w:t>
      </w:r>
    </w:p>
    <w:p>
      <w:pPr>
        <w:pStyle w:val="BodyText"/>
      </w:pPr>
      <w:r>
        <w:rPr>
          <w:bCs/>
          <w:b/>
        </w:rPr>
        <w:t xml:space="preserve">Color vigente: ROJO</w:t>
      </w:r>
    </w:p>
    <w:p>
      <w:pPr>
        <w:pStyle w:val="BodyText"/>
      </w:pPr>
      <w:r>
        <w:t xml:space="preserve">Ponderación vigente en el ITCP: 4,2 % efectivo. El color es una lectura adicional — no reemplaza ni cambia esta ponderación.</w:t>
      </w:r>
    </w:p>
    <w:bookmarkEnd w:id="40"/>
    <w:bookmarkStart w:id="41" w:name="transparencia-limitaciones-declaradas-1"/>
    <w:p>
      <w:pPr>
        <w:pStyle w:val="Heading2"/>
        <w:keepNext/>
      </w:pPr>
      <w:r>
        <w:t xml:space="preserve">Transparencia — limitaciones declaradas</w:t>
      </w:r>
    </w:p>
    <w:p>
      <w:pPr>
        <w:numPr>
          <w:ilvl w:val="0"/>
          <w:numId w:val="1008"/>
        </w:numPr>
        <w:pStyle w:val="Compact"/>
      </w:pPr>
      <w:r>
        <w:t xml:space="preserve">Responde a la pregunta «¿cuánto depende el Gobierno del decreto?», no a «¿le funciona gobernar por decreto?». Cabe la lectura inversa —un Ejecutivo que decreta con éxito está avanzando su plan pese a no tener acompañamiento legislativo—, y el indicador no la mide: un ratio alto baja el puntaje aunque los decretos sigan vigentes. Se eligió la primera lectura porque el cinturón mide capital político en el sentido de capacidad sostenible de gobernar, y la norma dictada por decreto es reversible por el Congreso y por los tribunales de un modo en que la ley no lo es.</w:t>
      </w:r>
    </w:p>
    <w:p>
      <w:pPr>
        <w:numPr>
          <w:ilvl w:val="0"/>
          <w:numId w:val="1008"/>
        </w:numPr>
        <w:pStyle w:val="Compact"/>
      </w:pPr>
      <w:r>
        <w:t xml:space="preserve">Los datos respaldan que la dependencia sea una vulnerabilidad real y no una objeción teórica, pero también que sea latente: de los 162 decretos de necesidad y urgencia dictados desde diciembre de 2023, el 95% nunca se votó en el recinto y por lo tanto sigue vigente; de los ocho que sí se votaron, seis cayeron. El 7 de agosto de 2025 cayeron cinco en un solo día.</w:t>
      </w:r>
    </w:p>
    <w:p>
      <w:pPr>
        <w:numPr>
          <w:ilvl w:val="0"/>
          <w:numId w:val="1008"/>
        </w:numPr>
        <w:pStyle w:val="Compact"/>
      </w:pPr>
      <w:r>
        <w:t xml:space="preserve">Identificar DNU por la frase «necesidad y urgencia» es una aproximación: puede contar de más o de menos.</w:t>
      </w:r>
    </w:p>
    <w:p>
      <w:pPr>
        <w:numPr>
          <w:ilvl w:val="0"/>
          <w:numId w:val="1008"/>
        </w:numPr>
        <w:pStyle w:val="Compact"/>
      </w:pPr>
      <w:r>
        <w:t xml:space="preserve">Depende del formulario del buscador oficial: un rediseño del sitio lo interrumpe hasta adaptarlo.</w:t>
      </w:r>
    </w:p>
    <w:p>
      <w:pPr>
        <w:numPr>
          <w:ilvl w:val="0"/>
          <w:numId w:val="1008"/>
        </w:numPr>
        <w:pStyle w:val="Compact"/>
      </w:pPr>
      <w:r>
        <w:t xml:space="preserve">El buscador no expone un listado con fecha por norma: reconstruir la serie mensual exige una consulta separada por mes, no una descarga única.</w:t>
      </w:r>
    </w:p>
    <w:bookmarkEnd w:id="41"/>
    <w:bookmarkStart w:id="42" w:name="X5bd7fb7e3de0539204b5af8f15d14927966600e"/>
    <w:p>
      <w:pPr>
        <w:pStyle w:val="Heading2"/>
        <w:keepNext/>
      </w:pPr>
      <w:r>
        <w:t xml:space="preserve">Si falta el dato / Política de revisiones</w:t>
      </w:r>
    </w:p>
    <w:p>
      <w:pPr>
        <w:numPr>
          <w:ilvl w:val="0"/>
          <w:numId w:val="1009"/>
        </w:numPr>
      </w:pPr>
      <w:r>
        <w:rPr>
          <w:bCs/>
          <w:b/>
        </w:rPr>
        <w:t xml:space="preserve">Si falta el dato:</w:t>
      </w:r>
      <w:r>
        <w:t xml:space="preserve"> </w:t>
      </w:r>
      <w:r>
        <w:t xml:space="preserve">Si la consulta falla, se mantiene el último valor disponible, señalado como desactualizado; sin ningún valor previo, el indicador queda fuera y los pesos de su dimensión se renormalizan entre los presentes.</w:t>
      </w:r>
    </w:p>
    <w:p>
      <w:pPr>
        <w:numPr>
          <w:ilvl w:val="0"/>
          <w:numId w:val="1009"/>
        </w:numPr>
      </w:pPr>
      <w:r>
        <w:rPr>
          <w:bCs/>
          <w:b/>
        </w:rPr>
        <w:t xml:space="preserve">Política de revisiones:</w:t>
      </w:r>
      <w:r>
        <w:t xml:space="preserve"> </w:t>
      </w:r>
      <w:r>
        <w:t xml:space="preserve">Los conteos se reconsultan completos en cada actualización: si la fuente carga normas con retraso, el número se corrige solo.</w:t>
      </w:r>
    </w:p>
    <w:bookmarkEnd w:id="42"/>
    <w:bookmarkStart w:id="43" w:name="X96d65d75de98372a532c7c1fba300d7558b9e4c"/>
    <w:p>
      <w:pPr>
        <w:pStyle w:val="Heading2"/>
        <w:keepNext/>
      </w:pPr>
      <w:r>
        <w:t xml:space="preserve">Historial — cambios metodológicos documentados</w:t>
      </w:r>
    </w:p>
    <w:p>
      <w:pPr>
        <w:pStyle w:val="FirstParagraph"/>
      </w:pPr>
      <w:r>
        <w:rPr>
          <w:bCs/>
          <w:b/>
        </w:rPr>
        <w:t xml:space="preserve">2026-05</w:t>
      </w:r>
      <w:r>
        <w:t xml:space="preserve"> </w:t>
      </w:r>
      <w:r>
        <w:t xml:space="preserve">— Entra al cinturón en reemplazo del índice de confianza en el gobierno (UTDT): el cinturón mide capacidad de gobernar, no popularidad.</w:t>
      </w:r>
    </w:p>
    <w:p>
      <w:pPr>
        <w:pStyle w:val="BodyText"/>
      </w:pPr>
      <w:r>
        <w:rPr>
          <w:bCs/>
          <w:b/>
        </w:rPr>
        <w:t xml:space="preserve">2026-06-30</w:t>
      </w:r>
      <w:r>
        <w:t xml:space="preserve"> </w:t>
      </w:r>
      <w:r>
        <w:t xml:space="preserve">— Serie anual desde 2020 para dar contexto histórico al ratio del año en curso.</w:t>
      </w:r>
    </w:p>
    <w:p>
      <w:pPr>
        <w:pStyle w:val="BodyText"/>
      </w:pPr>
      <w:r>
        <w:rPr>
          <w:bCs/>
          <w:b/>
        </w:rPr>
        <w:t xml:space="preserve">2026-07-07</w:t>
      </w:r>
      <w:r>
        <w:t xml:space="preserve"> </w:t>
      </w:r>
      <w:r>
        <w:t xml:space="preserve">— Pasa a puntuar dentro del ITCP (índice paramétrico de cinco dimensiones ponderadas), en la dimensión de poder legislativo — antes el cinturón promediaba en partes iguales las tensiones de sus indicadores.</w:t>
      </w:r>
    </w:p>
    <w:p>
      <w:pPr>
        <w:pStyle w:val="BodyText"/>
      </w:pPr>
      <w:r>
        <w:rPr>
          <w:bCs/>
          <w:b/>
        </w:rPr>
        <w:t xml:space="preserve">2026-07-19</w:t>
      </w:r>
      <w:r>
        <w:t xml:space="preserve"> </w:t>
      </w:r>
      <w:r>
        <w:t xml:space="preserve">— Se explicita en la ficha qué pregunta responde el indicador y cuál es la lectura contraria, a pedido de una revisión externa del cinturón. El cálculo y las anclas no cambian. Se evaluó además incorporar un indicador separado de éxito de ejecución por decreto y se descartó con datos: como el 95% de los decretos nunca se vota, esa medida quedaría permanentemente cerca del 100% y no distinguiría nada.</w:t>
      </w:r>
    </w:p>
    <w:p>
      <w:pPr>
        <w:pStyle w:val="BodyText"/>
      </w:pPr>
      <w:r>
        <w:rPr>
          <w:bCs/>
          <w:b/>
        </w:rPr>
        <w:t xml:space="preserve">2026-07-15</w:t>
      </w:r>
      <w:r>
        <w:t xml:space="preserve"> </w:t>
      </w:r>
      <w:r>
        <w:t xml:space="preserve">— El cociente pasó de acumulado del año calendario (un punto por año, reseteaba en enero) a ventana móvil de 365 días (un punto por mes, comparable mes a mes). Las anclas del puntaje NO cambiaron: siguen ancladas a la práctica histórica 2011-2024, no al rango observado bajo esta gestión.</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43"/>
    <w:bookmarkEnd w:id="44"/>
    <w:bookmarkStart w:id="54" w:name="X21210b95eacb060cc2a6b4d8856acfbe9172a4d"/>
    <w:p>
      <w:pPr>
        <w:pStyle w:val="Heading1"/>
        <w:keepNext/>
      </w:pPr>
      <w:r>
        <w:t xml:space="preserve">Brecha de expectativas: obra pública vs. privada</w:t>
      </w:r>
    </w:p>
    <w:p>
      <w:pPr>
        <w:pStyle w:val="FirstParagraph"/>
      </w:pPr>
      <w:r>
        <w:t xml:space="preserve">La diferencia entre lo que esperan las empresas constructoras que trabajan para el Estado y lo que esperan las que trabajan para clientes privados. El INDEC les pregunta todos los meses si creen que su actividad va a subir o bajar en el trimestre siguiente, y publica las dos respuestas por separado. El indicador resta una de la otra y promedia los últimos doce meses.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−1,1 pp de brecha (obra pública − privada, 12m)</w:t>
            </w:r>
            <w:r>
              <w:rPr>
                <w:sz w:val="18"/>
              </w:rPr>
              <w:t xml:space="preserve"> </w:t>
            </w:r>
            <w:r>
              <w:rPr>
                <w:sz w:val="18"/>
              </w:rPr>
              <w:t xml:space="preserve">(2026-09)</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6,5 % del ITCP</w:t>
            </w:r>
          </w:p>
        </w:tc>
        <w:tc>
          <w:p>
            <w:pPr>
              <w:pStyle w:val="Compact"/>
              <w:jc w:val="left"/>
            </w:pPr>
            <w:r>
              <w:rPr>
                <w:sz w:val="18"/>
              </w:rPr>
              <w:t xml:space="preserve">Cinturón Política</w:t>
            </w:r>
          </w:p>
        </w:tc>
      </w:tr>
    </w:tbl>
    <w:bookmarkStart w:id="45" w:name="identificación-2"/>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brecha_obra_publica</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Sector privado</w:t>
            </w:r>
          </w:p>
        </w:tc>
        <w:tc>
          <w:p>
            <w:pPr>
              <w:pStyle w:val="Compact"/>
              <w:jc w:val="left"/>
            </w:pPr>
            <w:r>
              <w:rPr>
                <w:bCs/>
                <w:b/>
                <w:sz w:val="18"/>
              </w:rPr>
              <w:t xml:space="preserve">UNIDAD DE MEDIDA</w:t>
            </w:r>
          </w:p>
        </w:tc>
        <w:tc>
          <w:p>
            <w:pPr>
              <w:pStyle w:val="Compact"/>
              <w:jc w:val="left"/>
            </w:pPr>
            <w:r>
              <w:rPr>
                <w:sz w:val="18"/>
              </w:rPr>
              <w:t xml:space="preserve">pp de brecha (obra pública − privada, 12m)</w:t>
            </w:r>
          </w:p>
        </w:tc>
      </w:tr>
      <w:tr>
        <w:trPr>
          <w:cantSplit/>
        </w:trPr>
        <w:tc>
          <w:p>
            <w:pPr>
              <w:pStyle w:val="Compact"/>
              <w:jc w:val="left"/>
            </w:pPr>
            <w:r>
              <w:rPr>
                <w:bCs/>
                <w:b/>
                <w:sz w:val="18"/>
              </w:rPr>
              <w:t xml:space="preserve">SERIE DISPONIBLE</w:t>
            </w:r>
          </w:p>
        </w:tc>
        <w:tc>
          <w:p>
            <w:pPr>
              <w:pStyle w:val="Compact"/>
              <w:jc w:val="left"/>
            </w:pPr>
            <w:r>
              <w:rPr>
                <w:sz w:val="18"/>
              </w:rPr>
              <w:t xml:space="preserve">2017-11 → 2026-09 (101 puntos)</w:t>
            </w:r>
          </w:p>
        </w:tc>
        <w:tc>
          <w:p>
            <w:pPr>
              <w:pStyle w:val="Compact"/>
              <w:jc w:val="left"/>
            </w:pPr>
            <w:r>
              <w:rPr>
                <w:bCs/>
                <w:b/>
                <w:sz w:val="18"/>
              </w:rPr>
              <w:t xml:space="preserve">REZAGO DE PUBLICACIÓN</w:t>
            </w:r>
          </w:p>
        </w:tc>
        <w:tc>
          <w:p>
            <w:pPr>
              <w:pStyle w:val="Compact"/>
              <w:jc w:val="left"/>
            </w:pPr>
            <w:r>
              <w:rPr>
                <w:sz w:val="18"/>
              </w:rPr>
              <w:t xml:space="preserve">El INDEC publica la encuesta junto con el informe mensual de la construcción, unas semanas después del cierre del período relevado.</w:t>
            </w:r>
          </w:p>
        </w:tc>
      </w:tr>
      <w:tr>
        <w:trPr>
          <w:cantSplit/>
        </w:trPr>
        <w:tc>
          <w:p>
            <w:pPr>
              <w:pStyle w:val="Compact"/>
              <w:jc w:val="left"/>
            </w:pPr>
            <w:r>
              <w:rPr>
                <w:bCs/>
                <w:b/>
                <w:sz w:val="18"/>
              </w:rPr>
              <w:t xml:space="preserve">PRODUCTOR DEL DATO</w:t>
            </w:r>
          </w:p>
        </w:tc>
        <w:tc>
          <w:p>
            <w:pPr>
              <w:pStyle w:val="Compact"/>
              <w:jc w:val="left"/>
            </w:pPr>
            <w:r>
              <w:rPr>
                <w:sz w:val="18"/>
              </w:rPr>
              <w:t xml:space="preserve">INDEC</w:t>
            </w:r>
          </w:p>
        </w:tc>
        <w:tc>
          <w:p>
            <w:pPr>
              <w:pStyle w:val="Compact"/>
              <w:jc w:val="left"/>
            </w:pPr>
            <w:r>
              <w:rPr>
                <w:bCs/>
                <w:b/>
                <w:sz w:val="18"/>
              </w:rPr>
              <w:t xml:space="preserve">OPERACIÓN ESTADÍSTICA</w:t>
            </w:r>
          </w:p>
        </w:tc>
        <w:tc>
          <w:p>
            <w:pPr>
              <w:pStyle w:val="Compact"/>
              <w:jc w:val="left"/>
            </w:pPr>
            <w:r>
              <w:rPr>
                <w:sz w:val="18"/>
              </w:rPr>
              <w:t xml:space="preserve">Encuesta Cualitativa de la Construcción — expectativas de las empresas sobre el nivel de actividad de los próximos tres meses, con respuestas separadas para obra pública y obra privada (Cuadro 7.1)</w:t>
            </w:r>
          </w:p>
        </w:tc>
      </w:tr>
      <w:tr>
        <w:trPr>
          <w:cantSplit/>
        </w:trPr>
        <w:tc>
          <w:p>
            <w:pPr>
              <w:pStyle w:val="Compact"/>
              <w:jc w:val="left"/>
            </w:pPr>
            <w:r>
              <w:rPr>
                <w:bCs/>
                <w:b/>
                <w:sz w:val="18"/>
              </w:rPr>
              <w:t xml:space="preserve">MODO DE ACCESO</w:t>
            </w:r>
          </w:p>
        </w:tc>
        <w:tc>
          <w:p>
            <w:pPr>
              <w:pStyle w:val="Compact"/>
              <w:jc w:val="left"/>
            </w:pPr>
            <w:r>
              <w:rPr>
                <w:sz w:val="18"/>
              </w:rPr>
              <w:t xml:space="preserve">Automático: descarga la planilla oficial del indicador sintético de la actividad de la construcción y lee el cuadro de expectativas.</w:t>
            </w:r>
          </w:p>
        </w:tc>
        <w:tc>
          <w:p>
            <w:pPr>
              <w:pStyle w:val="Compact"/>
              <w:jc w:val="left"/>
            </w:pPr>
            <w:r>
              <w:rPr>
                <w:bCs/>
                <w:b/>
                <w:sz w:val="18"/>
              </w:rPr>
              <w:t xml:space="preserve">ÚLTIMA ACTUALIZACIÓN</w:t>
            </w:r>
          </w:p>
        </w:tc>
        <w:tc>
          <w:p>
            <w:pPr>
              <w:pStyle w:val="Compact"/>
              <w:jc w:val="left"/>
            </w:pPr>
            <w:r>
              <w:rPr>
                <w:sz w:val="18"/>
              </w:rPr>
              <w:t xml:space="preserve">Dato a 2026-09 · informe generado el 2026-08-09</w:t>
            </w:r>
          </w:p>
        </w:tc>
      </w:tr>
    </w:tbl>
    <w:bookmarkEnd w:id="45"/>
    <w:bookmarkStart w:id="46" w:name="definición-qué-mide-y-por-qué-importa-2"/>
    <w:p>
      <w:pPr>
        <w:pStyle w:val="Heading2"/>
        <w:keepNext/>
      </w:pPr>
      <w:r>
        <w:t xml:space="preserve">Definición — qué mide y por qué importa</w:t>
      </w:r>
    </w:p>
    <w:p>
      <w:pPr>
        <w:pStyle w:val="FirstParagraph"/>
      </w:pPr>
      <w:r>
        <w:t xml:space="preserve">La diferencia entre lo que esperan las empresas constructoras que trabajan para el Estado y lo que esperan las que trabajan para clientes privados. El INDEC les pregunta todos los meses si creen que su actividad va a subir o bajar en el trimestre siguiente, y publica las dos respuestas por separado. El indicador resta una de la otra y promedia los últimos doce meses.</w:t>
      </w:r>
    </w:p>
    <w:p>
      <w:pPr>
        <w:pStyle w:val="BodyText"/>
      </w:pPr>
      <w:r>
        <w:t xml:space="preserve">Conviene una advertencia antes del dato: este indicador se comporta distinto según el gobierno, porque para el actual el recorte de la obra pública es el programa y no un síntoma de dificultades, de modo que la tensión con el sector puede subir mientras el Gobierno gobierna con comodidad. Dicho eso, lo que mide es sólido. Las dos submuestras son el mismo sector: mismos costos, mismo crédito, misma economía. Lo único que las distingue es quién les paga. Por eso la diferencia entre ambas aísla lo que aporta el Estado y descarta el ciclo económico general. Cuando las que dependen de la obra pública esperan mucho peor que sus pares privadas, la fuente del problema es la política pública y no el mercado.</w:t>
      </w:r>
    </w:p>
    <w:p>
      <w:pPr>
        <w:pStyle w:val="BodyText"/>
      </w:pPr>
      <w:r>
        <w:rPr>
          <w:bCs/>
          <w:b/>
        </w:rPr>
        <w:t xml:space="preserve">Dimensión que integra — Sector privado.</w:t>
      </w:r>
      <w:r>
        <w:t xml:space="preserve"> </w:t>
      </w:r>
      <w:r>
        <w:t xml:space="preserve">La relación con los empresarios, medida por la diferencia entre lo que esperan las constructoras que trabajan para el Estado y lo que esperan sus pares que trabajan para clientes privados. Al ser el mismo sector, con los mismos costos y el mismo crédito, lo único que las separa es quién les paga: la diferencia aísla lo que aporta la política pública y descarta el ciclo económico.</w:t>
      </w:r>
    </w:p>
    <w:bookmarkEnd w:id="46"/>
    <w:bookmarkStart w:id="47" w:name="método-de-cómputo-2"/>
    <w:p>
      <w:pPr>
        <w:pStyle w:val="Heading2"/>
        <w:keepNext/>
      </w:pPr>
      <w:r>
        <w:t xml:space="preserve">Método de cómputo</w:t>
      </w:r>
    </w:p>
    <w:p>
      <w:pPr>
        <w:numPr>
          <w:ilvl w:val="0"/>
          <w:numId w:val="1010"/>
        </w:numPr>
        <w:pStyle w:val="Compact"/>
      </w:pPr>
      <w:r>
        <w:t xml:space="preserve">Para cada grupo de empresas se calcula un saldo de respuesta: el porcentaje que espera que su actividad aumente menos el porcentaje que espera que disminuya. Quienes esperan que no varíe no suman ni restan.</w:t>
      </w:r>
    </w:p>
    <w:p>
      <w:pPr>
        <w:numPr>
          <w:ilvl w:val="0"/>
          <w:numId w:val="1010"/>
        </w:numPr>
        <w:pStyle w:val="Compact"/>
      </w:pPr>
      <w:r>
        <w:t xml:space="preserve">La brecha es el saldo de las empresas de obra pública menos el de las de obra privada. Cero significa que ambos grupos esperan lo mismo; un valor negativo, que las que dependen del Estado esperan peor que sus pares privadas.</w:t>
      </w:r>
    </w:p>
    <w:p>
      <w:pPr>
        <w:numPr>
          <w:ilvl w:val="0"/>
          <w:numId w:val="1010"/>
        </w:numPr>
        <w:pStyle w:val="Compact"/>
      </w:pPr>
      <w:r>
        <w:t xml:space="preserve">Se promedian los últimos doce meses. La lectura mensual es volátil —salta unos seis puntos de un mes al siguiente— y el promedio móvil deja ver el movimiento de fondo sin perder capacidad de reacción.</w:t>
      </w:r>
    </w:p>
    <w:p>
      <w:pPr>
        <w:numPr>
          <w:ilvl w:val="0"/>
          <w:numId w:val="1010"/>
        </w:numPr>
        <w:pStyle w:val="Compact"/>
      </w:pPr>
      <w:r>
        <w:t xml:space="preserve">La serie se reconstruye con el mismo cálculo desde noviembre de 2017, de modo que hay línea de base de tres gobiernos anteriores contra la cual comparar.</w:t>
      </w:r>
    </w:p>
    <w:bookmarkEnd w:id="47"/>
    <w:bookmarkStart w:id="48" w:name="Xeaceac25dc22f621ad8bee78d29eedd39b8dc62"/>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(pp de brecha (obra pública − privada, 12m))</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−7</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−15 – −7</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−18,33 – −15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−18,33</w:t>
            </w:r>
          </w:p>
        </w:tc>
        <w:tc>
          <w:tcPr>
            <w:shd w:val="clear" w:color="auto" w:fill="FEE2E2"/>
          </w:tcPr>
          <w:p>
            <w:pPr>
              <w:pStyle w:val="Compact"/>
              <w:jc w:val="center"/>
            </w:pPr>
            <w:r>
              <w:rPr>
                <w:b/>
                <w:sz w:val="18"/>
                <w:color w:val="7F1D1D"/>
              </w:rPr>
              <w:t xml:space="preserve">ROJO</w:t>
            </w:r>
          </w:p>
        </w:tc>
      </w:tr>
    </w:tbl>
    <w:bookmarkEnd w:id="48"/>
    <w:bookmarkStart w:id="49" w:name="datos-concretos-detrás-del-valor-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1"/>
        </w:numPr>
        <w:pStyle w:val="Compact"/>
      </w:pPr>
      <w:r>
        <w:t xml:space="preserve">Brecha de -1,1 pp entre lo que esperan las constructoras de obra pública y las de obra privada (promedio de 12 meses). Negativa = las que dependen del Estado esperan peor que sus pares privadas.</w:t>
      </w:r>
    </w:p>
    <w:bookmarkEnd w:id="49"/>
    <w:bookmarkStart w:id="50" w:name="color-vigente-y-por-qué-2"/>
    <w:p>
      <w:pPr>
        <w:pStyle w:val="Heading2"/>
        <w:keepNext/>
      </w:pPr>
      <w:r>
        <w:t xml:space="preserve">Color vigente y por qué</w:t>
      </w:r>
    </w:p>
    <w:p>
      <w:pPr>
        <w:pStyle w:val="FirstParagraph"/>
      </w:pPr>
      <w:r>
        <w:t xml:space="preserve">Dato vigente: −1,1 pp de brecha (obra pública − privada, 12m) (2026-09).</w:t>
      </w:r>
    </w:p>
    <w:p>
      <w:pPr>
        <w:pStyle w:val="BodyText"/>
      </w:pPr>
      <w:r>
        <w:t xml:space="preserve">−1,1 pp de brecha (obra pública − privada, 12m) cae en el tramo que corresponde a Verde, a 5,9 del corte más cercano.</w:t>
      </w:r>
    </w:p>
    <w:p>
      <w:pPr>
        <w:pStyle w:val="BodyText"/>
      </w:pPr>
      <w:r>
        <w:rPr>
          <w:bCs/>
          <w:b/>
        </w:rPr>
        <w:t xml:space="preserve">Color vigente: VERDE</w:t>
      </w:r>
    </w:p>
    <w:p>
      <w:pPr>
        <w:pStyle w:val="BodyText"/>
      </w:pPr>
      <w:r>
        <w:t xml:space="preserve">Ponderación vigente en el ITCP: 6,5 % efectivo. El color es una lectura adicional — no reemplaza ni cambia esta ponderación.</w:t>
      </w:r>
    </w:p>
    <w:bookmarkEnd w:id="50"/>
    <w:bookmarkStart w:id="51" w:name="transparencia-limitaciones-declaradas-2"/>
    <w:p>
      <w:pPr>
        <w:pStyle w:val="Heading2"/>
        <w:keepNext/>
      </w:pPr>
      <w:r>
        <w:t xml:space="preserve">Transparencia — limitaciones declaradas</w:t>
      </w:r>
    </w:p>
    <w:p>
      <w:pPr>
        <w:numPr>
          <w:ilvl w:val="0"/>
          <w:numId w:val="1012"/>
        </w:numPr>
        <w:pStyle w:val="Compact"/>
      </w:pPr>
      <w:r>
        <w:t xml:space="preserve">El comportamiento del indicador depende del gobierno que se mida, y conviene saberlo antes de leerlo. Contrastado contra el índice de incertidumbre de política económica, acompaña esa incertidumbre durante las dos administraciones anteriores —correlación de −0,56 con Macri y de −0,64 con Alberto Fernández, el signo esperado— y se invierte con la actual, donde da +0,33. La razón es sustantiva y no estadística: para gobiernos anteriores la tensión con las empresas que dependen del Estado era un síntoma de dificultades, mientras que para el actual el recorte de la obra pública es el programa de gobierno. Ejecutarlo reduce la incertidumbre sobre la política económica al mismo tiempo que tensa la relación con ese sector. El caso más claro es 2024: el indicador marcó el peor valor de sus diez años de serie durante el año en que se sancionó la Ley Bases y la incertidumbre de política tocó su nivel más bajo del período.</w:t>
      </w:r>
    </w:p>
    <w:p>
      <w:pPr>
        <w:numPr>
          <w:ilvl w:val="0"/>
          <w:numId w:val="1012"/>
        </w:numPr>
        <w:pStyle w:val="Compact"/>
      </w:pPr>
      <w:r>
        <w:t xml:space="preserve">De lo anterior se sigue el límite de fondo: el indicador mide bien la tensión, pero no distingue cuándo esa tensión es un costo que el Gobierno sufre y cuándo es un precio que decide pagar. El índice lo puntúa como costo. Un lector que quiera evaluar capacidad de gobierno debería leerlo junto con lo que el Gobierno logró en el mismo período, no de forma aislada.</w:t>
      </w:r>
    </w:p>
    <w:p>
      <w:pPr>
        <w:numPr>
          <w:ilvl w:val="0"/>
          <w:numId w:val="1012"/>
        </w:numPr>
        <w:pStyle w:val="Compact"/>
      </w:pPr>
      <w:r>
        <w:t xml:space="preserve">Mide un solo canal de conflicto: el gasto en infraestructura. Sería ciego a una tensión con el agro, la energía o los bancos, y por eso conviene leerlo como lo que es —la relación del Gobierno con el sector que depende de la obra pública— y no como un termómetro del humor empresario en general.</w:t>
      </w:r>
    </w:p>
    <w:p>
      <w:pPr>
        <w:numPr>
          <w:ilvl w:val="0"/>
          <w:numId w:val="1012"/>
        </w:numPr>
        <w:pStyle w:val="Compact"/>
      </w:pPr>
      <w:r>
        <w:t xml:space="preserve">Son expectativas declaradas, no decisiones tomadas. Conviene contrastarlo con el volumen de insumos de construcción efectivamente vendidos: si las expectativas se hunden y las ventas no caen, la tensión es sobre todo discursiva.</w:t>
      </w:r>
    </w:p>
    <w:p>
      <w:pPr>
        <w:numPr>
          <w:ilvl w:val="0"/>
          <w:numId w:val="1012"/>
        </w:numPr>
        <w:pStyle w:val="Compact"/>
      </w:pPr>
      <w:r>
        <w:t xml:space="preserve">La pregunta indaga por el cambio esperado, no por el nivel. Un recorte sostenido termina normalizándose: cuando las empresas se acostumbran al presupuesto nuevo dejan de esperar caídas adicionales y la brecha vuelve a cero aunque la obra pública siga en un piso históricamente bajo.</w:t>
      </w:r>
    </w:p>
    <w:p>
      <w:pPr>
        <w:numPr>
          <w:ilvl w:val="0"/>
          <w:numId w:val="1012"/>
        </w:numPr>
        <w:pStyle w:val="Compact"/>
      </w:pPr>
      <w:r>
        <w:t xml:space="preserve">La encuesta releva grandes empresas constructoras; las pequeñas y las regionales están subrepresentadas.</w:t>
      </w:r>
    </w:p>
    <w:bookmarkEnd w:id="51"/>
    <w:bookmarkStart w:id="52" w:name="Xef0254494c8cbb948c0e61c654d5e9b1983623c"/>
    <w:p>
      <w:pPr>
        <w:pStyle w:val="Heading2"/>
        <w:keepNext/>
      </w:pPr>
      <w:r>
        <w:t xml:space="preserve">Si falta el dato / Política de revisiones</w:t>
      </w:r>
    </w:p>
    <w:p>
      <w:pPr>
        <w:numPr>
          <w:ilvl w:val="0"/>
          <w:numId w:val="1013"/>
        </w:numPr>
      </w:pPr>
      <w:r>
        <w:rPr>
          <w:bCs/>
          <w:b/>
        </w:rPr>
        <w:t xml:space="preserve">Si falta el dato:</w:t>
      </w:r>
      <w:r>
        <w:t xml:space="preserve"> </w:t>
      </w:r>
      <w:r>
        <w:t xml:space="preserve">Si la planilla no está disponible, se mantiene el último valor, señalado como desactualizado; sin ningún valor previo, el indicador queda fuera y su dimensión no puntúa.</w:t>
      </w:r>
    </w:p>
    <w:p>
      <w:pPr>
        <w:numPr>
          <w:ilvl w:val="0"/>
          <w:numId w:val="1013"/>
        </w:numPr>
      </w:pPr>
      <w:r>
        <w:rPr>
          <w:bCs/>
          <w:b/>
        </w:rPr>
        <w:t xml:space="preserve">Política de revisiones:</w:t>
      </w:r>
      <w:r>
        <w:t xml:space="preserve"> </w:t>
      </w:r>
      <w:r>
        <w:t xml:space="preserve">El INDEC puede revisar los porcentajes de meses anteriores al ampliarse la muestra respondente. Cada actualización recalcula la serie completa desde el origen, de modo que las revisiones se incorporan solas.</w:t>
      </w:r>
    </w:p>
    <w:bookmarkEnd w:id="52"/>
    <w:bookmarkStart w:id="53" w:name="X26b91c30c62ddbbdbd672bb193ae636df8c7ae1"/>
    <w:p>
      <w:pPr>
        <w:pStyle w:val="Heading2"/>
        <w:keepNext/>
      </w:pPr>
      <w:r>
        <w:t xml:space="preserve">Historial — cambios metodológicos documentados</w:t>
      </w:r>
    </w:p>
    <w:p>
      <w:pPr>
        <w:pStyle w:val="FirstParagraph"/>
      </w:pPr>
      <w:r>
        <w:rPr>
          <w:bCs/>
          <w:b/>
        </w:rPr>
        <w:t xml:space="preserve">2026-07-19</w:t>
      </w:r>
      <w:r>
        <w:t xml:space="preserve"> </w:t>
      </w:r>
      <w:r>
        <w:t xml:space="preserve">— Entra al cinturón como primer indicador de la nueva dimensión de sector privado. Una revisión externa del cinturón señaló que de los tres actores que el índice se propone medir —legisladores, gobernadores y empresarios— el tercero no tenía ningún indicador propio.</w:t>
      </w:r>
    </w:p>
    <w:p>
      <w:pPr>
        <w:pStyle w:val="BodyText"/>
      </w:pPr>
      <w:r>
        <w:rPr>
          <w:bCs/>
          <w:b/>
        </w:rPr>
        <w:t xml:space="preserve">2026-07-20</w:t>
      </w:r>
      <w:r>
        <w:t xml:space="preserve"> </w:t>
      </w:r>
      <w:r>
        <w:t xml:space="preserve">— Al revisar el efecto de la incorporación sobre la validación externa del índice apareció que este indicador se comporta de manera distinta según el gobierno: acompaña a la incertidumbre de política económica con las dos administraciones anteriores y se invierte con la actual. Se decidió mantenerlo puntuando y publicar el hallazgo, en lugar de retirarlo o de reducir su peso para que el número diera mejor. La explicación completa quedó en las limitaciones de esta ficha.</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53"/>
    <w:bookmarkEnd w:id="54"/>
    <w:bookmarkStart w:id="64" w:name="X750db741aa2be1baf7a000f2942557ae2936566"/>
    <w:p>
      <w:pPr>
        <w:pStyle w:val="Heading1"/>
        <w:keepNext/>
      </w:pPr>
      <w:r>
        <w:t xml:space="preserve">Postura pública de las cámaras empresarias</w:t>
      </w:r>
    </w:p>
    <w:p>
      <w:pPr>
        <w:pStyle w:val="FirstParagraph"/>
      </w:pPr>
      <w:r>
        <w:t xml:space="preserve">Qué dicen en público, por escrito y con firma institucional, las dos cámaras empresarias de referencia —la Asociación Empresaria Argentina y la Unión Industrial Argentina— sobre las medidas del Gobierno nacional. Cada comunicado se lee y se clasifica: si respalda o critica, y a quién le habla. Se cuentan sólo los que se pronuncian sobre una medida del Ejecutivo nacional, y el indicador es el saldo entre apoyos y críticas de los últimos doce meses.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−0,43 saldo de postura (−1 a +1, 12m móviles)</w:t>
            </w:r>
            <w:r>
              <w:rPr>
                <w:sz w:val="18"/>
              </w:rPr>
              <w:t xml:space="preserve"> </w:t>
            </w:r>
            <w:r>
              <w:rPr>
                <w:sz w:val="18"/>
              </w:rPr>
              <w:t xml:space="preserve">(2026-08)</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6,5 % del ITCP</w:t>
            </w:r>
          </w:p>
        </w:tc>
        <w:tc>
          <w:p>
            <w:pPr>
              <w:pStyle w:val="Compact"/>
              <w:jc w:val="left"/>
            </w:pPr>
            <w:r>
              <w:rPr>
                <w:sz w:val="18"/>
              </w:rPr>
              <w:t xml:space="preserve">Cinturón Política</w:t>
            </w:r>
          </w:p>
        </w:tc>
      </w:tr>
    </w:tbl>
    <w:bookmarkStart w:id="55" w:name="identificación-3"/>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apoyo_empresario</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Sector privado</w:t>
            </w:r>
          </w:p>
        </w:tc>
        <w:tc>
          <w:p>
            <w:pPr>
              <w:pStyle w:val="Compact"/>
              <w:jc w:val="left"/>
            </w:pPr>
            <w:r>
              <w:rPr>
                <w:bCs/>
                <w:b/>
                <w:sz w:val="18"/>
              </w:rPr>
              <w:t xml:space="preserve">UNIDAD DE MEDIDA</w:t>
            </w:r>
          </w:p>
        </w:tc>
        <w:tc>
          <w:p>
            <w:pPr>
              <w:pStyle w:val="Compact"/>
              <w:jc w:val="left"/>
            </w:pPr>
            <w:r>
              <w:rPr>
                <w:sz w:val="18"/>
              </w:rPr>
              <w:t xml:space="preserve">saldo de postura (−1 a +1, 12m móviles)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Ninguno en la fuente: los comunicados se publican el día en que la cámara los emite. El retraso es el de la clasificación, que hace una persona.</w:t>
            </w:r>
          </w:p>
        </w:tc>
      </w:tr>
      <w:tr>
        <w:trPr>
          <w:cantSplit/>
        </w:trPr>
        <w:tc>
          <w:p>
            <w:pPr>
              <w:pStyle w:val="Compact"/>
              <w:jc w:val="left"/>
            </w:pPr>
            <w:r>
              <w:rPr>
                <w:bCs/>
                <w:b/>
                <w:sz w:val="18"/>
              </w:rPr>
              <w:t xml:space="preserve">PRODUCTOR DEL DATO</w:t>
            </w:r>
          </w:p>
        </w:tc>
        <w:tc>
          <w:p>
            <w:pPr>
              <w:pStyle w:val="Compact"/>
              <w:jc w:val="left"/>
            </w:pPr>
            <w:r>
              <w:rPr>
                <w:sz w:val="18"/>
              </w:rPr>
              <w:t xml:space="preserve">Asociación Empresaria Argentina (AEA) y Unión Industrial Argentina (UIA)</w:t>
            </w:r>
          </w:p>
        </w:tc>
        <w:tc>
          <w:p>
            <w:pPr>
              <w:pStyle w:val="Compact"/>
              <w:jc w:val="left"/>
            </w:pPr>
            <w:r>
              <w:rPr>
                <w:bCs/>
                <w:b/>
                <w:sz w:val="18"/>
              </w:rPr>
              <w:t xml:space="preserve">OPERACIÓN ESTADÍSTICA</w:t>
            </w:r>
          </w:p>
        </w:tc>
        <w:tc>
          <w:p>
            <w:pPr>
              <w:pStyle w:val="Compact"/>
              <w:jc w:val="left"/>
            </w:pPr>
            <w:r>
              <w:rPr>
                <w:sz w:val="18"/>
              </w:rPr>
              <w:t xml:space="preserve">Comunicados institucionales fechados de las secciones de prensa de ambas entidades</w:t>
            </w:r>
          </w:p>
        </w:tc>
      </w:tr>
      <w:tr>
        <w:trPr>
          <w:cantSplit/>
        </w:trPr>
        <w:tc>
          <w:p>
            <w:pPr>
              <w:pStyle w:val="Compact"/>
              <w:jc w:val="left"/>
            </w:pPr>
            <w:r>
              <w:rPr>
                <w:bCs/>
                <w:b/>
                <w:sz w:val="18"/>
              </w:rPr>
              <w:t xml:space="preserve">MODO DE ACCESO</w:t>
            </w:r>
          </w:p>
        </w:tc>
        <w:tc>
          <w:p>
            <w:pPr>
              <w:pStyle w:val="Compact"/>
              <w:jc w:val="left"/>
            </w:pPr>
            <w:r>
              <w:rPr>
                <w:sz w:val="18"/>
              </w:rPr>
              <w:t xml:space="preserve">Semiautomático: un proceso diario detecta los comunicados nuevos y los deja pendientes; la clasificación de cada uno la hace una persona.</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55"/>
    <w:bookmarkStart w:id="56" w:name="definición-qué-mide-y-por-qué-importa-3"/>
    <w:p>
      <w:pPr>
        <w:pStyle w:val="Heading2"/>
        <w:keepNext/>
      </w:pPr>
      <w:r>
        <w:t xml:space="preserve">Definición — qué mide y por qué importa</w:t>
      </w:r>
    </w:p>
    <w:p>
      <w:pPr>
        <w:pStyle w:val="FirstParagraph"/>
      </w:pPr>
      <w:r>
        <w:t xml:space="preserve">Qué dicen en público, por escrito y con firma institucional, las dos cámaras empresarias de referencia —la Asociación Empresaria Argentina y la Unión Industrial Argentina— sobre las medidas del Gobierno nacional. Cada comunicado se lee y se clasifica: si respalda o critica, y a quién le habla. Se cuentan sólo los que se pronuncian sobre una medida del Ejecutivo nacional, y el indicador es el saldo entre apoyos y críticas de los últimos doce meses.</w:t>
      </w:r>
    </w:p>
    <w:p>
      <w:pPr>
        <w:pStyle w:val="BodyText"/>
      </w:pPr>
      <w:r>
        <w:t xml:space="preserve">Es la única medida directa de la relación entre el Gobierno y el empresariado organizado: las demás miran el clima de negocios o los datos de un sector, y de ahí infieren el vínculo. Acá el vínculo está dicho. Conviene saber qué no dice: no mide el humor del empresariado en general ni la opinión de sus asociados, sino lo que una asociación decidió declarar públicamente — una cámara puede callar por conveniencia y ese silencio no aparece. La clasificación la hace una persona siguiendo reglas escritas de antemano, y dos personas distintas la hicieron por separado para verificar que las reglas no dejan lugar a la interpretación.</w:t>
      </w:r>
    </w:p>
    <w:p>
      <w:pPr>
        <w:pStyle w:val="BodyText"/>
      </w:pPr>
      <w:r>
        <w:rPr>
          <w:bCs/>
          <w:b/>
        </w:rPr>
        <w:t xml:space="preserve">Dimensión que integra — Sector privado.</w:t>
      </w:r>
      <w:r>
        <w:t xml:space="preserve"> </w:t>
      </w:r>
      <w:r>
        <w:t xml:space="preserve">La relación con los empresarios, medida por la diferencia entre lo que esperan las constructoras que trabajan para el Estado y lo que esperan sus pares que trabajan para clientes privados. Al ser el mismo sector, con los mismos costos y el mismo crédito, lo único que las separa es quién les paga: la diferencia aísla lo que aporta la política pública y descarta el ciclo económico.</w:t>
      </w:r>
    </w:p>
    <w:bookmarkEnd w:id="56"/>
    <w:bookmarkStart w:id="57" w:name="método-de-cómputo-3"/>
    <w:p>
      <w:pPr>
        <w:pStyle w:val="Heading2"/>
        <w:keepNext/>
      </w:pPr>
      <w:r>
        <w:t xml:space="preserve">Método de cómputo</w:t>
      </w:r>
    </w:p>
    <w:p>
      <w:pPr>
        <w:numPr>
          <w:ilvl w:val="0"/>
          <w:numId w:val="1014"/>
        </w:numPr>
        <w:pStyle w:val="Compact"/>
      </w:pPr>
      <w:r>
        <w:t xml:space="preserve">Cada comunicado se clasifica en dos ejes, con reglas escritas antes de mirar el material: qué dice sobre lo que comenta —respalda, critica o no toma posición— y a quién le habla, que puede ser el Gobierno nacional, el Congreso, una provincia o municipio, la Justicia, o un asunto externo o de la propia entidad.</w:t>
      </w:r>
    </w:p>
    <w:p>
      <w:pPr>
        <w:numPr>
          <w:ilvl w:val="0"/>
          <w:numId w:val="1014"/>
        </w:numPr>
        <w:pStyle w:val="Compact"/>
      </w:pPr>
      <w:r>
        <w:t xml:space="preserve">Sólo entran al cálculo los comunicados dirigidos al Gobierno nacional que respaldan o critican. Los que informan una reunión, un acto institucional, un cambio de autoridades o una condolencia no toman posición y quedan afuera aunque hablen del Gobierno, y también quedan afuera los dirigidos a los otros poderes.</w:t>
      </w:r>
    </w:p>
    <w:p>
      <w:pPr>
        <w:numPr>
          <w:ilvl w:val="0"/>
          <w:numId w:val="1014"/>
        </w:numPr>
        <w:pStyle w:val="Compact"/>
      </w:pPr>
      <w:r>
        <w:t xml:space="preserve">El indicador es el saldo de los últimos doce meses: apoyos menos críticas, dividido por el total. Va de −1, si todo fue crítica, a +1 si todo fue apoyo.</w:t>
      </w:r>
    </w:p>
    <w:p>
      <w:pPr>
        <w:numPr>
          <w:ilvl w:val="0"/>
          <w:numId w:val="1014"/>
        </w:numPr>
        <w:pStyle w:val="Compact"/>
      </w:pPr>
      <w:r>
        <w:t xml:space="preserve">Un mes sin ningún comunicado que se pronuncie sobre el Gobierno nacional queda sin valor y no se rellena con cero: cero significa que las cámaras apoyaron tanto como criticaron, que es una afirmación distinta de que no se pronunciaron. En los treinta y dos meses de serie no ocurrió: el mínimo es de tres pronunciamientos por ventana y el promedio, de casi seis.</w:t>
      </w:r>
    </w:p>
    <w:bookmarkEnd w:id="57"/>
    <w:bookmarkStart w:id="58" w:name="X884d325e79d6de86b403bfd00b9257f415af6f1"/>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(saldo de postura (−1 a +1, 12m móviles))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−0,08</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−0,4 – −0,08</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−0,53 – −0,4</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−0,53</w:t>
            </w:r>
          </w:p>
        </w:tc>
        <w:tc>
          <w:tcPr>
            <w:shd w:val="clear" w:color="auto" w:fill="FEE2E2"/>
          </w:tcPr>
          <w:p>
            <w:pPr>
              <w:pStyle w:val="Compact"/>
              <w:jc w:val="center"/>
            </w:pPr>
            <w:r>
              <w:rPr>
                <w:b/>
                <w:sz w:val="18"/>
                <w:color w:val="7F1D1D"/>
              </w:rPr>
              <w:t xml:space="preserve">ROJO</w:t>
            </w:r>
          </w:p>
        </w:tc>
      </w:tr>
    </w:tbl>
    <w:bookmarkEnd w:id="58"/>
    <w:bookmarkStart w:id="59" w:name="datos-concretos-detrás-del-valor-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5"/>
        </w:numPr>
        <w:pStyle w:val="Compact"/>
      </w:pPr>
      <w:r>
        <w:t xml:space="preserve">En los últimos doce meses AEA y UIA se pronunciaron 7 veces sobre medidas del Gobierno nacional: 2 de apoyo y 5 de crítica. Saldo −0,429 en una escala de −1 (todo crítica) a +1 (todo apoyo).</w:t>
      </w:r>
    </w:p>
    <w:bookmarkEnd w:id="59"/>
    <w:bookmarkStart w:id="60" w:name="color-vigente-y-por-qué-3"/>
    <w:p>
      <w:pPr>
        <w:pStyle w:val="Heading2"/>
        <w:keepNext/>
      </w:pPr>
      <w:r>
        <w:t xml:space="preserve">Color vigente y por qué</w:t>
      </w:r>
    </w:p>
    <w:p>
      <w:pPr>
        <w:pStyle w:val="FirstParagraph"/>
      </w:pPr>
      <w:r>
        <w:t xml:space="preserve">Dato vigente: −0,43 saldo de postura (−1 a +1, 12m móviles) (2026-08).</w:t>
      </w:r>
    </w:p>
    <w:p>
      <w:pPr>
        <w:pStyle w:val="BodyText"/>
      </w:pPr>
      <w:r>
        <w:t xml:space="preserve">−0,429 saldo de postura (−1 a +1, 12m móviles) cae en el tramo que corresponde a Naranja, a 0,03 del corte más cercano.</w:t>
      </w:r>
    </w:p>
    <w:p>
      <w:pPr>
        <w:pStyle w:val="BodyText"/>
      </w:pPr>
      <w:r>
        <w:rPr>
          <w:bCs/>
          <w:b/>
        </w:rPr>
        <w:t xml:space="preserve">Color vigente: NARANJA</w:t>
      </w:r>
    </w:p>
    <w:p>
      <w:pPr>
        <w:pStyle w:val="BodyText"/>
      </w:pPr>
      <w:r>
        <w:t xml:space="preserve">Ponderación vigente en el ITCP: 6,5 % efectivo. El color es una lectura adicional — no reemplaza ni cambia esta ponderación.</w:t>
      </w:r>
    </w:p>
    <w:bookmarkEnd w:id="60"/>
    <w:bookmarkStart w:id="61" w:name="transparencia-limitaciones-declaradas-3"/>
    <w:p>
      <w:pPr>
        <w:pStyle w:val="Heading2"/>
        <w:keepNext/>
      </w:pPr>
      <w:r>
        <w:t xml:space="preserve">Transparencia — limitaciones declaradas</w:t>
      </w:r>
    </w:p>
    <w:p>
      <w:pPr>
        <w:numPr>
          <w:ilvl w:val="0"/>
          <w:numId w:val="1016"/>
        </w:numPr>
        <w:pStyle w:val="Compact"/>
      </w:pPr>
      <w:r>
        <w:t xml:space="preserve">Mide lo que una asociación decidió declarar en público, no el humor del empresariado ni la opinión de sus asociados. Una cámara puede callar por conveniencia, y ese silencio no aparece en ninguna parte del indicador.</w:t>
      </w:r>
    </w:p>
    <w:p>
      <w:pPr>
        <w:numPr>
          <w:ilvl w:val="0"/>
          <w:numId w:val="1016"/>
        </w:numPr>
        <w:pStyle w:val="Compact"/>
      </w:pPr>
      <w:r>
        <w:t xml:space="preserve">Son dos entidades. Se revisaron ocho cámaras y sólo estas dos publican comunicados de postura de manera sostenida: el resto publica agenda institucional, servicios al socio o boletines regulatorios, y dos no tienen contenido accesible. Eso deja fuera al agro y a la banca, que en el país tienen conflictos propios con el Estado.</w:t>
      </w:r>
    </w:p>
    <w:p>
      <w:pPr>
        <w:numPr>
          <w:ilvl w:val="0"/>
          <w:numId w:val="1016"/>
        </w:numPr>
        <w:pStyle w:val="Compact"/>
      </w:pPr>
      <w:r>
        <w:t xml:space="preserve">La clasificación la hace una persona, y por eso el indicador no puede actualizarse solo. Un proceso diario avisa cuando hay comunicados nuevos, pero si nadie los clasifica la serie se congela sin que nada falle: por eso la cantidad de pendientes se muestra en la ficha del indicador.</w:t>
      </w:r>
    </w:p>
    <w:p>
      <w:pPr>
        <w:numPr>
          <w:ilvl w:val="0"/>
          <w:numId w:val="1016"/>
        </w:numPr>
        <w:pStyle w:val="Compact"/>
      </w:pPr>
      <w:r>
        <w:t xml:space="preserve">Para verificar que las reglas de clasificación no dejan lugar a la interpretación, dos codificadores independientes clasificaron por separado los ciento tres comunicados sin ver el trabajo del otro: coincidieron en el cien por ciento de las posturas y en el noventa y siete por ciento de los destinatarios, y el conjunto de comunicados que entran al cálculo resultó idéntico. Cabe una advertencia sobre esa prueba: ambos codificadores son sistemas de inteligencia artificial del mismo tipo, que comparten criterios previos y por lo tanto coinciden más de lo que coincidirían dos personas de formación distinta. La prueba acredita que el manual es unívoco, no que cualquier par de lectores llegaría al mismo número.</w:t>
      </w:r>
    </w:p>
    <w:p>
      <w:pPr>
        <w:numPr>
          <w:ilvl w:val="0"/>
          <w:numId w:val="1016"/>
        </w:numPr>
        <w:pStyle w:val="Compact"/>
      </w:pPr>
      <w:r>
        <w:t xml:space="preserve">La ventana de doce meses hace que el indicador describa, en promedio, la situación de seis meses atrás. Un giro brusco en la relación —como el de marzo de 2026— tarda en verse completo.</w:t>
      </w:r>
    </w:p>
    <w:p>
      <w:pPr>
        <w:numPr>
          <w:ilvl w:val="0"/>
          <w:numId w:val="1016"/>
        </w:numPr>
        <w:pStyle w:val="Compact"/>
      </w:pPr>
      <w:r>
        <w:t xml:space="preserve">Los comunicados de AEA se leen de archivos PDF cuyo texto se extrae con un corte en los primeros párrafos. En los comunicados que abren con un rodeo y recién después fijan posición, esa extracción puede dejar afuera el pasaje decisivo.</w:t>
      </w:r>
    </w:p>
    <w:bookmarkEnd w:id="61"/>
    <w:bookmarkStart w:id="62" w:name="X70e697facfb18692fa01ac9fd893f095e78dfba"/>
    <w:p>
      <w:pPr>
        <w:pStyle w:val="Heading2"/>
        <w:keepNext/>
      </w:pPr>
      <w:r>
        <w:t xml:space="preserve">Si falta el dato / Política de revisiones</w:t>
      </w:r>
    </w:p>
    <w:p>
      <w:pPr>
        <w:numPr>
          <w:ilvl w:val="0"/>
          <w:numId w:val="1017"/>
        </w:numPr>
      </w:pPr>
      <w:r>
        <w:rPr>
          <w:bCs/>
          <w:b/>
        </w:rPr>
        <w:t xml:space="preserve">Si falta el dato:</w:t>
      </w:r>
      <w:r>
        <w:t xml:space="preserve"> </w:t>
      </w:r>
      <w:r>
        <w:t xml:space="preserve">Si los sitios de las cámaras no responden, el indicador no cambia: se calcula sobre el registro ya clasificado, que está guardado. Lo que se pierde es el aviso de comunicados nuevos.</w:t>
      </w:r>
    </w:p>
    <w:p>
      <w:pPr>
        <w:numPr>
          <w:ilvl w:val="0"/>
          <w:numId w:val="1017"/>
        </w:numPr>
      </w:pPr>
      <w:r>
        <w:rPr>
          <w:bCs/>
          <w:b/>
        </w:rPr>
        <w:t xml:space="preserve">Política de revisiones:</w:t>
      </w:r>
      <w:r>
        <w:t xml:space="preserve"> </w:t>
      </w:r>
      <w:r>
        <w:t xml:space="preserve">El registro de clasificación está versionado caso por caso: cualquier corrección queda a la vista con su fecha y recalcula la serie completa desde el origen.</w:t>
      </w:r>
    </w:p>
    <w:bookmarkEnd w:id="62"/>
    <w:bookmarkStart w:id="63" w:name="X57c472e6153e0a3a54ac23c7ee61d844b37a3be"/>
    <w:p>
      <w:pPr>
        <w:pStyle w:val="Heading2"/>
        <w:keepNext/>
      </w:pPr>
      <w:r>
        <w:t xml:space="preserve">Historial — cambios metodológicos documentados</w:t>
      </w:r>
    </w:p>
    <w:p>
      <w:pPr>
        <w:pStyle w:val="FirstParagraph"/>
      </w:pPr>
      <w:r>
        <w:rPr>
          <w:bCs/>
          <w:b/>
        </w:rPr>
        <w:t xml:space="preserve">2026-07-27</w:t>
      </w:r>
      <w:r>
        <w:t xml:space="preserve"> </w:t>
      </w:r>
      <w:r>
        <w:t xml:space="preserve">— Entra al cinturón como segundo indicador de la dimensión de sector privado, que hasta ahora tenía uno solo. Una revisión externa había señalado que los empresarios eran el actor peor medido del cinturón.</w:t>
      </w:r>
    </w:p>
    <w:p>
      <w:pPr>
        <w:pStyle w:val="BodyText"/>
      </w:pPr>
      <w:r>
        <w:rPr>
          <w:bCs/>
          <w:b/>
        </w:rPr>
        <w:t xml:space="preserve">2026-07-27</w:t>
      </w:r>
      <w:r>
        <w:t xml:space="preserve"> </w:t>
      </w:r>
      <w:r>
        <w:t xml:space="preserve">— Al verificar la clasificación con dos codificadores independientes se descubrió que los cincuenta y siete comunicados de la Unión Industrial se habían leído sin su texto: el proceso de descarga se quedaba con el menú de navegación del sitio y esos casos se habían clasificado sólo por el título. Se corrigió la descarga y se rehízo la clasificación completa sobre el texto real, descartando la primera. El hallazgo no vino de ninguna verificación automática sino de que los dos codificadores, por separado, avisaron que los textos venían todos iguales.</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63"/>
    <w:bookmarkEnd w:id="64"/>
    <w:bookmarkStart w:id="74" w:name="conflictividad-social-país"/>
    <w:p>
      <w:pPr>
        <w:pStyle w:val="Heading1"/>
        <w:keepNext/>
      </w:pPr>
      <w:r>
        <w:t xml:space="preserve">Conflictividad social (país)</w:t>
      </w:r>
    </w:p>
    <w:p>
      <w:pPr>
        <w:pStyle w:val="FirstParagraph"/>
      </w:pPr>
      <w:r>
        <w:t xml:space="preserve">Cuántos eventos de protesta y disturbios hubo en todo el país en los últimos 12 meses completos, comparados contra el total de 2023 (el año base del mandato). Cuenta marchas, concentraciones y disturbios registrados por ACLED, el relevamiento académico internacional estándar de conflicto social, en las 24 jurisdicciones.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−23 % vs 2023</w:t>
            </w:r>
            <w:r>
              <w:rPr>
                <w:sz w:val="18"/>
              </w:rPr>
              <w:t xml:space="preserve"> </w:t>
            </w:r>
            <w:r>
              <w:rPr>
                <w:sz w:val="18"/>
              </w:rPr>
              <w:t xml:space="preserve">(2026-06)</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10 % del ITCP</w:t>
            </w:r>
          </w:p>
        </w:tc>
        <w:tc>
          <w:p>
            <w:pPr>
              <w:pStyle w:val="Compact"/>
              <w:jc w:val="left"/>
            </w:pPr>
            <w:r>
              <w:rPr>
                <w:sz w:val="18"/>
              </w:rPr>
              <w:t xml:space="preserve">Cinturón Política</w:t>
            </w:r>
          </w:p>
        </w:tc>
      </w:tr>
    </w:tbl>
    <w:bookmarkStart w:id="65" w:name="identificación-4"/>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conflictividad_nacional</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Conflicto social</w:t>
            </w:r>
          </w:p>
        </w:tc>
        <w:tc>
          <w:p>
            <w:pPr>
              <w:pStyle w:val="Compact"/>
              <w:jc w:val="left"/>
            </w:pPr>
            <w:r>
              <w:rPr>
                <w:bCs/>
                <w:b/>
                <w:sz w:val="18"/>
              </w:rPr>
              <w:t xml:space="preserve">UNIDAD DE MEDIDA</w:t>
            </w:r>
          </w:p>
        </w:tc>
        <w:tc>
          <w:p>
            <w:pPr>
              <w:pStyle w:val="Compact"/>
              <w:jc w:val="left"/>
            </w:pPr>
            <w:r>
              <w:rPr>
                <w:sz w:val="18"/>
              </w:rPr>
              <w:t xml:space="preserve">% vs 2023</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2026-06 (31 puntos)</w:t>
            </w:r>
          </w:p>
        </w:tc>
        <w:tc>
          <w:p>
            <w:pPr>
              <w:pStyle w:val="Compact"/>
              <w:jc w:val="left"/>
            </w:pPr>
            <w:r>
              <w:rPr>
                <w:bCs/>
                <w:b/>
                <w:sz w:val="18"/>
              </w:rPr>
              <w:t xml:space="preserve">REZAGO DE PUBLICACIÓN</w:t>
            </w:r>
          </w:p>
        </w:tc>
        <w:tc>
          <w:p>
            <w:pPr>
              <w:pStyle w:val="Compact"/>
              <w:jc w:val="left"/>
            </w:pPr>
            <w:r>
              <w:rPr>
                <w:sz w:val="18"/>
              </w:rPr>
              <w:t xml:space="preserve">El agregado de ACLED se publica semanalmente y los eventos más recientes se cargan con algunos días de rezago; por eso el mes en curso se excluye del cálculo hasta que cierra.</w:t>
            </w:r>
          </w:p>
        </w:tc>
      </w:tr>
      <w:tr>
        <w:trPr>
          <w:cantSplit/>
        </w:trPr>
        <w:tc>
          <w:p>
            <w:pPr>
              <w:pStyle w:val="Compact"/>
              <w:jc w:val="left"/>
            </w:pPr>
            <w:r>
              <w:rPr>
                <w:bCs/>
                <w:b/>
                <w:sz w:val="18"/>
              </w:rPr>
              <w:t xml:space="preserve">PRODUCTOR DEL DATO</w:t>
            </w:r>
          </w:p>
        </w:tc>
        <w:tc>
          <w:p>
            <w:pPr>
              <w:pStyle w:val="Compact"/>
              <w:jc w:val="left"/>
            </w:pPr>
            <w:r>
              <w:rPr>
                <w:sz w:val="18"/>
              </w:rPr>
              <w:t xml:space="preserve">ACLED — Armed Conflict Location &amp; Event Data</w:t>
            </w:r>
          </w:p>
        </w:tc>
        <w:tc>
          <w:p>
            <w:pPr>
              <w:pStyle w:val="Compact"/>
              <w:jc w:val="left"/>
            </w:pPr>
            <w:r>
              <w:rPr>
                <w:bCs/>
                <w:b/>
                <w:sz w:val="18"/>
              </w:rPr>
              <w:t xml:space="preserve">OPERACIÓN ESTADÍSTICA</w:t>
            </w:r>
          </w:p>
        </w:tc>
        <w:tc>
          <w:p>
            <w:pPr>
              <w:pStyle w:val="Compact"/>
              <w:jc w:val="left"/>
            </w:pPr>
            <w:r>
              <w:rPr>
                <w:sz w:val="18"/>
              </w:rPr>
              <w:t xml:space="preserve">Agregado semanal de eventos por provincia para América Latina — eventos de protesta y disturbios (Protests y Riots) en la Argentina</w:t>
            </w:r>
          </w:p>
        </w:tc>
      </w:tr>
      <w:tr>
        <w:trPr>
          <w:cantSplit/>
        </w:trPr>
        <w:tc>
          <w:p>
            <w:pPr>
              <w:pStyle w:val="Compact"/>
              <w:jc w:val="left"/>
            </w:pPr>
            <w:r>
              <w:rPr>
                <w:bCs/>
                <w:b/>
                <w:sz w:val="18"/>
              </w:rPr>
              <w:t xml:space="preserve">MODO DE ACCESO</w:t>
            </w:r>
          </w:p>
        </w:tc>
        <w:tc>
          <w:p>
            <w:pPr>
              <w:pStyle w:val="Compact"/>
              <w:jc w:val="left"/>
            </w:pPr>
            <w:r>
              <w:rPr>
                <w:sz w:val="18"/>
              </w:rPr>
              <w:t xml:space="preserve">Automático: descarga el archivo agregado semanal con la cuenta académica del proyecto y suma los eventos de las 24 jurisdicciones. Atribución: datos de ACLED.</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65"/>
    <w:bookmarkStart w:id="66" w:name="definición-qué-mide-y-por-qué-importa-4"/>
    <w:p>
      <w:pPr>
        <w:pStyle w:val="Heading2"/>
        <w:keepNext/>
      </w:pPr>
      <w:r>
        <w:t xml:space="preserve">Definición — qué mide y por qué importa</w:t>
      </w:r>
    </w:p>
    <w:p>
      <w:pPr>
        <w:pStyle w:val="FirstParagraph"/>
      </w:pPr>
      <w:r>
        <w:t xml:space="preserve">Cuántos eventos de protesta y disturbios hubo en todo el país en los últimos 12 meses completos, comparados contra el total de 2023 (el año base del mandato). Cuenta marchas, concentraciones y disturbios registrados por ACLED, el relevamiento académico internacional estándar de conflicto social, en las 24 jurisdicciones.</w:t>
      </w:r>
    </w:p>
    <w:p>
      <w:pPr>
        <w:pStyle w:val="BodyText"/>
      </w:pPr>
      <w:r>
        <w:t xml:space="preserve">Aproxima la tensión en la calle a escala nacional, un límite real al margen de maniobra del Gobierno. Menos conflicto que en 2023 significa menos tensión; la comparación de 12 meses contra el año completo absorbe la estacionalidad del calendario de protestas.</w:t>
      </w:r>
    </w:p>
    <w:p>
      <w:pPr>
        <w:pStyle w:val="BodyText"/>
      </w:pPr>
      <w:r>
        <w:rPr>
          <w:bCs/>
          <w:b/>
        </w:rPr>
        <w:t xml:space="preserve">Dimensión que integra — Conflicto social.</w:t>
      </w:r>
      <w:r>
        <w:t xml:space="preserve"> </w:t>
      </w:r>
      <w:r>
        <w:t xml:space="preserve">La conflictividad social que el gobierno tiene que administrar: los eventos de protesta y disturbios de todo el país registrados por ACLED, acumulados en 12 meses y comparados contra 2023, la línea de base del mandato.</w:t>
      </w:r>
    </w:p>
    <w:bookmarkEnd w:id="66"/>
    <w:bookmarkStart w:id="67" w:name="método-de-cómputo-4"/>
    <w:p>
      <w:pPr>
        <w:pStyle w:val="Heading2"/>
        <w:keepNext/>
      </w:pPr>
      <w:r>
        <w:t xml:space="preserve">Método de cómputo</w:t>
      </w:r>
    </w:p>
    <w:p>
      <w:pPr>
        <w:numPr>
          <w:ilvl w:val="0"/>
          <w:numId w:val="1018"/>
        </w:numPr>
        <w:pStyle w:val="Compact"/>
      </w:pPr>
      <w:r>
        <w:t xml:space="preserve">Suma los eventos de protesta y disturbios de todo el país, mes a mes.</w:t>
      </w:r>
    </w:p>
    <w:p>
      <w:pPr>
        <w:numPr>
          <w:ilvl w:val="0"/>
          <w:numId w:val="1018"/>
        </w:numPr>
        <w:pStyle w:val="Compact"/>
      </w:pPr>
      <w:r>
        <w:t xml:space="preserve">Acumula los últimos 12 meses completos (el mes en curso se excluye hasta que cierra, porque el registro se carga con rezago).</w:t>
      </w:r>
    </w:p>
    <w:p>
      <w:pPr>
        <w:numPr>
          <w:ilvl w:val="0"/>
          <w:numId w:val="1018"/>
        </w:numPr>
        <w:pStyle w:val="Compact"/>
      </w:pPr>
      <w:r>
        <w:t xml:space="preserve">El indicador es la variación porcentual de ese acumulado contra el total del año 2023, la línea de base del mandato: negativo = menos conflicto en la calle que en 2023.</w:t>
      </w:r>
    </w:p>
    <w:bookmarkEnd w:id="67"/>
    <w:bookmarkStart w:id="68" w:name="X645ca3b02a92b2e30ea8c7e8d98b73de6b8b70c"/>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vs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−26,1</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−26,1 – −20,5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−20,5 – −16,83</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−16,83</w:t>
            </w:r>
          </w:p>
        </w:tc>
        <w:tc>
          <w:tcPr>
            <w:shd w:val="clear" w:color="auto" w:fill="FEE2E2"/>
          </w:tcPr>
          <w:p>
            <w:pPr>
              <w:pStyle w:val="Compact"/>
              <w:jc w:val="center"/>
            </w:pPr>
            <w:r>
              <w:rPr>
                <w:b/>
                <w:sz w:val="18"/>
                <w:color w:val="7F1D1D"/>
              </w:rPr>
              <w:t xml:space="preserve">ROJO</w:t>
            </w:r>
          </w:p>
        </w:tc>
      </w:tr>
    </w:tbl>
    <w:bookmarkEnd w:id="68"/>
    <w:bookmarkStart w:id="69" w:name="datos-concretos-detrás-del-valor-4"/>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9"/>
        </w:numPr>
        <w:pStyle w:val="Compact"/>
      </w:pPr>
      <w:r>
        <w:t xml:space="preserve">2006 eventos de protesta y disturbios en el país en 12m (hasta 2026-06) vs 2605 en todo 2023 (-23,0%) — cuenta marchas, concentraciones y disturbios de ACLED en las 24 jurisdicciones; CABA es ~9% del total del país</w:t>
      </w:r>
    </w:p>
    <w:bookmarkEnd w:id="69"/>
    <w:bookmarkStart w:id="70" w:name="color-vigente-y-por-qué-4"/>
    <w:p>
      <w:pPr>
        <w:pStyle w:val="Heading2"/>
        <w:keepNext/>
      </w:pPr>
      <w:r>
        <w:t xml:space="preserve">Color vigente y por qué</w:t>
      </w:r>
    </w:p>
    <w:p>
      <w:pPr>
        <w:pStyle w:val="FirstParagraph"/>
      </w:pPr>
      <w:r>
        <w:t xml:space="preserve">Dato vigente: −23 % vs 2023 (2026-06).</w:t>
      </w:r>
    </w:p>
    <w:p>
      <w:pPr>
        <w:pStyle w:val="BodyText"/>
      </w:pPr>
      <w:r>
        <w:t xml:space="preserve">−23,0 % vs 2023 cae en el tramo que corresponde a Amarillo, a 2,5 del corte más cercano.</w:t>
      </w:r>
    </w:p>
    <w:p>
      <w:pPr>
        <w:pStyle w:val="BodyText"/>
      </w:pPr>
      <w:r>
        <w:rPr>
          <w:bCs/>
          <w:b/>
        </w:rPr>
        <w:t xml:space="preserve">Color vigente: AMARILLO</w:t>
      </w:r>
    </w:p>
    <w:p>
      <w:pPr>
        <w:pStyle w:val="BodyText"/>
      </w:pPr>
      <w:r>
        <w:t xml:space="preserve">Ponderación vigente en el ITCP: 10 % efectivo. El color es una lectura adicional — no reemplaza ni cambia esta ponderación.</w:t>
      </w:r>
    </w:p>
    <w:bookmarkEnd w:id="70"/>
    <w:bookmarkStart w:id="71" w:name="transparencia-limitaciones-declaradas-4"/>
    <w:p>
      <w:pPr>
        <w:pStyle w:val="Heading2"/>
        <w:keepNext/>
      </w:pPr>
      <w:r>
        <w:t xml:space="preserve">Transparencia — limitaciones declaradas</w:t>
      </w:r>
    </w:p>
    <w:p>
      <w:pPr>
        <w:numPr>
          <w:ilvl w:val="0"/>
          <w:numId w:val="1020"/>
        </w:numPr>
        <w:pStyle w:val="Compact"/>
      </w:pPr>
      <w:r>
        <w:t xml:space="preserve">Cuenta eventos, no personas: una marcha multitudinaria y una concentración chica pesan igual — es una medida de frecuencia del conflicto, no de su masividad.</w:t>
      </w:r>
    </w:p>
    <w:p>
      <w:pPr>
        <w:numPr>
          <w:ilvl w:val="0"/>
          <w:numId w:val="1020"/>
        </w:numPr>
        <w:pStyle w:val="Compact"/>
      </w:pPr>
      <w:r>
        <w:t xml:space="preserve">La base de comparación es fija (el total de 2023): a medida que pasa el tiempo, la referencia envejece — el mismo criterio declarado que usa el índice de vida cotidiana con su base de fin de 2023.</w:t>
      </w:r>
    </w:p>
    <w:p>
      <w:pPr>
        <w:numPr>
          <w:ilvl w:val="0"/>
          <w:numId w:val="1020"/>
        </w:numPr>
        <w:pStyle w:val="Compact"/>
      </w:pPr>
      <w:r>
        <w:t xml:space="preserve">La cobertura de ACLED para la Argentina es confiable desde 2020; los años anteriores registran menos eventos por expansión de la propia cobertura, no por menor conflictividad — por eso ni las bandas ni el gráfico usan datos previos a la base.</w:t>
      </w:r>
    </w:p>
    <w:p>
      <w:pPr>
        <w:numPr>
          <w:ilvl w:val="0"/>
          <w:numId w:val="1020"/>
        </w:numPr>
        <w:pStyle w:val="Compact"/>
      </w:pPr>
      <w:r>
        <w:t xml:space="preserve">Depende de la cobertura de prensa que releva ACLED: eventos sin cobertura periodística no entran al registro.</w:t>
      </w:r>
    </w:p>
    <w:bookmarkEnd w:id="71"/>
    <w:bookmarkStart w:id="72" w:name="X61b77bf27a7482596b8c47f1ea71e4d36077bf4"/>
    <w:p>
      <w:pPr>
        <w:pStyle w:val="Heading2"/>
        <w:keepNext/>
      </w:pPr>
      <w:r>
        <w:t xml:space="preserve">Si falta el dato / Política de revisiones</w:t>
      </w:r>
    </w:p>
    <w:p>
      <w:pPr>
        <w:numPr>
          <w:ilvl w:val="0"/>
          <w:numId w:val="1021"/>
        </w:numPr>
      </w:pPr>
      <w:r>
        <w:rPr>
          <w:bCs/>
          <w:b/>
        </w:rPr>
        <w:t xml:space="preserve">Si falta el dato:</w:t>
      </w:r>
      <w:r>
        <w:t xml:space="preserve"> </w:t>
      </w:r>
      <w:r>
        <w:t xml:space="preserve">Si la descarga semanal falla, se usa el último archivo ya guardado (el indicador se marca desactualizado si el registro queda más de 30 días atrás); sin archivo, el indicador queda fuera y los pesos de su dimensión se renormalizan entre los presentes.</w:t>
      </w:r>
    </w:p>
    <w:p>
      <w:pPr>
        <w:numPr>
          <w:ilvl w:val="0"/>
          <w:numId w:val="1021"/>
        </w:numPr>
      </w:pPr>
      <w:r>
        <w:rPr>
          <w:bCs/>
          <w:b/>
        </w:rPr>
        <w:t xml:space="preserve">Política de revisiones:</w:t>
      </w:r>
      <w:r>
        <w:t xml:space="preserve"> </w:t>
      </w:r>
      <w:r>
        <w:t xml:space="preserve">ACLED revisa y completa semanas recientes en cada publicación; el acumulado de 12 meses se recalcula completo desde el archivo en cada actualización y absorbe esas revisiones automáticamente.</w:t>
      </w:r>
    </w:p>
    <w:bookmarkEnd w:id="72"/>
    <w:bookmarkStart w:id="73" w:name="X2689a8f17fd66d16ab78fd446a4f0208d24d005"/>
    <w:p>
      <w:pPr>
        <w:pStyle w:val="Heading2"/>
        <w:keepNext/>
      </w:pPr>
      <w:r>
        <w:t xml:space="preserve">Historial — cambios metodológicos documentados</w:t>
      </w:r>
    </w:p>
    <w:p>
      <w:pPr>
        <w:pStyle w:val="FirstParagraph"/>
      </w:pPr>
      <w:r>
        <w:rPr>
          <w:bCs/>
          <w:b/>
        </w:rPr>
        <w:t xml:space="preserve">2026-07-11</w:t>
      </w:r>
      <w:r>
        <w:t xml:space="preserve"> </w:t>
      </w:r>
      <w:r>
        <w:t xml:space="preserve">— Incorporado como la medida de la dimensión de conflicto social: eventos de protesta y disturbios de todo el país. Reemplaza a la medición anterior basada en los informes de CEPA, que no permitía una serie mensual comparable.</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73"/>
    <w:bookmarkEnd w:id="74"/>
    <w:bookmarkStart w:id="84" w:name="armonía-federal-transferencias"/>
    <w:p>
      <w:pPr>
        <w:pStyle w:val="Heading1"/>
        <w:keepNext/>
      </w:pPr>
      <w:r>
        <w:t xml:space="preserve">Armonía federal (transferencias)</w:t>
      </w:r>
    </w:p>
    <w:p>
      <w:pPr>
        <w:pStyle w:val="FirstParagraph"/>
      </w:pPr>
      <w:r>
        <w:t xml:space="preserve">Cuánto varían, en términos reales, las transferencias del Estado nacional a las provincias.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0,8 % interanual real</w:t>
            </w:r>
            <w:r>
              <w:rPr>
                <w:sz w:val="18"/>
              </w:rPr>
              <w:t xml:space="preserve"> </w:t>
            </w:r>
            <w:r>
              <w:rPr>
                <w:sz w:val="18"/>
              </w:rPr>
              <w:t xml:space="preserve">(2025-12)</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7,6 % del ITCP</w:t>
            </w:r>
          </w:p>
        </w:tc>
        <w:tc>
          <w:p>
            <w:pPr>
              <w:pStyle w:val="Compact"/>
              <w:jc w:val="left"/>
            </w:pPr>
            <w:r>
              <w:rPr>
                <w:sz w:val="18"/>
              </w:rPr>
              <w:t xml:space="preserve">Cinturón Política</w:t>
            </w:r>
          </w:p>
        </w:tc>
      </w:tr>
    </w:tbl>
    <w:bookmarkStart w:id="75" w:name="identificación-5"/>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iaf_transferencias</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Alianzas territoriales</w:t>
            </w:r>
          </w:p>
        </w:tc>
        <w:tc>
          <w:p>
            <w:pPr>
              <w:pStyle w:val="Compact"/>
              <w:jc w:val="left"/>
            </w:pPr>
            <w:r>
              <w:rPr>
                <w:bCs/>
                <w:b/>
                <w:sz w:val="18"/>
              </w:rPr>
              <w:t xml:space="preserve">UNIDAD DE MEDIDA</w:t>
            </w:r>
          </w:p>
        </w:tc>
        <w:tc>
          <w:p>
            <w:pPr>
              <w:pStyle w:val="Compact"/>
              <w:jc w:val="left"/>
            </w:pPr>
            <w:r>
              <w:rPr>
                <w:sz w:val="18"/>
              </w:rPr>
              <w:t xml:space="preserve">% interanual real</w:t>
            </w:r>
          </w:p>
        </w:tc>
      </w:tr>
      <w:tr>
        <w:trPr>
          <w:cantSplit/>
        </w:trPr>
        <w:tc>
          <w:p>
            <w:pPr>
              <w:pStyle w:val="Compact"/>
              <w:jc w:val="left"/>
            </w:pPr>
            <w:r>
              <w:rPr>
                <w:bCs/>
                <w:b/>
                <w:sz w:val="18"/>
              </w:rPr>
              <w:t xml:space="preserve">SERIE DISPONIBLE</w:t>
            </w:r>
          </w:p>
        </w:tc>
        <w:tc>
          <w:p>
            <w:pPr>
              <w:pStyle w:val="Compact"/>
              <w:jc w:val="left"/>
            </w:pPr>
            <w:r>
              <w:rPr>
                <w:sz w:val="18"/>
              </w:rPr>
              <w:t xml:space="preserve">2018-12 → 2025-12 (8 puntos)</w:t>
            </w:r>
          </w:p>
        </w:tc>
        <w:tc>
          <w:p>
            <w:pPr>
              <w:pStyle w:val="Compact"/>
              <w:jc w:val="left"/>
            </w:pPr>
            <w:r>
              <w:rPr>
                <w:bCs/>
                <w:b/>
                <w:sz w:val="18"/>
              </w:rPr>
              <w:t xml:space="preserve">REZAGO DE PUBLICACIÓN</w:t>
            </w:r>
          </w:p>
        </w:tc>
        <w:tc>
          <w:p>
            <w:pPr>
              <w:pStyle w:val="Compact"/>
              <w:jc w:val="left"/>
            </w:pPr>
            <w:r>
              <w:rPr>
                <w:sz w:val="18"/>
              </w:rPr>
              <w:t xml:space="preserve">Por diseño compara el último año cerrado contra el anterior: durante 2026 se lee «2025 contra 2024» — el dato puede tener hasta un año de rezago.</w:t>
            </w:r>
          </w:p>
        </w:tc>
      </w:tr>
      <w:tr>
        <w:trPr>
          <w:cantSplit/>
        </w:trPr>
        <w:tc>
          <w:p>
            <w:pPr>
              <w:pStyle w:val="Compact"/>
              <w:jc w:val="left"/>
            </w:pPr>
            <w:r>
              <w:rPr>
                <w:bCs/>
                <w:b/>
                <w:sz w:val="18"/>
              </w:rPr>
              <w:t xml:space="preserve">PRODUCTOR DEL DATO</w:t>
            </w:r>
          </w:p>
        </w:tc>
        <w:tc>
          <w:p>
            <w:pPr>
              <w:pStyle w:val="Compact"/>
              <w:jc w:val="left"/>
            </w:pPr>
            <w:r>
              <w:rPr>
                <w:sz w:val="18"/>
              </w:rPr>
              <w:t xml:space="preserve">Ministerio de Economía (Secretaría de Hacienda); deflactor: INDEC</w:t>
            </w:r>
          </w:p>
        </w:tc>
        <w:tc>
          <w:p>
            <w:pPr>
              <w:pStyle w:val="Compact"/>
              <w:jc w:val="left"/>
            </w:pPr>
            <w:r>
              <w:rPr>
                <w:bCs/>
                <w:b/>
                <w:sz w:val="18"/>
              </w:rPr>
              <w:t xml:space="preserve">OPERACIÓN ESTADÍSTICA</w:t>
            </w:r>
          </w:p>
        </w:tc>
        <w:tc>
          <w:p>
            <w:pPr>
              <w:pStyle w:val="Compact"/>
              <w:jc w:val="left"/>
            </w:pPr>
            <w:r>
              <w:rPr>
                <w:sz w:val="18"/>
              </w:rPr>
              <w:t xml:space="preserve">Serie RON — recursos de origen nacional transferidos a las provincias (archivo anual oficial), deflactada con el IPC nacional</w:t>
            </w:r>
          </w:p>
        </w:tc>
      </w:tr>
      <w:tr>
        <w:trPr>
          <w:cantSplit/>
        </w:trPr>
        <w:tc>
          <w:p>
            <w:pPr>
              <w:pStyle w:val="Compact"/>
              <w:jc w:val="left"/>
            </w:pPr>
            <w:r>
              <w:rPr>
                <w:bCs/>
                <w:b/>
                <w:sz w:val="18"/>
              </w:rPr>
              <w:t xml:space="preserve">MODO DE ACCESO</w:t>
            </w:r>
          </w:p>
        </w:tc>
        <w:tc>
          <w:p>
            <w:pPr>
              <w:pStyle w:val="Compact"/>
              <w:jc w:val="left"/>
            </w:pPr>
            <w:r>
              <w:rPr>
                <w:sz w:val="18"/>
              </w:rPr>
              <w:t xml:space="preserve">Automático: descarga el archivo oficial y deflacta con el IPC del INDEC obtenido por API.</w:t>
            </w:r>
          </w:p>
        </w:tc>
        <w:tc>
          <w:p>
            <w:pPr>
              <w:pStyle w:val="Compact"/>
              <w:jc w:val="left"/>
            </w:pPr>
            <w:r>
              <w:rPr>
                <w:bCs/>
                <w:b/>
                <w:sz w:val="18"/>
              </w:rPr>
              <w:t xml:space="preserve">ÚLTIMA ACTUALIZACIÓN</w:t>
            </w:r>
          </w:p>
        </w:tc>
        <w:tc>
          <w:p>
            <w:pPr>
              <w:pStyle w:val="Compact"/>
              <w:jc w:val="left"/>
            </w:pPr>
            <w:r>
              <w:rPr>
                <w:sz w:val="18"/>
              </w:rPr>
              <w:t xml:space="preserve">Dato a 2025-12 · informe generado el 2026-08-09</w:t>
            </w:r>
          </w:p>
        </w:tc>
      </w:tr>
    </w:tbl>
    <w:bookmarkEnd w:id="75"/>
    <w:bookmarkStart w:id="76" w:name="definición-qué-mide-y-por-qué-importa-5"/>
    <w:p>
      <w:pPr>
        <w:pStyle w:val="Heading2"/>
        <w:keepNext/>
      </w:pPr>
      <w:r>
        <w:t xml:space="preserve">Definición — qué mide y por qué importa</w:t>
      </w:r>
    </w:p>
    <w:p>
      <w:pPr>
        <w:pStyle w:val="FirstParagraph"/>
      </w:pPr>
      <w:r>
        <w:t xml:space="preserve">Cuánto varían, en términos reales, las transferencias del Estado nacional a las provincias.</w:t>
      </w:r>
    </w:p>
    <w:p>
      <w:pPr>
        <w:pStyle w:val="BodyText"/>
      </w:pPr>
      <w:r>
        <w:t xml:space="preserve">Mide el gesto fiscal de la Nación hacia las provincias: cuánto gira por encima o por debajo de lo que giraba antes, en términos reales. Es un insumo de la relación federal, no la respuesta de los gobernadores: informa lo que hace el Gobierno nacional, no cómo reaccionan las provincias.</w:t>
      </w:r>
    </w:p>
    <w:p>
      <w:pPr>
        <w:pStyle w:val="BodyText"/>
      </w:pPr>
      <w:r>
        <w:rPr>
          <w:bCs/>
          <w:b/>
        </w:rPr>
        <w:t xml:space="preserve">Dimensión que integra — Alianzas territoriales.</w:t>
      </w:r>
      <w:r>
        <w:t xml:space="preserve"> </w:t>
      </w:r>
      <w:r>
        <w:t xml:space="preserve">El sostén federal del gobierno, visto desde tres señales: las transferencias a las provincias, el alineamiento de los senadores no oficialistas con la posición del bloque de gobierno, y la adhesión provincial al RIGI. Conviene una precisión sobre qué mide y qué no: ninguna de las tres observa directamente la conducta de los gobernadores. La primera describe lo que hace el Gobierno nacional; la segunda, cómo votan los senadores de cada provincia; la tercera, una decisión legislativa provincial ya tomada. No se encontró una fuente pública que midiera de forma automatizable la postura de los ejecutivos provinciales, así que la dimensión se lee como respaldo territorial observado por sus efectos, no como una medición de la relación con cada gobernador.</w:t>
      </w:r>
    </w:p>
    <w:bookmarkEnd w:id="76"/>
    <w:bookmarkStart w:id="77" w:name="método-de-cómputo-5"/>
    <w:p>
      <w:pPr>
        <w:pStyle w:val="Heading2"/>
        <w:keepNext/>
      </w:pPr>
      <w:r>
        <w:t xml:space="preserve">Método de cómputo</w:t>
      </w:r>
    </w:p>
    <w:p>
      <w:pPr>
        <w:numPr>
          <w:ilvl w:val="0"/>
          <w:numId w:val="1022"/>
        </w:numPr>
        <w:pStyle w:val="Compact"/>
      </w:pPr>
      <w:r>
        <w:t xml:space="preserve">Suma las transferencias efectivamente giradas a las 24 jurisdicciones durante el año de referencia y durante el año anterior — es ejecución, no presupuesto: la fila de un año es lo que la Nación transfirió ese año calendario. El archivo oficial también distribuye recursos al Tesoro Nacional, a la Seguridad Social y al Fondo ATN; esas porciones no son transferencias a provincias y quedan excluidas (con la exclusión, el nivel anual coincide con los informes fiscales de referencia).</w:t>
      </w:r>
    </w:p>
    <w:p>
      <w:pPr>
        <w:numPr>
          <w:ilvl w:val="0"/>
          <w:numId w:val="1022"/>
        </w:numPr>
        <w:pStyle w:val="Compact"/>
      </w:pPr>
      <w:r>
        <w:t xml:space="preserve">La variación nominal se deflacta por la inflación promedio anual (promedio del índice IPC del año contra el promedio del año anterior): el resultado es la variación real interanual. El promedio —y no la punta diciembre contra diciembre— es el deflactor correcto para sumas anuales de flujos, porque las transferencias se devengan mes a mes a los precios de cada mes; es el mismo criterio que usan los análisis fiscales de referencia.</w:t>
      </w:r>
    </w:p>
    <w:p>
      <w:pPr>
        <w:numPr>
          <w:ilvl w:val="0"/>
          <w:numId w:val="1022"/>
        </w:numPr>
        <w:pStyle w:val="Compact"/>
      </w:pPr>
      <w:r>
        <w:t xml:space="preserve">En el gráfico, cada punto anual se ubica en diciembre del año que cierra: el valor fechado en diciembre de 2025 es la variación del año 2025 completo contra 2024.</w:t>
      </w:r>
    </w:p>
    <w:bookmarkEnd w:id="77"/>
    <w:bookmarkStart w:id="78" w:name="Xb1931c6abcbcf859f1adda48bf40e4d48635f98"/>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interanual real)</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−7</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−15 – −7</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−18,33 – −15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−18,33</w:t>
            </w:r>
          </w:p>
        </w:tc>
        <w:tc>
          <w:tcPr>
            <w:shd w:val="clear" w:color="auto" w:fill="FEE2E2"/>
          </w:tcPr>
          <w:p>
            <w:pPr>
              <w:pStyle w:val="Compact"/>
              <w:jc w:val="center"/>
            </w:pPr>
            <w:r>
              <w:rPr>
                <w:b/>
                <w:sz w:val="18"/>
                <w:color w:val="7F1D1D"/>
              </w:rPr>
              <w:t xml:space="preserve">ROJO</w:t>
            </w:r>
          </w:p>
        </w:tc>
      </w:tr>
    </w:tbl>
    <w:bookmarkEnd w:id="78"/>
    <w:bookmarkStart w:id="79" w:name="datos-concretos-detrás-del-valor-5"/>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3"/>
        </w:numPr>
        <w:pStyle w:val="Compact"/>
      </w:pPr>
      <w:r>
        <w:t xml:space="preserve">El informe publica el valor (0,8 % interanual real) pero no los números que lo componen: la fuente entrega la serie ya calculada. Para auditar el dato hay que ir a la operación estadística citada más arriba.</w:t>
      </w:r>
    </w:p>
    <w:bookmarkEnd w:id="79"/>
    <w:bookmarkStart w:id="80" w:name="color-vigente-y-por-qué-5"/>
    <w:p>
      <w:pPr>
        <w:pStyle w:val="Heading2"/>
        <w:keepNext/>
      </w:pPr>
      <w:r>
        <w:t xml:space="preserve">Color vigente y por qué</w:t>
      </w:r>
    </w:p>
    <w:p>
      <w:pPr>
        <w:pStyle w:val="FirstParagraph"/>
      </w:pPr>
      <w:r>
        <w:t xml:space="preserve">Dato vigente: 0,8 % interanual real (2025-12).</w:t>
      </w:r>
    </w:p>
    <w:p>
      <w:pPr>
        <w:pStyle w:val="BodyText"/>
      </w:pPr>
      <w:r>
        <w:t xml:space="preserve">0,8 % interanual real cae en el tramo que corresponde a Verde, a 7,8 del corte más cercano.</w:t>
      </w:r>
    </w:p>
    <w:p>
      <w:pPr>
        <w:pStyle w:val="BodyText"/>
      </w:pPr>
      <w:r>
        <w:rPr>
          <w:bCs/>
          <w:b/>
        </w:rPr>
        <w:t xml:space="preserve">Color vigente: VERDE</w:t>
      </w:r>
    </w:p>
    <w:p>
      <w:pPr>
        <w:pStyle w:val="BodyText"/>
      </w:pPr>
      <w:r>
        <w:t xml:space="preserve">Ponderación vigente en el ITCP: 7,6 % efectivo. El color es una lectura adicional — no reemplaza ni cambia esta ponderación.</w:t>
      </w:r>
    </w:p>
    <w:bookmarkEnd w:id="80"/>
    <w:bookmarkStart w:id="81" w:name="transparencia-limitaciones-declaradas-5"/>
    <w:p>
      <w:pPr>
        <w:pStyle w:val="Heading2"/>
        <w:keepNext/>
      </w:pPr>
      <w:r>
        <w:t xml:space="preserve">Transparencia — limitaciones declaradas</w:t>
      </w:r>
    </w:p>
    <w:p>
      <w:pPr>
        <w:numPr>
          <w:ilvl w:val="0"/>
          <w:numId w:val="1024"/>
        </w:numPr>
        <w:pStyle w:val="Compact"/>
      </w:pPr>
      <w:r>
        <w:t xml:space="preserve">Granularidad anual: no capta la tensión federal dentro del año.</w:t>
      </w:r>
    </w:p>
    <w:p>
      <w:pPr>
        <w:numPr>
          <w:ilvl w:val="0"/>
          <w:numId w:val="1024"/>
        </w:numPr>
        <w:pStyle w:val="Compact"/>
      </w:pPr>
      <w:r>
        <w:t xml:space="preserve">El nombre del archivo oficial cambia cada año: hay que apuntar la descarga de nuevo cada enero.</w:t>
      </w:r>
    </w:p>
    <w:p>
      <w:pPr>
        <w:numPr>
          <w:ilvl w:val="0"/>
          <w:numId w:val="1024"/>
        </w:numPr>
        <w:pStyle w:val="Compact"/>
      </w:pPr>
      <w:r>
        <w:t xml:space="preserve">Mide el flujo fiscal hacia las provincias — una aproximación parcial a la relación política con los gobernadores.</w:t>
      </w:r>
    </w:p>
    <w:p>
      <w:pPr>
        <w:numPr>
          <w:ilvl w:val="0"/>
          <w:numId w:val="1024"/>
        </w:numPr>
        <w:pStyle w:val="Compact"/>
      </w:pPr>
      <w:r>
        <w:t xml:space="preserve">La serie cubre las transferencias automáticas (coparticipación neta, financiamiento educativo, leyes especiales y compensaciones del Consenso Fiscal); no incluye los giros discrecionales —las transferencias no automáticas—, que otros informes agregan por separado.</w:t>
      </w:r>
    </w:p>
    <w:bookmarkEnd w:id="81"/>
    <w:bookmarkStart w:id="82" w:name="Xc57e4cc3a18d396728e74304c5ee81f44a4293b"/>
    <w:p>
      <w:pPr>
        <w:pStyle w:val="Heading2"/>
        <w:keepNext/>
      </w:pPr>
      <w:r>
        <w:t xml:space="preserve">Si falta el dato / Política de revisiones</w:t>
      </w:r>
    </w:p>
    <w:p>
      <w:pPr>
        <w:numPr>
          <w:ilvl w:val="0"/>
          <w:numId w:val="1025"/>
        </w:numPr>
      </w:pPr>
      <w:r>
        <w:rPr>
          <w:bCs/>
          <w:b/>
        </w:rPr>
        <w:t xml:space="preserve">Si falta el dato:</w:t>
      </w:r>
      <w:r>
        <w:t xml:space="preserve"> </w:t>
      </w:r>
      <w:r>
        <w:t xml:space="preserve">Si la descarga falla, se mantiene el último valor disponible, señalado como desactualizado; sin ningún valor previo, el indicador queda fuera y los pesos de su dimensión se renormalizan entre los presentes.</w:t>
      </w:r>
    </w:p>
    <w:p>
      <w:pPr>
        <w:numPr>
          <w:ilvl w:val="0"/>
          <w:numId w:val="1025"/>
        </w:numPr>
      </w:pPr>
      <w:r>
        <w:rPr>
          <w:bCs/>
          <w:b/>
        </w:rPr>
        <w:t xml:space="preserve">Política de revisiones:</w:t>
      </w:r>
      <w:r>
        <w:t xml:space="preserve"> </w:t>
      </w:r>
      <w:r>
        <w:t xml:space="preserve">Se recalcula completo desde la fuente en cada actualización: revisiones del archivo oficial o del IPC se absorben automáticamente.</w:t>
      </w:r>
    </w:p>
    <w:bookmarkEnd w:id="82"/>
    <w:bookmarkStart w:id="83" w:name="X01eece54c25544211d0d4e1d54c663892ca44aa"/>
    <w:p>
      <w:pPr>
        <w:pStyle w:val="Heading2"/>
        <w:keepNext/>
      </w:pPr>
      <w:r>
        <w:t xml:space="preserve">Historial — cambios metodológicos documentados</w:t>
      </w:r>
    </w:p>
    <w:p>
      <w:pPr>
        <w:pStyle w:val="FirstParagraph"/>
      </w:pPr>
      <w:r>
        <w:rPr>
          <w:bCs/>
          <w:b/>
        </w:rPr>
        <w:t xml:space="preserve">2026-05</w:t>
      </w:r>
      <w:r>
        <w:t xml:space="preserve"> </w:t>
      </w:r>
      <w:r>
        <w:t xml:space="preserve">— Incorporado al cinturón político como medida de la armonía fiscal entre la Nación y las provincias.</w:t>
      </w:r>
    </w:p>
    <w:p>
      <w:pPr>
        <w:pStyle w:val="BodyText"/>
      </w:pPr>
      <w:r>
        <w:rPr>
          <w:bCs/>
          <w:b/>
        </w:rPr>
        <w:t xml:space="preserve">2026-06-30</w:t>
      </w:r>
      <w:r>
        <w:t xml:space="preserve"> </w:t>
      </w:r>
      <w:r>
        <w:t xml:space="preserve">— El deflactor pasó de una proyección fija al índice IPC oficial del INDEC: la variación real publicada se corrigió de +1,8% a +7,0%.</w:t>
      </w:r>
    </w:p>
    <w:p>
      <w:pPr>
        <w:pStyle w:val="BodyText"/>
      </w:pPr>
      <w:r>
        <w:rPr>
          <w:bCs/>
          <w:b/>
        </w:rPr>
        <w:t xml:space="preserve">2026-07-07</w:t>
      </w:r>
      <w:r>
        <w:t xml:space="preserve"> </w:t>
      </w:r>
      <w:r>
        <w:t xml:space="preserve">— Pasa a puntuar dentro del ITCP (índice paramétrico de cinco dimensiones ponderadas), en la dimensión de alianzas territoriales — antes el cinturón promediaba en partes iguales las tensiones de sus indicadores.</w:t>
      </w:r>
    </w:p>
    <w:p>
      <w:pPr>
        <w:pStyle w:val="BodyText"/>
      </w:pPr>
      <w:r>
        <w:rPr>
          <w:bCs/>
          <w:b/>
        </w:rPr>
        <w:t xml:space="preserve">2026-07-15</w:t>
      </w:r>
      <w:r>
        <w:t xml:space="preserve"> </w:t>
      </w:r>
      <w:r>
        <w:t xml:space="preserve">— El deflactor pasó de la variación diciembre contra diciembre a la inflación promedio anual, el criterio correcto para sumas anuales de flujos y el que usan los análisis fiscales de referencia — con inflación en baja, la punta de diciembre subdeflactaba: la variación real de 2025 se corrigió de +7,0% a un valor en línea con los informes externos (~0/+2% real).</w:t>
      </w:r>
    </w:p>
    <w:p>
      <w:pPr>
        <w:pStyle w:val="BodyText"/>
      </w:pPr>
      <w:r>
        <w:rPr>
          <w:bCs/>
          <w:b/>
        </w:rPr>
        <w:t xml:space="preserve">2026-07-15</w:t>
      </w:r>
      <w:r>
        <w:t xml:space="preserve"> </w:t>
      </w:r>
      <w:r>
        <w:t xml:space="preserve">— Se excluyeron del cálculo las porciones del archivo oficial que no son transferencias a provincias (Tesoro Nacional, Seguridad Social, Fondo ATN): el nivel anual pasó a coincidir con los informes fiscales de referencia (~$60 billones en 2025) y la variación quedó medida solo sobre lo que efectivamente reciben las jurisdicciones.</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83"/>
    <w:bookmarkEnd w:id="84"/>
    <w:bookmarkStart w:id="94" w:name="eficacia-parlamentaria"/>
    <w:p>
      <w:pPr>
        <w:pStyle w:val="Heading1"/>
        <w:keepNext/>
      </w:pPr>
      <w:r>
        <w:t xml:space="preserve">Eficacia parlamentaria</w:t>
      </w:r>
    </w:p>
    <w:p>
      <w:pPr>
        <w:pStyle w:val="FirstParagraph"/>
      </w:pPr>
      <w:r>
        <w:t xml:space="preserve">Qué porcentaje de los proyectos que envía el Ejecutivo el Congreso termina aprobando, contados recién a partir de que tuvieron un año de margen para tramitarse.</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15,4 % de proyectos</w:t>
            </w:r>
            <w:r>
              <w:rPr>
                <w:sz w:val="18"/>
              </w:rPr>
              <w:t xml:space="preserve"> </w:t>
            </w:r>
            <w:r>
              <w:rPr>
                <w:sz w:val="18"/>
              </w:rPr>
              <w:t xml:space="preserve">(2026-08)</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5,7 % del ITCP</w:t>
            </w:r>
          </w:p>
        </w:tc>
        <w:tc>
          <w:p>
            <w:pPr>
              <w:pStyle w:val="Compact"/>
              <w:jc w:val="left"/>
            </w:pPr>
            <w:r>
              <w:rPr>
                <w:sz w:val="18"/>
              </w:rPr>
              <w:t xml:space="preserve">Cinturón Política</w:t>
            </w:r>
          </w:p>
        </w:tc>
      </w:tr>
    </w:tbl>
    <w:bookmarkStart w:id="85" w:name="identificación-6"/>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eficacia_legislativa</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legislativo</w:t>
            </w:r>
          </w:p>
        </w:tc>
        <w:tc>
          <w:p>
            <w:pPr>
              <w:pStyle w:val="Compact"/>
              <w:jc w:val="left"/>
            </w:pPr>
            <w:r>
              <w:rPr>
                <w:bCs/>
                <w:b/>
                <w:sz w:val="18"/>
              </w:rPr>
              <w:t xml:space="preserve">UNIDAD DE MEDIDA</w:t>
            </w:r>
          </w:p>
        </w:tc>
        <w:tc>
          <w:p>
            <w:pPr>
              <w:pStyle w:val="Compact"/>
              <w:jc w:val="left"/>
            </w:pPr>
            <w:r>
              <w:rPr>
                <w:sz w:val="18"/>
              </w:rPr>
              <w:t xml:space="preserve">% de proyectos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El portal de datos abiertos de Diputados carga proyectos y movimientos con días o semanas de demora respecto del hecho parlamentario.</w:t>
            </w:r>
          </w:p>
        </w:tc>
      </w:tr>
      <w:tr>
        <w:trPr>
          <w:cantSplit/>
        </w:trPr>
        <w:tc>
          <w:p>
            <w:pPr>
              <w:pStyle w:val="Compact"/>
              <w:jc w:val="left"/>
            </w:pPr>
            <w:r>
              <w:rPr>
                <w:bCs/>
                <w:b/>
                <w:sz w:val="18"/>
              </w:rPr>
              <w:t xml:space="preserve">PRODUCTOR DEL DATO</w:t>
            </w:r>
          </w:p>
        </w:tc>
        <w:tc>
          <w:p>
            <w:pPr>
              <w:pStyle w:val="Compact"/>
              <w:jc w:val="left"/>
            </w:pPr>
            <w:r>
              <w:rPr>
                <w:sz w:val="18"/>
              </w:rPr>
              <w:t xml:space="preserve">HCDN — Cámara de Diputados de la Nación</w:t>
            </w:r>
          </w:p>
        </w:tc>
        <w:tc>
          <w:p>
            <w:pPr>
              <w:pStyle w:val="Compact"/>
              <w:jc w:val="left"/>
            </w:pPr>
            <w:r>
              <w:rPr>
                <w:bCs/>
                <w:b/>
                <w:sz w:val="18"/>
              </w:rPr>
              <w:t xml:space="preserve">OPERACIÓN ESTADÍSTICA</w:t>
            </w:r>
          </w:p>
        </w:tc>
        <w:tc>
          <w:p>
            <w:pPr>
              <w:pStyle w:val="Compact"/>
              <w:jc w:val="left"/>
            </w:pPr>
            <w:r>
              <w:rPr>
                <w:sz w:val="18"/>
              </w:rPr>
              <w:t xml:space="preserve">Datasets «proyectos parlamentarios» y «leyes sancionadas» del portal oficial de datos abiertos</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del portal, cruzando los proyectos de ley enviados por el Ejecutivo con el registro oficial de leyes sancionadas (que cubre las sanciones de ambas cámaras).</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85"/>
    <w:bookmarkStart w:id="86" w:name="definición-qué-mide-y-por-qué-importa-6"/>
    <w:p>
      <w:pPr>
        <w:pStyle w:val="Heading2"/>
        <w:keepNext/>
      </w:pPr>
      <w:r>
        <w:t xml:space="preserve">Definición — qué mide y por qué importa</w:t>
      </w:r>
    </w:p>
    <w:p>
      <w:pPr>
        <w:pStyle w:val="FirstParagraph"/>
      </w:pPr>
      <w:r>
        <w:t xml:space="preserve">Qué porcentaje de los proyectos que envía el Ejecutivo el Congreso termina aprobando, contados recién a partir de que tuvieron un año de margen para tramitarse.</w:t>
      </w:r>
    </w:p>
    <w:p>
      <w:pPr>
        <w:pStyle w:val="BodyText"/>
      </w:pPr>
      <w:r>
        <w:t xml:space="preserve">Mide la capacidad real de convertir la agenda de gobierno en ley, sin castigar a los proyectos recién enviados que todavía no tuvieron tiempo de tratarse.</w:t>
      </w:r>
    </w:p>
    <w:p>
      <w:pPr>
        <w:pStyle w:val="BodyText"/>
      </w:pPr>
      <w:r>
        <w:rPr>
          <w:bCs/>
          <w:b/>
        </w:rPr>
        <w:t xml:space="preserve">Dimensión que integra — Poder legislativo.</w:t>
      </w:r>
      <w:r>
        <w:t xml:space="preserve"> </w:t>
      </w:r>
      <w:r>
        <w:t xml:space="preserve">La capacidad de gobernar por ley en el Congreso: cuánto legisla por decreto en vez de ley (ratio DNU), qué porción de la agenda del Ejecutivo se aprueba, cuántas sesiones de Diputados fracasan por falta de quórum, cuántas derrotas sufre el Ejecutivo en el recinto y qué porción de sus normas desafiadas logra sostener en pie.</w:t>
      </w:r>
    </w:p>
    <w:bookmarkEnd w:id="86"/>
    <w:bookmarkStart w:id="87" w:name="método-de-cómputo-6"/>
    <w:p>
      <w:pPr>
        <w:pStyle w:val="Heading2"/>
        <w:keepNext/>
      </w:pPr>
      <w:r>
        <w:t xml:space="preserve">Método de cómputo</w:t>
      </w:r>
    </w:p>
    <w:p>
      <w:pPr>
        <w:numPr>
          <w:ilvl w:val="0"/>
          <w:numId w:val="1026"/>
        </w:numPr>
        <w:pStyle w:val="Compact"/>
      </w:pPr>
      <w:r>
        <w:t xml:space="preserve">Identifica los proyectos de ley enviados por el Poder Ejecutivo por su número de expediente — tanto los de la Presidencia como los de la Jefatura de Gabinete, la vía por la que entra siempre el Presupuesto anual — y por su tipo de trámite: las comunicaciones administrativas (avisos de vetos, resoluciones, decisiones administrativas), que llevan numeración similar pero no son proyectos, quedan fuera del denominador.</w:t>
      </w:r>
    </w:p>
    <w:p>
      <w:pPr>
        <w:numPr>
          <w:ilvl w:val="0"/>
          <w:numId w:val="1026"/>
        </w:numPr>
        <w:pStyle w:val="Compact"/>
      </w:pPr>
      <w:r>
        <w:t xml:space="preserve">Toma una cohorte MADURA: proyectos enviados entre hace 12 y 24 meses — ya tuvieron al menos un año de margen para tramitarse antes de evaluarlos.</w:t>
      </w:r>
    </w:p>
    <w:p>
      <w:pPr>
        <w:numPr>
          <w:ilvl w:val="0"/>
          <w:numId w:val="1026"/>
        </w:numPr>
        <w:pStyle w:val="Compact"/>
      </w:pPr>
      <w:r>
        <w:t xml:space="preserve">Un proyecto de esa cohorte cuenta como aprobado si figura en el registro oficial de leyes sancionadas, sin importar en qué cámara ocurrió la sanción definitiva ni cuándo.</w:t>
      </w:r>
    </w:p>
    <w:p>
      <w:pPr>
        <w:numPr>
          <w:ilvl w:val="0"/>
          <w:numId w:val="1026"/>
        </w:numPr>
        <w:pStyle w:val="Compact"/>
      </w:pPr>
      <w:r>
        <w:t xml:space="preserve">El indicador es aprobados sobre el total de esa cohorte — ya no exige que envío y sanción caigan en la misma ventana.</w:t>
      </w:r>
    </w:p>
    <w:bookmarkEnd w:id="87"/>
    <w:bookmarkStart w:id="88" w:name="X6f1889a6c9c1eaefb3e4c5719eab82ff8c71647"/>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proyectos)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20</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10 – 20</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6,67 – 10</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6,67</w:t>
            </w:r>
          </w:p>
        </w:tc>
        <w:tc>
          <w:tcPr>
            <w:shd w:val="clear" w:color="auto" w:fill="FEE2E2"/>
          </w:tcPr>
          <w:p>
            <w:pPr>
              <w:pStyle w:val="Compact"/>
              <w:jc w:val="center"/>
            </w:pPr>
            <w:r>
              <w:rPr>
                <w:b/>
                <w:sz w:val="18"/>
                <w:color w:val="7F1D1D"/>
              </w:rPr>
              <w:t xml:space="preserve">ROJO</w:t>
            </w:r>
          </w:p>
        </w:tc>
      </w:tr>
    </w:tbl>
    <w:bookmarkEnd w:id="88"/>
    <w:bookmarkStart w:id="89" w:name="datos-concretos-detrás-del-valor-6"/>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7"/>
        </w:numPr>
        <w:pStyle w:val="Compact"/>
      </w:pPr>
      <w:r>
        <w:t xml:space="preserve">El informe publica el valor (15,4 % de proyectos) pero no los números que lo componen: la fuente entrega la serie ya calculada. Para auditar el dato hay que ir a la operación estadística citada más arriba.</w:t>
      </w:r>
    </w:p>
    <w:bookmarkEnd w:id="89"/>
    <w:bookmarkStart w:id="90" w:name="color-vigente-y-por-qué-6"/>
    <w:p>
      <w:pPr>
        <w:pStyle w:val="Heading2"/>
        <w:keepNext/>
      </w:pPr>
      <w:r>
        <w:t xml:space="preserve">Color vigente y por qué</w:t>
      </w:r>
    </w:p>
    <w:p>
      <w:pPr>
        <w:pStyle w:val="FirstParagraph"/>
      </w:pPr>
      <w:r>
        <w:t xml:space="preserve">Dato vigente: 15,4 % de proyectos (2026-08).</w:t>
      </w:r>
    </w:p>
    <w:p>
      <w:pPr>
        <w:pStyle w:val="BodyText"/>
      </w:pPr>
      <w:r>
        <w:t xml:space="preserve">15,4 % de proyectos cae en el tramo que corresponde a Amarillo, a 4,6 del corte más cercano.</w:t>
      </w:r>
    </w:p>
    <w:p>
      <w:pPr>
        <w:pStyle w:val="BodyText"/>
      </w:pPr>
      <w:r>
        <w:rPr>
          <w:bCs/>
          <w:b/>
        </w:rPr>
        <w:t xml:space="preserve">Color vigente: AMARILLO</w:t>
      </w:r>
    </w:p>
    <w:p>
      <w:pPr>
        <w:pStyle w:val="BodyText"/>
      </w:pPr>
      <w:r>
        <w:t xml:space="preserve">Ponderación vigente en el ITCP: 5,7 % efectivo. El color es una lectura adicional — no reemplaza ni cambia esta ponderación.</w:t>
      </w:r>
    </w:p>
    <w:bookmarkEnd w:id="90"/>
    <w:bookmarkStart w:id="91" w:name="transparencia-limitaciones-declaradas-6"/>
    <w:p>
      <w:pPr>
        <w:pStyle w:val="Heading2"/>
        <w:keepNext/>
      </w:pPr>
      <w:r>
        <w:t xml:space="preserve">Transparencia — limitaciones declaradas</w:t>
      </w:r>
    </w:p>
    <w:p>
      <w:pPr>
        <w:numPr>
          <w:ilvl w:val="0"/>
          <w:numId w:val="1028"/>
        </w:numPr>
        <w:pStyle w:val="Compact"/>
      </w:pPr>
      <w:r>
        <w:t xml:space="preserve">Al exigir un año de margen antes de contar un proyecto, el indicador reporta sobre una cohorte de hace 12 a 24 meses, no sobre el año corriente — es menos inmediato a cambio de no castigar a los proyectos recién enviados.</w:t>
      </w:r>
    </w:p>
    <w:p>
      <w:pPr>
        <w:numPr>
          <w:ilvl w:val="0"/>
          <w:numId w:val="1028"/>
        </w:numPr>
        <w:pStyle w:val="Compact"/>
      </w:pPr>
      <w:r>
        <w:t xml:space="preserve">Un trámite que supera los 24 meses nunca llega a contarse dentro de su cohorte: la ventana captura la mediana y el tramo alto de las duraciones observadas, pero los trámites excepcionalmente largos quedan fuera por construcción.</w:t>
      </w:r>
    </w:p>
    <w:p>
      <w:pPr>
        <w:numPr>
          <w:ilvl w:val="0"/>
          <w:numId w:val="1028"/>
        </w:numPr>
        <w:pStyle w:val="Compact"/>
      </w:pPr>
      <w:r>
        <w:t xml:space="preserve">Denominador chico: con unos quince a veinte proyectos por cohorte, uno solo mueve varios puntos porcentuales.</w:t>
      </w:r>
    </w:p>
    <w:p>
      <w:pPr>
        <w:numPr>
          <w:ilvl w:val="0"/>
          <w:numId w:val="1028"/>
        </w:numPr>
        <w:pStyle w:val="Compact"/>
      </w:pPr>
      <w:r>
        <w:t xml:space="preserve">Cuenta proyectos por igual, sin ponderar su peso político.</w:t>
      </w:r>
    </w:p>
    <w:p>
      <w:pPr>
        <w:numPr>
          <w:ilvl w:val="0"/>
          <w:numId w:val="1028"/>
        </w:numPr>
        <w:pStyle w:val="Compact"/>
      </w:pPr>
      <w:r>
        <w:t xml:space="preserve">La serie histórica es reproducible: si un proyecto se sanciona después de publicado un punto de la serie, ese punto no se corrige retroactivamente (aunque el indicador vigente sí lo refleje al recorrer la fuente completa).</w:t>
      </w:r>
    </w:p>
    <w:bookmarkEnd w:id="91"/>
    <w:bookmarkStart w:id="92" w:name="Xda21666f7a2dd83c88faf8de956a46075edab32"/>
    <w:p>
      <w:pPr>
        <w:pStyle w:val="Heading2"/>
        <w:keepNext/>
      </w:pPr>
      <w:r>
        <w:t xml:space="preserve">Si falta el dato / Política de revisiones</w:t>
      </w:r>
    </w:p>
    <w:p>
      <w:pPr>
        <w:numPr>
          <w:ilvl w:val="0"/>
          <w:numId w:val="1029"/>
        </w:numPr>
      </w:pPr>
      <w:r>
        <w:rPr>
          <w:bCs/>
          <w:b/>
        </w:rPr>
        <w:t xml:space="preserve">Si falta el dato:</w:t>
      </w:r>
      <w:r>
        <w:t xml:space="preserve"> </w:t>
      </w:r>
      <w:r>
        <w:t xml:space="preserve">Si la consulta falla, se mantiene el último valor disponible, señalado como desactualizado; sin ningún valor previo, el indicador queda fuera y los pesos de su dimensión se renormalizan entre los presentes.</w:t>
      </w:r>
    </w:p>
    <w:p>
      <w:pPr>
        <w:numPr>
          <w:ilvl w:val="0"/>
          <w:numId w:val="1029"/>
        </w:numPr>
      </w:pPr>
      <w:r>
        <w:rPr>
          <w:bCs/>
          <w:b/>
        </w:rPr>
        <w:t xml:space="preserve">Política de revisiones:</w:t>
      </w:r>
      <w:r>
        <w:t xml:space="preserve"> </w:t>
      </w:r>
      <w:r>
        <w:t xml:space="preserve">La serie completa se regenera desde la fuente en cada actualización.</w:t>
      </w:r>
    </w:p>
    <w:bookmarkEnd w:id="92"/>
    <w:bookmarkStart w:id="93" w:name="X78b6541d61e709752066d9872c28a219573eb10"/>
    <w:p>
      <w:pPr>
        <w:pStyle w:val="Heading2"/>
        <w:keepNext/>
      </w:pPr>
      <w:r>
        <w:t xml:space="preserve">Historial — cambios metodológicos documentados</w:t>
      </w:r>
    </w:p>
    <w:p>
      <w:pPr>
        <w:pStyle w:val="FirstParagraph"/>
      </w:pPr>
      <w:r>
        <w:rPr>
          <w:bCs/>
          <w:b/>
        </w:rPr>
        <w:t xml:space="preserve">2026-05</w:t>
      </w:r>
      <w:r>
        <w:t xml:space="preserve"> </w:t>
      </w:r>
      <w:r>
        <w:t xml:space="preserve">— Incorporado al cinturón político como medida de la capacidad de convertir la agenda de gobierno en ley.</w:t>
      </w:r>
    </w:p>
    <w:p>
      <w:pPr>
        <w:pStyle w:val="BodyText"/>
      </w:pPr>
      <w:r>
        <w:rPr>
          <w:bCs/>
          <w:b/>
        </w:rPr>
        <w:t xml:space="preserve">2026-06-30</w:t>
      </w:r>
      <w:r>
        <w:t xml:space="preserve"> </w:t>
      </w:r>
      <w:r>
        <w:t xml:space="preserve">— Serie mensual de ventanas móviles de 12 meses desde diciembre de 2023.</w:t>
      </w:r>
    </w:p>
    <w:p>
      <w:pPr>
        <w:pStyle w:val="BodyText"/>
      </w:pPr>
      <w:r>
        <w:rPr>
          <w:bCs/>
          <w:b/>
        </w:rPr>
        <w:t xml:space="preserve">2026-07-07</w:t>
      </w:r>
      <w:r>
        <w:t xml:space="preserve"> </w:t>
      </w:r>
      <w:r>
        <w:t xml:space="preserve">— Pasa a puntuar dentro del ITCP (índice paramétrico de cinco dimensiones ponderadas), en la dimensión de poder legislativo — antes el cinturón promediaba en partes iguales las tensiones de sus indicadores.</w:t>
      </w:r>
    </w:p>
    <w:p>
      <w:pPr>
        <w:pStyle w:val="BodyText"/>
      </w:pPr>
      <w:r>
        <w:rPr>
          <w:bCs/>
          <w:b/>
        </w:rPr>
        <w:t xml:space="preserve">2026-07-11</w:t>
      </w:r>
      <w:r>
        <w:t xml:space="preserve"> </w:t>
      </w:r>
      <w:r>
        <w:t xml:space="preserve">— Umbrales de puntaje recalibrados contra la serie mensual real del indicador (32 meses): los anteriores describían la tasa de aprobación de un congreso teórico y dejaban el puntaje en el mínimo casi todos los meses, sin discriminar. Se documenta además que, por construcción de la ventana única de 12 meses, el techo alcanzable del porcentaje es más bajo que una tasa de aprobación de manual.</w:t>
      </w:r>
    </w:p>
    <w:p>
      <w:pPr>
        <w:pStyle w:val="BodyText"/>
      </w:pPr>
      <w:r>
        <w:rPr>
          <w:bCs/>
          <w:b/>
        </w:rPr>
        <w:t xml:space="preserve">2026-07-15</w:t>
      </w:r>
      <w:r>
        <w:t xml:space="preserve"> </w:t>
      </w:r>
      <w:r>
        <w:t xml:space="preserve">— Se reemplazó la ventana compartida entre envío y sanción por una cohorte madura (proyectos con 12-24 meses de margen) — elimina el sesgo hacia abajo que la ventana compartida introducía. Los umbrales de puntaje se recalibraron contra series históricas de otras gestiones en vez de contra el rango de esta.</w:t>
      </w:r>
    </w:p>
    <w:p>
      <w:pPr>
        <w:pStyle w:val="BodyText"/>
      </w:pPr>
      <w:r>
        <w:rPr>
          <w:bCs/>
          <w:b/>
        </w:rPr>
        <w:t xml:space="preserve">2026-07-15</w:t>
      </w:r>
      <w:r>
        <w:t xml:space="preserve"> </w:t>
      </w:r>
      <w:r>
        <w:t xml:space="preserve">— Corrección de fuentes: la aprobación pasa a verificarse contra el registro oficial de leyes sancionadas (que cubre las sanciones definitivas del Senado, antes invisibles), y las comunicaciones administrativas del Ejecutivo dejan de contar como proyectos enviados.</w:t>
      </w:r>
    </w:p>
    <w:p>
      <w:pPr>
        <w:pStyle w:val="BodyText"/>
      </w:pPr>
      <w:r>
        <w:rPr>
          <w:bCs/>
          <w:b/>
        </w:rPr>
        <w:t xml:space="preserve">2026-07-15</w:t>
      </w:r>
      <w:r>
        <w:t xml:space="preserve"> </w:t>
      </w:r>
      <w:r>
        <w:t xml:space="preserve">— Se incorporaron los proyectos enviados por la Jefatura de Gabinete — la vía constitucional del Presupuesto anual, que hasta ahora quedaba fuera del conteo en ambas direcciones (ni el Presupuesto 2025 sin aprobar contaba como fracaso, ni el 2026 aprobado contaría como éxito al madurar su camada).</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93"/>
    <w:bookmarkEnd w:id="94"/>
    <w:bookmarkStart w:id="104" w:name="sesiones-caídas-por-falta-de-quórum"/>
    <w:p>
      <w:pPr>
        <w:pStyle w:val="Heading1"/>
        <w:keepNext/>
      </w:pPr>
      <w:r>
        <w:t xml:space="preserve">Sesiones caídas por falta de quórum</w:t>
      </w:r>
    </w:p>
    <w:p>
      <w:pPr>
        <w:pStyle w:val="FirstParagraph"/>
      </w:pPr>
      <w:r>
        <w:t xml:space="preserve">Qué porcentaje de las sesiones convocadas en Diputados para tratar temas queda en minoría, es decir, no reúne el quórum necesario para sesionar. Se miden los últimos doce meses.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10 % de sesiones</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2,7 % del ITCP</w:t>
            </w:r>
          </w:p>
        </w:tc>
        <w:tc>
          <w:p>
            <w:pPr>
              <w:pStyle w:val="Compact"/>
              <w:jc w:val="left"/>
            </w:pPr>
            <w:r>
              <w:rPr>
                <w:sz w:val="18"/>
              </w:rPr>
              <w:t xml:space="preserve">Cinturón Política</w:t>
            </w:r>
          </w:p>
        </w:tc>
      </w:tr>
    </w:tbl>
    <w:bookmarkStart w:id="95" w:name="identificación-7"/>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veto_quorum</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legislativo</w:t>
            </w:r>
          </w:p>
        </w:tc>
        <w:tc>
          <w:p>
            <w:pPr>
              <w:pStyle w:val="Compact"/>
              <w:jc w:val="left"/>
            </w:pPr>
            <w:r>
              <w:rPr>
                <w:bCs/>
                <w:b/>
                <w:sz w:val="18"/>
              </w:rPr>
              <w:t xml:space="preserve">UNIDAD DE MEDIDA</w:t>
            </w:r>
          </w:p>
        </w:tc>
        <w:tc>
          <w:p>
            <w:pPr>
              <w:pStyle w:val="Compact"/>
              <w:jc w:val="left"/>
            </w:pPr>
            <w:r>
              <w:rPr>
                <w:sz w:val="18"/>
              </w:rPr>
              <w:t xml:space="preserve">% de sesiones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El portal de datos abiertos de Diputados registra las sesiones a los días de ocurridas.</w:t>
            </w:r>
          </w:p>
        </w:tc>
      </w:tr>
      <w:tr>
        <w:trPr>
          <w:cantSplit/>
        </w:trPr>
        <w:tc>
          <w:p>
            <w:pPr>
              <w:pStyle w:val="Compact"/>
              <w:jc w:val="left"/>
            </w:pPr>
            <w:r>
              <w:rPr>
                <w:bCs/>
                <w:b/>
                <w:sz w:val="18"/>
              </w:rPr>
              <w:t xml:space="preserve">PRODUCTOR DEL DATO</w:t>
            </w:r>
          </w:p>
        </w:tc>
        <w:tc>
          <w:p>
            <w:pPr>
              <w:pStyle w:val="Compact"/>
              <w:jc w:val="left"/>
            </w:pPr>
            <w:r>
              <w:rPr>
                <w:sz w:val="18"/>
              </w:rPr>
              <w:t xml:space="preserve">HCDN — Cámara de Diputados de la Nación</w:t>
            </w:r>
          </w:p>
        </w:tc>
        <w:tc>
          <w:p>
            <w:pPr>
              <w:pStyle w:val="Compact"/>
              <w:jc w:val="left"/>
            </w:pPr>
            <w:r>
              <w:rPr>
                <w:bCs/>
                <w:b/>
                <w:sz w:val="18"/>
              </w:rPr>
              <w:t xml:space="preserve">OPERACIÓN ESTADÍSTICA</w:t>
            </w:r>
          </w:p>
        </w:tc>
        <w:tc>
          <w:p>
            <w:pPr>
              <w:pStyle w:val="Compact"/>
              <w:jc w:val="left"/>
            </w:pPr>
            <w:r>
              <w:rPr>
                <w:sz w:val="18"/>
              </w:rPr>
              <w:t xml:space="preserve">Dataset «sesiones» (sesiones plenarias) del portal oficial de datos abiertos</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del portal, filtrando las sesiones de Diputados del período legislativo en curso.</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95"/>
    <w:bookmarkStart w:id="96" w:name="definición-qué-mide-y-por-qué-importa-7"/>
    <w:p>
      <w:pPr>
        <w:pStyle w:val="Heading2"/>
        <w:keepNext/>
      </w:pPr>
      <w:r>
        <w:t xml:space="preserve">Definición — qué mide y por qué importa</w:t>
      </w:r>
    </w:p>
    <w:p>
      <w:pPr>
        <w:pStyle w:val="FirstParagraph"/>
      </w:pPr>
      <w:r>
        <w:t xml:space="preserve">Qué porcentaje de las sesiones convocadas en Diputados para tratar temas queda en minoría, es decir, no reúne el quórum necesario para sesionar. Se miden los últimos doce meses.</w:t>
      </w:r>
    </w:p>
    <w:p>
      <w:pPr>
        <w:pStyle w:val="BodyText"/>
      </w:pPr>
      <w:r>
        <w:t xml:space="preserve">El quórum es el primer filtro de cualquier agenda legislativa: sin él no se debate ni se vota nada. Una tasa alta indica que el oficialismo no logra reunir a la cámara, sea porque la oposición se ausenta deliberadamente o porque sus propios aliados no acompañan.</w:t>
      </w:r>
    </w:p>
    <w:p>
      <w:pPr>
        <w:pStyle w:val="BodyText"/>
      </w:pPr>
      <w:r>
        <w:rPr>
          <w:bCs/>
          <w:b/>
        </w:rPr>
        <w:t xml:space="preserve">Dimensión que integra — Poder legislativo.</w:t>
      </w:r>
      <w:r>
        <w:t xml:space="preserve"> </w:t>
      </w:r>
      <w:r>
        <w:t xml:space="preserve">La capacidad de gobernar por ley en el Congreso: cuánto legisla por decreto en vez de ley (ratio DNU), qué porción de la agenda del Ejecutivo se aprueba, cuántas sesiones de Diputados fracasan por falta de quórum, cuántas derrotas sufre el Ejecutivo en el recinto y qué porción de sus normas desafiadas logra sostener en pie.</w:t>
      </w:r>
    </w:p>
    <w:bookmarkEnd w:id="96"/>
    <w:bookmarkStart w:id="97" w:name="método-de-cómputo-7"/>
    <w:p>
      <w:pPr>
        <w:pStyle w:val="Heading2"/>
        <w:keepNext/>
      </w:pPr>
      <w:r>
        <w:t xml:space="preserve">Método de cómputo</w:t>
      </w:r>
    </w:p>
    <w:p>
      <w:pPr>
        <w:numPr>
          <w:ilvl w:val="0"/>
          <w:numId w:val="1030"/>
        </w:numPr>
        <w:pStyle w:val="Compact"/>
      </w:pPr>
      <w:r>
        <w:t xml:space="preserve">Una sesión cuenta como caída cuando el registro oficial la clasifica «en minoría»: fue convocada, esperó —unas dos horas en promedio— y nunca llegó a constituirse, por lo que no recibió número de sesión. Las que sí se constituyen duran alrededor de doce horas y llevan número.</w:t>
      </w:r>
    </w:p>
    <w:p>
      <w:pPr>
        <w:numPr>
          <w:ilvl w:val="0"/>
          <w:numId w:val="1030"/>
        </w:numPr>
        <w:pStyle w:val="Compact"/>
      </w:pPr>
      <w:r>
        <w:t xml:space="preserve">El denominador son las sesiones convocadas para tratar temas: las especiales, sus continuaciones y las que quedaron en minoría. Quedan afuera las informativas, la sesión preparatoria y la presentación del presupuesto, instancias donde el oficialismo no necesita reunir quórum para avanzar su agenda.</w:t>
      </w:r>
    </w:p>
    <w:p>
      <w:pPr>
        <w:numPr>
          <w:ilvl w:val="0"/>
          <w:numId w:val="1030"/>
        </w:numPr>
        <w:pStyle w:val="Compact"/>
      </w:pPr>
      <w:r>
        <w:t xml:space="preserve">Se calcula sobre los últimos doce meses calendario, no por período legislativo. El período reiniciaba el conteo cada marzo, de modo que durante buena parte del año el indicador se apoyaba en dos o tres sesiones.</w:t>
      </w:r>
    </w:p>
    <w:bookmarkEnd w:id="97"/>
    <w:bookmarkStart w:id="98" w:name="X580c6ce917b2a709ea8e3c85d9f137a942d26a4"/>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sesiones)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17</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17 – 25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25 – 28,33</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28,33</w:t>
            </w:r>
          </w:p>
        </w:tc>
        <w:tc>
          <w:tcPr>
            <w:shd w:val="clear" w:color="auto" w:fill="FEE2E2"/>
          </w:tcPr>
          <w:p>
            <w:pPr>
              <w:pStyle w:val="Compact"/>
              <w:jc w:val="center"/>
            </w:pPr>
            <w:r>
              <w:rPr>
                <w:b/>
                <w:sz w:val="18"/>
                <w:color w:val="7F1D1D"/>
              </w:rPr>
              <w:t xml:space="preserve">ROJO</w:t>
            </w:r>
          </w:p>
        </w:tc>
      </w:tr>
    </w:tbl>
    <w:bookmarkEnd w:id="98"/>
    <w:bookmarkStart w:id="99" w:name="datos-concretos-detrás-del-valor-7"/>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1"/>
        </w:numPr>
        <w:pStyle w:val="Compact"/>
      </w:pPr>
      <w:r>
        <w:t xml:space="preserve">1 de 10 sesiones legislativas convocadas en los últimos 12 meses quedaron en minoría (no reunieron quórum)</w:t>
      </w:r>
    </w:p>
    <w:bookmarkEnd w:id="99"/>
    <w:bookmarkStart w:id="100" w:name="color-vigente-y-por-qué-7"/>
    <w:p>
      <w:pPr>
        <w:pStyle w:val="Heading2"/>
        <w:keepNext/>
      </w:pPr>
      <w:r>
        <w:t xml:space="preserve">Color vigente y por qué</w:t>
      </w:r>
    </w:p>
    <w:p>
      <w:pPr>
        <w:pStyle w:val="FirstParagraph"/>
      </w:pPr>
      <w:r>
        <w:t xml:space="preserve">Dato vigente: 10 % de sesiones (2026-08).</w:t>
      </w:r>
    </w:p>
    <w:p>
      <w:pPr>
        <w:pStyle w:val="BodyText"/>
      </w:pPr>
      <w:r>
        <w:t xml:space="preserve">10,0 % de sesiones cae en el tramo que corresponde a Verde, a 7,0 del corte más cercano.</w:t>
      </w:r>
    </w:p>
    <w:p>
      <w:pPr>
        <w:pStyle w:val="BodyText"/>
      </w:pPr>
      <w:r>
        <w:rPr>
          <w:bCs/>
          <w:b/>
        </w:rPr>
        <w:t xml:space="preserve">Color vigente: VERDE</w:t>
      </w:r>
    </w:p>
    <w:p>
      <w:pPr>
        <w:pStyle w:val="BodyText"/>
      </w:pPr>
      <w:r>
        <w:t xml:space="preserve">Ponderación vigente en el ITCP: 2,7 % efectivo. El color es una lectura adicional — no reemplaza ni cambia esta ponderación.</w:t>
      </w:r>
    </w:p>
    <w:bookmarkEnd w:id="100"/>
    <w:bookmarkStart w:id="101" w:name="transparencia-limitaciones-declaradas-7"/>
    <w:p>
      <w:pPr>
        <w:pStyle w:val="Heading2"/>
        <w:keepNext/>
      </w:pPr>
      <w:r>
        <w:t xml:space="preserve">Transparencia — limitaciones declaradas</w:t>
      </w:r>
    </w:p>
    <w:p>
      <w:pPr>
        <w:numPr>
          <w:ilvl w:val="0"/>
          <w:numId w:val="1032"/>
        </w:numPr>
        <w:pStyle w:val="Compact"/>
      </w:pPr>
      <w:r>
        <w:t xml:space="preserve">Las sesiones desactivadas antes de la convocatoria formal no aparecen en el registro oficial: el indicador subestima el bloqueo.</w:t>
      </w:r>
    </w:p>
    <w:p>
      <w:pPr>
        <w:numPr>
          <w:ilvl w:val="0"/>
          <w:numId w:val="1032"/>
        </w:numPr>
        <w:pStyle w:val="Compact"/>
      </w:pPr>
      <w:r>
        <w:t xml:space="preserve">El denominador sigue siendo modesto —entre doce y dieciséis sesiones en la ventana—, así que cada sesión caída mueve varios puntos porcentuales. Es una mejora sobre el conteo por período legislativo, que llegó a apoyarse en cinco sesiones, pero conviene leer el indicador por su tendencia y no por su valor exacto de un mes.</w:t>
      </w:r>
    </w:p>
    <w:p>
      <w:pPr>
        <w:numPr>
          <w:ilvl w:val="0"/>
          <w:numId w:val="1032"/>
        </w:numPr>
        <w:pStyle w:val="Compact"/>
      </w:pPr>
      <w:r>
        <w:t xml:space="preserve">No distingue el quórum frustrado por la oposición de la inasistencia propia — decisión metodológica declarada.</w:t>
      </w:r>
    </w:p>
    <w:bookmarkEnd w:id="101"/>
    <w:bookmarkStart w:id="102" w:name="X5157a7f3dd1b7c5618784c262e1db635d54cbee"/>
    <w:p>
      <w:pPr>
        <w:pStyle w:val="Heading2"/>
        <w:keepNext/>
      </w:pPr>
      <w:r>
        <w:t xml:space="preserve">Si falta el dato / Política de revisiones</w:t>
      </w:r>
    </w:p>
    <w:p>
      <w:pPr>
        <w:numPr>
          <w:ilvl w:val="0"/>
          <w:numId w:val="1033"/>
        </w:numPr>
      </w:pPr>
      <w:r>
        <w:rPr>
          <w:bCs/>
          <w:b/>
        </w:rPr>
        <w:t xml:space="preserve">Si falta el dato:</w:t>
      </w:r>
      <w:r>
        <w:t xml:space="preserve"> </w:t>
      </w:r>
      <w:r>
        <w:t xml:space="preserve">Si la consulta falla, se mantiene el último valor disponible, señalado como desactualizado; sin ningún valor previo, el indicador queda fuera y los pesos de su dimensión se renormalizan entre los presentes.</w:t>
      </w:r>
    </w:p>
    <w:p>
      <w:pPr>
        <w:numPr>
          <w:ilvl w:val="0"/>
          <w:numId w:val="1033"/>
        </w:numPr>
      </w:pPr>
      <w:r>
        <w:rPr>
          <w:bCs/>
          <w:b/>
        </w:rPr>
        <w:t xml:space="preserve">Política de revisiones:</w:t>
      </w:r>
      <w:r>
        <w:t xml:space="preserve"> </w:t>
      </w:r>
      <w:r>
        <w:t xml:space="preserve">El dataset se reconsulta completo en cada actualización.</w:t>
      </w:r>
    </w:p>
    <w:bookmarkEnd w:id="102"/>
    <w:bookmarkStart w:id="103" w:name="X132198e4afb37dac2ae05929110b05dce5f3da0"/>
    <w:p>
      <w:pPr>
        <w:pStyle w:val="Heading2"/>
        <w:keepNext/>
      </w:pPr>
      <w:r>
        <w:t xml:space="preserve">Historial — cambios metodológicos documentados</w:t>
      </w:r>
    </w:p>
    <w:p>
      <w:pPr>
        <w:pStyle w:val="FirstParagraph"/>
      </w:pPr>
      <w:r>
        <w:rPr>
          <w:bCs/>
          <w:b/>
        </w:rPr>
        <w:t xml:space="preserve">2026-05</w:t>
      </w:r>
      <w:r>
        <w:t xml:space="preserve"> </w:t>
      </w:r>
      <w:r>
        <w:t xml:space="preserve">— Incorporado al cinturón político como medida del bloqueo parlamentario.</w:t>
      </w:r>
    </w:p>
    <w:p>
      <w:pPr>
        <w:pStyle w:val="BodyText"/>
      </w:pPr>
      <w:r>
        <w:rPr>
          <w:bCs/>
          <w:b/>
        </w:rPr>
        <w:t xml:space="preserve">2026-06-30</w:t>
      </w:r>
      <w:r>
        <w:t xml:space="preserve"> </w:t>
      </w:r>
      <w:r>
        <w:t xml:space="preserve">— Serie por período legislativo desde 2024.</w:t>
      </w:r>
    </w:p>
    <w:p>
      <w:pPr>
        <w:pStyle w:val="BodyText"/>
      </w:pPr>
      <w:r>
        <w:rPr>
          <w:bCs/>
          <w:b/>
        </w:rPr>
        <w:t xml:space="preserve">2026-07-07</w:t>
      </w:r>
      <w:r>
        <w:t xml:space="preserve"> </w:t>
      </w:r>
      <w:r>
        <w:t xml:space="preserve">— Pasa a puntuar dentro del ITCP (índice paramétrico de cinco dimensiones ponderadas), en la dimensión de poder legislativo — antes el cinturón promediaba en partes iguales las tensiones de sus indicadores.</w:t>
      </w:r>
    </w:p>
    <w:p>
      <w:pPr>
        <w:pStyle w:val="BodyText"/>
      </w:pPr>
      <w:r>
        <w:rPr>
          <w:bCs/>
          <w:b/>
        </w:rPr>
        <w:t xml:space="preserve">2026-07-20</w:t>
      </w:r>
      <w:r>
        <w:t xml:space="preserve"> </w:t>
      </w:r>
      <w:r>
        <w:t xml:space="preserve">— Corrección de fondo del criterio de conteo, a partir de una revisión de los registros crudos del dataset oficial. La versión anterior identificaba las sesiones caídas buscando la palabra «fracasada» en el tipo de reunión, lo que dejaba fuera las once sesiones clasificadas «en minoría» —que son el fracaso de quórum propiamente dicho— y en cambio contaba dos sesiones informativas del artículo 71 de la Constitución que no se realizaron, un fenómeno distinto. La ventana pasó además de período legislativo a doce meses móviles, y la serie de anual a mensual.</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03"/>
    <w:bookmarkEnd w:id="104"/>
    <w:bookmarkStart w:id="114" w:name="adhesión-provincial-al-rigi"/>
    <w:p>
      <w:pPr>
        <w:pStyle w:val="Heading1"/>
        <w:keepNext/>
      </w:pPr>
      <w:r>
        <w:t xml:space="preserve">Adhesión provincial al RIGI</w:t>
      </w:r>
    </w:p>
    <w:p>
      <w:pPr>
        <w:pStyle w:val="FirstParagraph"/>
      </w:pPr>
      <w:r>
        <w:t xml:space="preserve">Cuántas de las 24 jurisdicciones del país (23 provincias y la Ciudad de Buenos Aires) figuran adheridas al Régimen de Incentivo para Grandes Inversiones (RIGI), sobre el total.</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66,7 % de jurisdicciones (sobre 24) adheridas al RIGI</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5,7 % del ITCP</w:t>
            </w:r>
          </w:p>
        </w:tc>
        <w:tc>
          <w:p>
            <w:pPr>
              <w:pStyle w:val="Compact"/>
              <w:jc w:val="left"/>
            </w:pPr>
            <w:r>
              <w:rPr>
                <w:sz w:val="18"/>
              </w:rPr>
              <w:t xml:space="preserve">Cinturón Política</w:t>
            </w:r>
          </w:p>
        </w:tc>
      </w:tr>
    </w:tbl>
    <w:bookmarkStart w:id="105" w:name="identificación-8"/>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adhesion_reformas_provincial</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Alianzas territoriales</w:t>
            </w:r>
          </w:p>
        </w:tc>
        <w:tc>
          <w:p>
            <w:pPr>
              <w:pStyle w:val="Compact"/>
              <w:jc w:val="left"/>
            </w:pPr>
            <w:r>
              <w:rPr>
                <w:bCs/>
                <w:b/>
                <w:sz w:val="18"/>
              </w:rPr>
              <w:t xml:space="preserve">UNIDAD DE MEDIDA</w:t>
            </w:r>
          </w:p>
        </w:tc>
        <w:tc>
          <w:p>
            <w:pPr>
              <w:pStyle w:val="Compact"/>
              <w:jc w:val="left"/>
            </w:pPr>
            <w:r>
              <w:rPr>
                <w:sz w:val="18"/>
              </w:rPr>
              <w:t xml:space="preserve">% de jurisdicciones (sobre 24) adheridas al RIGI</w:t>
            </w:r>
          </w:p>
        </w:tc>
      </w:tr>
      <w:tr>
        <w:trPr>
          <w:cantSplit/>
        </w:trPr>
        <w:tc>
          <w:p>
            <w:pPr>
              <w:pStyle w:val="Compact"/>
              <w:jc w:val="left"/>
            </w:pPr>
            <w:r>
              <w:rPr>
                <w:bCs/>
                <w:b/>
                <w:sz w:val="18"/>
              </w:rPr>
              <w:t xml:space="preserve">SERIE DISPONIBLE</w:t>
            </w:r>
          </w:p>
        </w:tc>
        <w:tc>
          <w:p>
            <w:pPr>
              <w:pStyle w:val="Compact"/>
              <w:jc w:val="left"/>
            </w:pPr>
            <w:r>
              <w:rPr>
                <w:sz w:val="18"/>
              </w:rPr>
              <w:t xml:space="preserve">2024-07 → 2026-07 (25 puntos)</w:t>
            </w:r>
          </w:p>
        </w:tc>
        <w:tc>
          <w:p>
            <w:pPr>
              <w:pStyle w:val="Compact"/>
              <w:jc w:val="left"/>
            </w:pPr>
            <w:r>
              <w:rPr>
                <w:bCs/>
                <w:b/>
                <w:sz w:val="18"/>
              </w:rPr>
              <w:t xml:space="preserve">REZAGO DE PUBLICACIÓN</w:t>
            </w:r>
          </w:p>
        </w:tc>
        <w:tc>
          <w:p>
            <w:pPr>
              <w:pStyle w:val="Compact"/>
              <w:jc w:val="left"/>
            </w:pPr>
            <w:r>
              <w:rPr>
                <w:sz w:val="18"/>
              </w:rPr>
              <w:t xml:space="preserve">La tabla de provincias adheridas se actualiza en el sitio oficial apenas una provincia formaliza su adhesión; el informe la relee completa en cada actualización.</w:t>
            </w:r>
          </w:p>
        </w:tc>
      </w:tr>
      <w:tr>
        <w:trPr>
          <w:cantSplit/>
        </w:trPr>
        <w:tc>
          <w:p>
            <w:pPr>
              <w:pStyle w:val="Compact"/>
              <w:jc w:val="left"/>
            </w:pPr>
            <w:r>
              <w:rPr>
                <w:bCs/>
                <w:b/>
                <w:sz w:val="18"/>
              </w:rPr>
              <w:t xml:space="preserve">PRODUCTOR DEL DATO</w:t>
            </w:r>
          </w:p>
        </w:tc>
        <w:tc>
          <w:p>
            <w:pPr>
              <w:pStyle w:val="Compact"/>
              <w:jc w:val="left"/>
            </w:pPr>
            <w:r>
              <w:rPr>
                <w:sz w:val="18"/>
              </w:rPr>
              <w:t xml:space="preserve">Ministerio de Agricultura, Ganadería y Pesca (MAGyP)</w:t>
            </w:r>
          </w:p>
        </w:tc>
        <w:tc>
          <w:p>
            <w:pPr>
              <w:pStyle w:val="Compact"/>
              <w:jc w:val="left"/>
            </w:pPr>
            <w:r>
              <w:rPr>
                <w:bCs/>
                <w:b/>
                <w:sz w:val="18"/>
              </w:rPr>
              <w:t xml:space="preserve">OPERACIÓN ESTADÍSTICA</w:t>
            </w:r>
          </w:p>
        </w:tc>
        <w:tc>
          <w:p>
            <w:pPr>
              <w:pStyle w:val="Compact"/>
              <w:jc w:val="left"/>
            </w:pPr>
            <w:r>
              <w:rPr>
                <w:sz w:val="18"/>
              </w:rPr>
              <w:t xml:space="preserve">Tabla de provincias adheridas al Régimen de Incentivo para Grandes Inversiones (RIGI, Título VII de la Ley 27.742)</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directa de la tabla publicada en el sitio del MAGyP.</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05"/>
    <w:bookmarkStart w:id="106" w:name="definición-qué-mide-y-por-qué-importa-8"/>
    <w:p>
      <w:pPr>
        <w:pStyle w:val="Heading2"/>
        <w:keepNext/>
      </w:pPr>
      <w:r>
        <w:t xml:space="preserve">Definición — qué mide y por qué importa</w:t>
      </w:r>
    </w:p>
    <w:p>
      <w:pPr>
        <w:pStyle w:val="FirstParagraph"/>
      </w:pPr>
      <w:r>
        <w:t xml:space="preserve">Cuántas de las 24 jurisdicciones del país (23 provincias y la Ciudad de Buenos Aires) figuran adheridas al Régimen de Incentivo para Grandes Inversiones (RIGI), sobre el total.</w:t>
      </w:r>
    </w:p>
    <w:p>
      <w:pPr>
        <w:pStyle w:val="BodyText"/>
      </w:pPr>
      <w:r>
        <w:t xml:space="preserve">Mide adhesión fiscal a un régimen de promoción de inversiones puntual, no el alineamiento político general de una provincia con la Nación — eso lo mide, con otro método, el indicador de alineamiento de senadores por provincia.</w:t>
      </w:r>
    </w:p>
    <w:p>
      <w:pPr>
        <w:pStyle w:val="BodyText"/>
      </w:pPr>
      <w:r>
        <w:rPr>
          <w:bCs/>
          <w:b/>
        </w:rPr>
        <w:t xml:space="preserve">Dimensión que integra — Alianzas territoriales.</w:t>
      </w:r>
      <w:r>
        <w:t xml:space="preserve"> </w:t>
      </w:r>
      <w:r>
        <w:t xml:space="preserve">El sostén federal del gobierno, visto desde tres señales: las transferencias a las provincias, el alineamiento de los senadores no oficialistas con la posición del bloque de gobierno, y la adhesión provincial al RIGI. Conviene una precisión sobre qué mide y qué no: ninguna de las tres observa directamente la conducta de los gobernadores. La primera describe lo que hace el Gobierno nacional; la segunda, cómo votan los senadores de cada provincia; la tercera, una decisión legislativa provincial ya tomada. No se encontró una fuente pública que midiera de forma automatizable la postura de los ejecutivos provinciales, así que la dimensión se lee como respaldo territorial observado por sus efectos, no como una medición de la relación con cada gobernador.</w:t>
      </w:r>
    </w:p>
    <w:bookmarkEnd w:id="106"/>
    <w:bookmarkStart w:id="107" w:name="método-de-cómputo-8"/>
    <w:p>
      <w:pPr>
        <w:pStyle w:val="Heading2"/>
        <w:keepNext/>
      </w:pPr>
      <w:r>
        <w:t xml:space="preserve">Método de cómputo</w:t>
      </w:r>
    </w:p>
    <w:p>
      <w:pPr>
        <w:numPr>
          <w:ilvl w:val="0"/>
          <w:numId w:val="1034"/>
        </w:numPr>
        <w:pStyle w:val="Compact"/>
      </w:pPr>
      <w:r>
        <w:t xml:space="preserve">Cuenta cuántas de las 24 jurisdicciones del país (23 provincias y la Ciudad de Buenos Aires) figuran en la tabla oficial como adheridas al RIGI.</w:t>
      </w:r>
    </w:p>
    <w:p>
      <w:pPr>
        <w:numPr>
          <w:ilvl w:val="0"/>
          <w:numId w:val="1034"/>
        </w:numPr>
        <w:pStyle w:val="Compact"/>
      </w:pPr>
      <w:r>
        <w:t xml:space="preserve">El indicador es ese conteo sobre 24, expresado en porcentaje.</w:t>
      </w:r>
    </w:p>
    <w:bookmarkEnd w:id="107"/>
    <w:bookmarkStart w:id="108" w:name="X87b3987c06539a9299ed64e1a1888a4d5564dfd"/>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jurisdicciones (sobre 24) adheridas al RIGI)</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46</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30 – 46</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23,33 – 30</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23,33</w:t>
            </w:r>
          </w:p>
        </w:tc>
        <w:tc>
          <w:tcPr>
            <w:shd w:val="clear" w:color="auto" w:fill="FEE2E2"/>
          </w:tcPr>
          <w:p>
            <w:pPr>
              <w:pStyle w:val="Compact"/>
              <w:jc w:val="center"/>
            </w:pPr>
            <w:r>
              <w:rPr>
                <w:b/>
                <w:sz w:val="18"/>
                <w:color w:val="7F1D1D"/>
              </w:rPr>
              <w:t xml:space="preserve">ROJO</w:t>
            </w:r>
          </w:p>
        </w:tc>
      </w:tr>
    </w:tbl>
    <w:bookmarkEnd w:id="108"/>
    <w:bookmarkStart w:id="109" w:name="datos-concretos-detrás-del-valor-8"/>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5"/>
        </w:numPr>
        <w:pStyle w:val="Compact"/>
      </w:pPr>
      <w:r>
        <w:t xml:space="preserve">16 de 24 jurisdicciones adheridas al RIGI</w:t>
      </w:r>
    </w:p>
    <w:bookmarkEnd w:id="109"/>
    <w:bookmarkStart w:id="110" w:name="color-vigente-y-por-qué-8"/>
    <w:p>
      <w:pPr>
        <w:pStyle w:val="Heading2"/>
        <w:keepNext/>
      </w:pPr>
      <w:r>
        <w:t xml:space="preserve">Color vigente y por qué</w:t>
      </w:r>
    </w:p>
    <w:p>
      <w:pPr>
        <w:pStyle w:val="FirstParagraph"/>
      </w:pPr>
      <w:r>
        <w:t xml:space="preserve">Dato vigente: 66,7 % de jurisdicciones (sobre 24) adheridas al RIGI (2026-08).</w:t>
      </w:r>
    </w:p>
    <w:p>
      <w:pPr>
        <w:pStyle w:val="BodyText"/>
      </w:pPr>
      <w:r>
        <w:t xml:space="preserve">66,7 % de jurisdicciones (sobre 24) adheridas al RIGI cae en el tramo que corresponde a Verde, a 20,7 del corte más cercano.</w:t>
      </w:r>
    </w:p>
    <w:p>
      <w:pPr>
        <w:pStyle w:val="BodyText"/>
      </w:pPr>
      <w:r>
        <w:rPr>
          <w:bCs/>
          <w:b/>
        </w:rPr>
        <w:t xml:space="preserve">Color vigente: VERDE</w:t>
      </w:r>
    </w:p>
    <w:p>
      <w:pPr>
        <w:pStyle w:val="BodyText"/>
      </w:pPr>
      <w:r>
        <w:t xml:space="preserve">Ponderación vigente en el ITCP: 5,7 % efectivo. El color es una lectura adicional — no reemplaza ni cambia esta ponderación.</w:t>
      </w:r>
    </w:p>
    <w:bookmarkEnd w:id="110"/>
    <w:bookmarkStart w:id="111" w:name="transparencia-limitaciones-declaradas-8"/>
    <w:p>
      <w:pPr>
        <w:pStyle w:val="Heading2"/>
        <w:keepNext/>
      </w:pPr>
      <w:r>
        <w:t xml:space="preserve">Transparencia — limitaciones declaradas</w:t>
      </w:r>
    </w:p>
    <w:p>
      <w:pPr>
        <w:numPr>
          <w:ilvl w:val="0"/>
          <w:numId w:val="1036"/>
        </w:numPr>
        <w:pStyle w:val="Compact"/>
      </w:pPr>
      <w:r>
        <w:t xml:space="preserve">Cuenta la adhesión formal, no la inversión efectiva que esa adhesión termina generando en cada provincia.</w:t>
      </w:r>
    </w:p>
    <w:p>
      <w:pPr>
        <w:numPr>
          <w:ilvl w:val="0"/>
          <w:numId w:val="1036"/>
        </w:numPr>
        <w:pStyle w:val="Compact"/>
      </w:pPr>
      <w:r>
        <w:t xml:space="preserve">Es una tabla acumulativa: una vez que una provincia adhiere no se espera que salga de la lista, así que el indicador solo sube o queda estable — no capta marchas atrás.</w:t>
      </w:r>
    </w:p>
    <w:p>
      <w:pPr>
        <w:numPr>
          <w:ilvl w:val="0"/>
          <w:numId w:val="1036"/>
        </w:numPr>
        <w:pStyle w:val="Compact"/>
      </w:pPr>
      <w:r>
        <w:t xml:space="preserve">El sitio fuente tiene una fila vacía mal formada que puede duplicar el nombre de una provincia al leer la tabla; no altera el conteo final porque cada provincia se cuenta una sola vez.</w:t>
      </w:r>
    </w:p>
    <w:bookmarkEnd w:id="111"/>
    <w:bookmarkStart w:id="112" w:name="Xa8ce648c431bea43f551f3baf6efe2b68743848"/>
    <w:p>
      <w:pPr>
        <w:pStyle w:val="Heading2"/>
        <w:keepNext/>
      </w:pPr>
      <w:r>
        <w:t xml:space="preserve">Si falta el dato / Política de revisiones</w:t>
      </w:r>
    </w:p>
    <w:p>
      <w:pPr>
        <w:numPr>
          <w:ilvl w:val="0"/>
          <w:numId w:val="1037"/>
        </w:numPr>
      </w:pPr>
      <w:r>
        <w:rPr>
          <w:bCs/>
          <w:b/>
        </w:rPr>
        <w:t xml:space="preserve">Si falta el dato:</w:t>
      </w:r>
      <w:r>
        <w:t xml:space="preserve"> </w:t>
      </w:r>
      <w:r>
        <w:t xml:space="preserve">Si la consulta al sitio falla, el indicador queda fuera de esa actualización y el puntaje del cinturón se calcula con los indicadores disponibles.</w:t>
      </w:r>
    </w:p>
    <w:p>
      <w:pPr>
        <w:numPr>
          <w:ilvl w:val="0"/>
          <w:numId w:val="1037"/>
        </w:numPr>
      </w:pPr>
      <w:r>
        <w:rPr>
          <w:bCs/>
          <w:b/>
        </w:rPr>
        <w:t xml:space="preserve">Política de revisiones:</w:t>
      </w:r>
      <w:r>
        <w:t xml:space="preserve"> </w:t>
      </w:r>
      <w:r>
        <w:t xml:space="preserve">La tabla completa se relee de la fuente en cada actualización; no se acumulan lecturas parciales.</w:t>
      </w:r>
    </w:p>
    <w:bookmarkEnd w:id="112"/>
    <w:bookmarkStart w:id="113" w:name="X7377c6d2efe561e453f620dd5fcb89b652fe35d"/>
    <w:p>
      <w:pPr>
        <w:pStyle w:val="Heading2"/>
        <w:keepNext/>
      </w:pPr>
      <w:r>
        <w:t xml:space="preserve">Historial — cambios metodológicos documentados</w:t>
      </w:r>
    </w:p>
    <w:p>
      <w:pPr>
        <w:pStyle w:val="FirstParagraph"/>
      </w:pPr>
      <w:r>
        <w:rPr>
          <w:bCs/>
          <w:b/>
        </w:rPr>
        <w:t xml:space="preserve">2026-07-07</w:t>
      </w:r>
      <w:r>
        <w:t xml:space="preserve"> </w:t>
      </w:r>
      <w:r>
        <w:t xml:space="preserve">— Alta como indicador de la dimensión de alianzas territoriales: mide adhesión fiscal al RIGI, distinta del alineamiento político general que ya capta el indicador de gobernadores.</w:t>
      </w:r>
    </w:p>
    <w:p>
      <w:pPr>
        <w:pStyle w:val="BodyText"/>
      </w:pPr>
      <w:r>
        <w:rPr>
          <w:bCs/>
          <w:b/>
        </w:rPr>
        <w:t xml:space="preserve">2026-07-09</w:t>
      </w:r>
      <w:r>
        <w:t xml:space="preserve"> </w:t>
      </w:r>
      <w:r>
        <w:t xml:space="preserve">— Serie histórica mensual del gráfico: la fecha de adhesión de cada provincia se documentó una por una contra el Boletín Oficial provincial (u otra fuente oficial equivalente).</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13"/>
    <w:bookmarkEnd w:id="114"/>
    <w:bookmarkStart w:id="124" w:name="cohesión-del-bloque-lla-bicameral"/>
    <w:p>
      <w:pPr>
        <w:pStyle w:val="Heading1"/>
        <w:keepNext/>
      </w:pPr>
      <w:r>
        <w:t xml:space="preserve">Cohesión del bloque LLA (bicameral)</w:t>
      </w:r>
    </w:p>
    <w:p>
      <w:pPr>
        <w:pStyle w:val="FirstParagraph"/>
      </w:pPr>
      <w:r>
        <w:t xml:space="preserve">Qué tan parejo vota puertas adentro el bloque propio de LLA en las votaciones divididas de los últimos 90 días de ambas cámaras. Pondera Diputados 65% y Senado 35%; si una cámara no tiene actas divididas en la ventana, el peso pasa a la otra.</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99,8 % cohesión (índice de Rice bicameral: Diputados 65% + Senado 35%, promedio actas divididas últimos 90 días)</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15 % del ITCP</w:t>
            </w:r>
          </w:p>
        </w:tc>
        <w:tc>
          <w:p>
            <w:pPr>
              <w:pStyle w:val="Compact"/>
              <w:jc w:val="left"/>
            </w:pPr>
            <w:r>
              <w:rPr>
                <w:sz w:val="18"/>
              </w:rPr>
              <w:t xml:space="preserve">Cinturón Política</w:t>
            </w:r>
          </w:p>
        </w:tc>
      </w:tr>
    </w:tbl>
    <w:bookmarkStart w:id="115" w:name="identificación-9"/>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cohesion_bloque</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Cohesión interna del oficialismo</w:t>
            </w:r>
          </w:p>
        </w:tc>
        <w:tc>
          <w:p>
            <w:pPr>
              <w:pStyle w:val="Compact"/>
              <w:jc w:val="left"/>
            </w:pPr>
            <w:r>
              <w:rPr>
                <w:bCs/>
                <w:b/>
                <w:sz w:val="18"/>
              </w:rPr>
              <w:t xml:space="preserve">UNIDAD DE MEDIDA</w:t>
            </w:r>
          </w:p>
        </w:tc>
        <w:tc>
          <w:p>
            <w:pPr>
              <w:pStyle w:val="Compact"/>
              <w:jc w:val="left"/>
            </w:pPr>
            <w:r>
              <w:rPr>
                <w:sz w:val="18"/>
              </w:rPr>
              <w:t xml:space="preserve">% cohesión (índice de Rice bicameral: Diputados 65% + Senado 35%, promedio actas divididas últimos 90 días)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Los portales de votaciones nominales de las dos cámaras registran cada sesión a los pocos días de ocurrida; el informe recalcula el promedio de los últimos 90 días en cada actualización.</w:t>
            </w:r>
          </w:p>
        </w:tc>
      </w:tr>
      <w:tr>
        <w:trPr>
          <w:cantSplit/>
        </w:trPr>
        <w:tc>
          <w:p>
            <w:pPr>
              <w:pStyle w:val="Compact"/>
              <w:jc w:val="left"/>
            </w:pPr>
            <w:r>
              <w:rPr>
                <w:bCs/>
                <w:b/>
                <w:sz w:val="18"/>
              </w:rPr>
              <w:t xml:space="preserve">PRODUCTOR DEL DATO</w:t>
            </w:r>
          </w:p>
        </w:tc>
        <w:tc>
          <w:p>
            <w:pPr>
              <w:pStyle w:val="Compact"/>
              <w:jc w:val="left"/>
            </w:pPr>
            <w:r>
              <w:rPr>
                <w:sz w:val="18"/>
              </w:rPr>
              <w:t xml:space="preserve">Cámara de Diputados y Senado de la Nación</w:t>
            </w:r>
          </w:p>
        </w:tc>
        <w:tc>
          <w:p>
            <w:pPr>
              <w:pStyle w:val="Compact"/>
              <w:jc w:val="left"/>
            </w:pPr>
            <w:r>
              <w:rPr>
                <w:bCs/>
                <w:b/>
                <w:sz w:val="18"/>
              </w:rPr>
              <w:t xml:space="preserve">OPERACIÓN ESTADÍSTICA</w:t>
            </w:r>
          </w:p>
        </w:tc>
        <w:tc>
          <w:p>
            <w:pPr>
              <w:pStyle w:val="Compact"/>
              <w:jc w:val="left"/>
            </w:pPr>
            <w:r>
              <w:rPr>
                <w:sz w:val="18"/>
              </w:rPr>
              <w:t xml:space="preserve">Votaciones nominales de ambas cámaras — bloque propio de La Libertad Avanza, actas divididas de los últimos 90 días</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directa de los portales públicos de votaciones nominales de Diputados y del Senado; sin carga manual del analista.</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15"/>
    <w:bookmarkStart w:id="116" w:name="definición-qué-mide-y-por-qué-importa-9"/>
    <w:p>
      <w:pPr>
        <w:pStyle w:val="Heading2"/>
        <w:keepNext/>
      </w:pPr>
      <w:r>
        <w:t xml:space="preserve">Definición — qué mide y por qué importa</w:t>
      </w:r>
    </w:p>
    <w:p>
      <w:pPr>
        <w:pStyle w:val="FirstParagraph"/>
      </w:pPr>
      <w:r>
        <w:t xml:space="preserve">Qué tan parejo vota puertas adentro el bloque propio de LLA en las votaciones divididas de los últimos 90 días de ambas cámaras. Pondera Diputados 65% y Senado 35%; si una cámara no tiene actas divididas en la ventana, el peso pasa a la otra.</w:t>
      </w:r>
    </w:p>
    <w:p>
      <w:pPr>
        <w:pStyle w:val="BodyText"/>
      </w:pPr>
      <w:r>
        <w:t xml:space="preserve">Mide la cohesión interna del oficialismo en el Congreso, clave para sostener vetos y aprobar leyes. La composición por cámara se publica en el detalle.</w:t>
      </w:r>
    </w:p>
    <w:p>
      <w:pPr>
        <w:pStyle w:val="BodyText"/>
      </w:pPr>
      <w:r>
        <w:rPr>
          <w:bCs/>
          <w:b/>
        </w:rPr>
        <w:t xml:space="preserve">Dimensión que integra — Cohesión interna del oficialismo.</w:t>
      </w:r>
      <w:r>
        <w:t xml:space="preserve"> </w:t>
      </w:r>
      <w:r>
        <w:t xml:space="preserve">Qué tan unido está el oficialismo puertas adentro: la disciplina de voto del bloque propio de La Libertad Avanza, medida en un único indicador bicameral (Diputados 65%, Senado 35%).</w:t>
      </w:r>
    </w:p>
    <w:bookmarkEnd w:id="116"/>
    <w:bookmarkStart w:id="117" w:name="método-de-cómputo-9"/>
    <w:p>
      <w:pPr>
        <w:pStyle w:val="Heading2"/>
        <w:keepNext/>
      </w:pPr>
      <w:r>
        <w:t xml:space="preserve">Método de cómputo</w:t>
      </w:r>
    </w:p>
    <w:p>
      <w:pPr>
        <w:numPr>
          <w:ilvl w:val="0"/>
          <w:numId w:val="1038"/>
        </w:numPr>
        <w:pStyle w:val="Compact"/>
      </w:pPr>
      <w:r>
        <w:t xml:space="preserve">Para cada acta con al menos un voto a favor o en contra del bloque propio de La Libertad Avanza (se excluyen deliberadamente los bloques aliados de nombre ambiguo, para no inflar la cohesión medida con votos que no son del oficialismo propiamente dicho), calcula qué tan pareja o dispareja fue esa votación puertas adentro: resta los votos a favor menos los votos en contra, toma el valor absoluto y lo divide por el total de votos que emitió el bloque en esa acta.</w:t>
      </w:r>
    </w:p>
    <w:p>
      <w:pPr>
        <w:numPr>
          <w:ilvl w:val="0"/>
          <w:numId w:val="1038"/>
        </w:numPr>
        <w:pStyle w:val="Compact"/>
      </w:pPr>
      <w:r>
        <w:t xml:space="preserve">Por cámara, el cálculo es el promedio de esa cuenta en las actas divididas de los últimos 90 días. Abstenciones y ausencias no entran.</w:t>
      </w:r>
    </w:p>
    <w:p>
      <w:pPr>
        <w:numPr>
          <w:ilvl w:val="0"/>
          <w:numId w:val="1038"/>
        </w:numPr>
        <w:pStyle w:val="Compact"/>
      </w:pPr>
      <w:r>
        <w:t xml:space="preserve">El indicador publicado es el compuesto bicameral: Diputados pesa 65% y el Senado 35% — el mismo reparto que las dos cámaras tenían cuando eran indicadores separados. Si una cámara no tiene dato (por ejemplo, receso sin actas divididas), el peso se reparte sobre la que sí lo tiene; la composición por cámara se publica en el detalle de la card.</w:t>
      </w:r>
    </w:p>
    <w:bookmarkEnd w:id="117"/>
    <w:bookmarkStart w:id="118" w:name="X7cebc61645757546f8524c030baae18d065141e"/>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 cohesión (índice de Rice bicameral: Diputados 65% + Senado 35%, promedio actas divididas últimos 90 días))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97,6</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96 – 97,6</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95,33 – 96</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95,33</w:t>
            </w:r>
          </w:p>
        </w:tc>
        <w:tc>
          <w:tcPr>
            <w:shd w:val="clear" w:color="auto" w:fill="FEE2E2"/>
          </w:tcPr>
          <w:p>
            <w:pPr>
              <w:pStyle w:val="Compact"/>
              <w:jc w:val="center"/>
            </w:pPr>
            <w:r>
              <w:rPr>
                <w:b/>
                <w:sz w:val="18"/>
                <w:color w:val="7F1D1D"/>
              </w:rPr>
              <w:t xml:space="preserve">ROJO</w:t>
            </w:r>
          </w:p>
        </w:tc>
      </w:tr>
    </w:tbl>
    <w:bookmarkEnd w:id="118"/>
    <w:bookmarkStart w:id="119" w:name="datos-concretos-detrás-del-valor-9"/>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9"/>
        </w:numPr>
        <w:pStyle w:val="Compact"/>
      </w:pPr>
      <w:r>
        <w:t xml:space="preserve">99,8% = Diputados 99,9% (peso 65%, 33 actas) · Senado 99,6% (peso 35%, 30 actas)</w:t>
      </w:r>
    </w:p>
    <w:bookmarkEnd w:id="119"/>
    <w:bookmarkStart w:id="120" w:name="color-vigente-y-por-qué-9"/>
    <w:p>
      <w:pPr>
        <w:pStyle w:val="Heading2"/>
        <w:keepNext/>
      </w:pPr>
      <w:r>
        <w:t xml:space="preserve">Color vigente y por qué</w:t>
      </w:r>
    </w:p>
    <w:p>
      <w:pPr>
        <w:pStyle w:val="FirstParagraph"/>
      </w:pPr>
      <w:r>
        <w:t xml:space="preserve">Dato vigente: 99,8 % cohesión (índice de Rice bicameral: Diputados 65% + Senado 35%, promedio actas divididas últimos 90 días) (2026-08).</w:t>
      </w:r>
    </w:p>
    <w:p>
      <w:pPr>
        <w:pStyle w:val="BodyText"/>
      </w:pPr>
      <w:r>
        <w:t xml:space="preserve">99,8 % cohesión (índice de Rice bicameral: Diputados 65% + Senado 35%, promedio actas divididas últimos 90 días) cae en el tramo que corresponde a Verde, a 2,2 del corte más cercano.</w:t>
      </w:r>
    </w:p>
    <w:p>
      <w:pPr>
        <w:pStyle w:val="BodyText"/>
      </w:pPr>
      <w:r>
        <w:rPr>
          <w:bCs/>
          <w:b/>
        </w:rPr>
        <w:t xml:space="preserve">Color vigente: VERDE</w:t>
      </w:r>
    </w:p>
    <w:p>
      <w:pPr>
        <w:pStyle w:val="BodyText"/>
      </w:pPr>
      <w:r>
        <w:t xml:space="preserve">Ponderación vigente en el ITCP: 15 % efectivo. El color es una lectura adicional — no reemplaza ni cambia esta ponderación.</w:t>
      </w:r>
    </w:p>
    <w:bookmarkEnd w:id="120"/>
    <w:bookmarkStart w:id="121" w:name="transparencia-limitaciones-declaradas-9"/>
    <w:p>
      <w:pPr>
        <w:pStyle w:val="Heading2"/>
        <w:keepNext/>
      </w:pPr>
      <w:r>
        <w:t xml:space="preserve">Transparencia — limitaciones declaradas</w:t>
      </w:r>
    </w:p>
    <w:p>
      <w:pPr>
        <w:numPr>
          <w:ilvl w:val="0"/>
          <w:numId w:val="1040"/>
        </w:numPr>
        <w:pStyle w:val="Compact"/>
      </w:pPr>
      <w:r>
        <w:t xml:space="preserve">Solo cuenta al bloque propio de LLA: deja afuera a los aliados de bloques separados, una decisión declarada para no inflar la cohesión medida con votos ajenos al oficialismo propiamente dicho.</w:t>
      </w:r>
    </w:p>
    <w:p>
      <w:pPr>
        <w:numPr>
          <w:ilvl w:val="0"/>
          <w:numId w:val="1040"/>
        </w:numPr>
        <w:pStyle w:val="Compact"/>
      </w:pPr>
      <w:r>
        <w:t xml:space="preserve">Las dos cámaras tienen sensibilidad distinta: el bloque de Diputados es grande (un disidente mueve poco el promedio) y el del Senado es chico (un solo voto disidente lo mueve con fuerza). El compuesto pondera esa asimetría (65/35) pero no la elimina — la composición por cámara se publica para poder leerla.</w:t>
      </w:r>
    </w:p>
    <w:p>
      <w:pPr>
        <w:numPr>
          <w:ilvl w:val="0"/>
          <w:numId w:val="1040"/>
        </w:numPr>
        <w:pStyle w:val="Compact"/>
      </w:pPr>
      <w:r>
        <w:t xml:space="preserve">No distingue ausencias de abstenciones: ambas quedan fuera del cálculo igual que si el legislador no hubiera votado.</w:t>
      </w:r>
    </w:p>
    <w:p>
      <w:pPr>
        <w:numPr>
          <w:ilvl w:val="0"/>
          <w:numId w:val="1040"/>
        </w:numPr>
        <w:pStyle w:val="Compact"/>
      </w:pPr>
      <w:r>
        <w:t xml:space="preserve">Depende de que los portales públicos mantengan su estructura actual: un cambio de diseño puede interrumpir la lectura automática hasta que se ajuste.</w:t>
      </w:r>
    </w:p>
    <w:p>
      <w:pPr>
        <w:numPr>
          <w:ilvl w:val="0"/>
          <w:numId w:val="1040"/>
        </w:numPr>
        <w:pStyle w:val="Compact"/>
      </w:pPr>
      <w:r>
        <w:t xml:space="preserve">Con pocas actas divididas en la ventana de 90 días, un solo voto conflictivo mueve el promedio con fuerza.</w:t>
      </w:r>
    </w:p>
    <w:bookmarkEnd w:id="121"/>
    <w:bookmarkStart w:id="122" w:name="X0ca14a0d10aa77334bfd7717b8d9d79e39debb4"/>
    <w:p>
      <w:pPr>
        <w:pStyle w:val="Heading2"/>
        <w:keepNext/>
      </w:pPr>
      <w:r>
        <w:t xml:space="preserve">Si falta el dato / Política de revisiones</w:t>
      </w:r>
    </w:p>
    <w:p>
      <w:pPr>
        <w:numPr>
          <w:ilvl w:val="0"/>
          <w:numId w:val="1041"/>
        </w:numPr>
      </w:pPr>
      <w:r>
        <w:rPr>
          <w:bCs/>
          <w:b/>
        </w:rPr>
        <w:t xml:space="preserve">Si falta el dato:</w:t>
      </w:r>
      <w:r>
        <w:t xml:space="preserve"> </w:t>
      </w:r>
      <w:r>
        <w:t xml:space="preserve">Si la lectura de uno de los portales falla, se conserva el último promedio calculado de esa cámara y el compuesto se arma igual; recién se marca desactualizado si ninguna cámara tuvo una actualización que llegara a su portal en más de 10 días — un receso legislativo sin actas nuevas no cuenta como desactualización.</w:t>
      </w:r>
    </w:p>
    <w:p>
      <w:pPr>
        <w:numPr>
          <w:ilvl w:val="0"/>
          <w:numId w:val="1041"/>
        </w:numPr>
      </w:pPr>
      <w:r>
        <w:rPr>
          <w:bCs/>
          <w:b/>
        </w:rPr>
        <w:t xml:space="preserve">Política de revisiones:</w:t>
      </w:r>
      <w:r>
        <w:t xml:space="preserve"> </w:t>
      </w:r>
      <w:r>
        <w:t xml:space="preserve">El promedio de los últimos 90 días se recalcula completo desde las fuentes en cada actualización; no se arrastran promedios previos.</w:t>
      </w:r>
    </w:p>
    <w:bookmarkEnd w:id="122"/>
    <w:bookmarkStart w:id="123" w:name="Xc4c5e47252ec9282a3f09a2ac20eb324c30e392"/>
    <w:p>
      <w:pPr>
        <w:pStyle w:val="Heading2"/>
        <w:keepNext/>
      </w:pPr>
      <w:r>
        <w:t xml:space="preserve">Historial — cambios metodológicos documentados</w:t>
      </w:r>
    </w:p>
    <w:p>
      <w:pPr>
        <w:pStyle w:val="FirstParagraph"/>
      </w:pPr>
      <w:r>
        <w:rPr>
          <w:bCs/>
          <w:b/>
        </w:rPr>
        <w:t xml:space="preserve">2026-05</w:t>
      </w:r>
      <w:r>
        <w:t xml:space="preserve"> </w:t>
      </w:r>
      <w:r>
        <w:t xml:space="preserve">— Incorporado al cinturón como estimación manual, a la espera de una fuente estructurada de votaciones vigente.</w:t>
      </w:r>
    </w:p>
    <w:p>
      <w:pPr>
        <w:pStyle w:val="BodyText"/>
      </w:pPr>
      <w:r>
        <w:rPr>
          <w:bCs/>
          <w:b/>
        </w:rPr>
        <w:t xml:space="preserve">2026-07-07</w:t>
      </w:r>
      <w:r>
        <w:t xml:space="preserve"> </w:t>
      </w:r>
      <w:r>
        <w:t xml:space="preserve">— Deja de ser una estimación manual: pasa a calcularse en forma automática desde las votaciones nominales de Diputados, con una definición observable — qué tan pareja o dispareja es la votación interna del bloque propio, acta por acta.</w:t>
      </w:r>
    </w:p>
    <w:p>
      <w:pPr>
        <w:pStyle w:val="BodyText"/>
      </w:pPr>
      <w:r>
        <w:rPr>
          <w:bCs/>
          <w:b/>
        </w:rPr>
        <w:t xml:space="preserve">2026-07-09</w:t>
      </w:r>
      <w:r>
        <w:t xml:space="preserve"> </w:t>
      </w:r>
      <w:r>
        <w:t xml:space="preserve">— Serie histórica mensual del gráfico y umbrales de puntaje recalibrados contra las series reconstruidas de cada cámara (29 a 31 meses reales).</w:t>
      </w:r>
    </w:p>
    <w:p>
      <w:pPr>
        <w:pStyle w:val="BodyText"/>
      </w:pPr>
      <w:r>
        <w:rPr>
          <w:bCs/>
          <w:b/>
        </w:rPr>
        <w:t xml:space="preserve">2026-07-10</w:t>
      </w:r>
      <w:r>
        <w:t xml:space="preserve"> </w:t>
      </w:r>
      <w:r>
        <w:t xml:space="preserve">— Revisión editorial del cinturón: las dos cámaras se fusionan en este único indicador bicameral (Diputados 65%, Senado 35% — el reparto que ya tenían como indicadores separados), con umbrales recalibrados contra la serie mensual del compuesto (99,9/99,0/97,0/95,0). La serie del gráfico pasa a ser la del compuesto.</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23"/>
    <w:bookmarkEnd w:id="124"/>
    <w:bookmarkStart w:id="134" w:name="bloqueo-legislativo-sostenido"/>
    <w:p>
      <w:pPr>
        <w:pStyle w:val="Heading1"/>
        <w:keepNext/>
      </w:pPr>
      <w:r>
        <w:t xml:space="preserve">Bloqueo legislativo sostenido</w:t>
      </w:r>
    </w:p>
    <w:p>
      <w:pPr>
        <w:pStyle w:val="FirstParagraph"/>
      </w:pPr>
      <w:r>
        <w:t xml:space="preserve">De las normas del Ejecutivo que el Congreso desafió en el recinto en los últimos 12 meses (vetos cuya insistencia se votó y decretos sometidos a la ley 26.122), qué porcentaje sigue en pie.</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33,3 % de normas desafiadas en el recinto que siguen en pie, últimos 12 meses</w:t>
            </w:r>
            <w:r>
              <w:rPr>
                <w:sz w:val="18"/>
              </w:rPr>
              <w:t xml:space="preserve"> </w:t>
            </w:r>
            <w:r>
              <w:rPr>
                <w:sz w:val="18"/>
              </w:rPr>
              <w:t xml:space="preserve">(2026-08)</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2,5 % del ITCP</w:t>
            </w:r>
          </w:p>
        </w:tc>
        <w:tc>
          <w:p>
            <w:pPr>
              <w:pStyle w:val="Compact"/>
              <w:jc w:val="left"/>
            </w:pPr>
            <w:r>
              <w:rPr>
                <w:sz w:val="18"/>
              </w:rPr>
              <w:t xml:space="preserve">Cinturón Política</w:t>
            </w:r>
          </w:p>
        </w:tc>
      </w:tr>
    </w:tbl>
    <w:bookmarkStart w:id="125" w:name="identificación-10"/>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bloqueo_sostenido</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legislativo</w:t>
            </w:r>
          </w:p>
        </w:tc>
        <w:tc>
          <w:p>
            <w:pPr>
              <w:pStyle w:val="Compact"/>
              <w:jc w:val="left"/>
            </w:pPr>
            <w:r>
              <w:rPr>
                <w:bCs/>
                <w:b/>
                <w:sz w:val="18"/>
              </w:rPr>
              <w:t xml:space="preserve">UNIDAD DE MEDIDA</w:t>
            </w:r>
          </w:p>
        </w:tc>
        <w:tc>
          <w:p>
            <w:pPr>
              <w:pStyle w:val="Compact"/>
              <w:jc w:val="left"/>
            </w:pPr>
            <w:r>
              <w:rPr>
                <w:sz w:val="18"/>
              </w:rPr>
              <w:t xml:space="preserve">% de normas desafiadas en el recinto que siguen en pie, últimos 12 meses</w:t>
            </w:r>
          </w:p>
        </w:tc>
      </w:tr>
      <w:tr>
        <w:trPr>
          <w:cantSplit/>
        </w:trPr>
        <w:tc>
          <w:p>
            <w:pPr>
              <w:pStyle w:val="Compact"/>
              <w:jc w:val="left"/>
            </w:pPr>
            <w:r>
              <w:rPr>
                <w:bCs/>
                <w:b/>
                <w:sz w:val="18"/>
              </w:rPr>
              <w:t xml:space="preserve">SERIE DISPONIBLE</w:t>
            </w:r>
          </w:p>
        </w:tc>
        <w:tc>
          <w:p>
            <w:pPr>
              <w:pStyle w:val="Compact"/>
              <w:jc w:val="left"/>
            </w:pPr>
            <w:r>
              <w:rPr>
                <w:sz w:val="18"/>
              </w:rPr>
              <w:t xml:space="preserve">2024-03 → 2026-08 (30 puntos)</w:t>
            </w:r>
          </w:p>
        </w:tc>
        <w:tc>
          <w:p>
            <w:pPr>
              <w:pStyle w:val="Compact"/>
              <w:jc w:val="left"/>
            </w:pPr>
            <w:r>
              <w:rPr>
                <w:bCs/>
                <w:b/>
                <w:sz w:val="18"/>
              </w:rPr>
              <w:t xml:space="preserve">REZAGO DE PUBLICACIÓN</w:t>
            </w:r>
          </w:p>
        </w:tc>
        <w:tc>
          <w:p>
            <w:pPr>
              <w:pStyle w:val="Compact"/>
              <w:jc w:val="left"/>
            </w:pPr>
            <w:r>
              <w:rPr>
                <w:sz w:val="18"/>
              </w:rPr>
              <w:t xml:space="preserve">Las cámaras publican sus actas de votación a los días de cada sesión; el clasificador incorpora las actas nuevas en la actualización nocturna siguiente. La caída de un veto se registra con la publicación de la ley insistida en el Boletín Oficial, dos a tres semanas después del voto de la segunda cámara.</w:t>
            </w:r>
          </w:p>
        </w:tc>
      </w:tr>
      <w:tr>
        <w:trPr>
          <w:cantSplit/>
        </w:trPr>
        <w:tc>
          <w:p>
            <w:pPr>
              <w:pStyle w:val="Compact"/>
              <w:jc w:val="left"/>
            </w:pPr>
            <w:r>
              <w:rPr>
                <w:bCs/>
                <w:b/>
                <w:sz w:val="18"/>
              </w:rPr>
              <w:t xml:space="preserve">PRODUCTOR DEL DATO</w:t>
            </w:r>
          </w:p>
        </w:tc>
        <w:tc>
          <w:p>
            <w:pPr>
              <w:pStyle w:val="Compact"/>
              <w:jc w:val="left"/>
            </w:pPr>
            <w:r>
              <w:rPr>
                <w:sz w:val="18"/>
              </w:rPr>
              <w:t xml:space="preserve">Cámara de Diputados + Senado de la Nación + InfoLeg (Ministerio de Justicia)</w:t>
            </w:r>
          </w:p>
        </w:tc>
        <w:tc>
          <w:p>
            <w:pPr>
              <w:pStyle w:val="Compact"/>
              <w:jc w:val="left"/>
            </w:pPr>
            <w:r>
              <w:rPr>
                <w:bCs/>
                <w:b/>
                <w:sz w:val="18"/>
              </w:rPr>
              <w:t xml:space="preserve">OPERACIÓN ESTADÍSTICA</w:t>
            </w:r>
          </w:p>
        </w:tc>
        <w:tc>
          <w:p>
            <w:pPr>
              <w:pStyle w:val="Compact"/>
              <w:jc w:val="left"/>
            </w:pPr>
            <w:r>
              <w:rPr>
                <w:sz w:val="18"/>
              </w:rPr>
              <w:t xml:space="preserve">Actas de votación nominal de ambas cámaras (insistencias de leyes vetadas y tratamientos de decretos bajo la ley 26.122) + base de legislación nacional (decretos de veto, leyes promulgadas por insistencia)</w:t>
            </w:r>
          </w:p>
        </w:tc>
      </w:tr>
      <w:tr>
        <w:trPr>
          <w:cantSplit/>
        </w:trPr>
        <w:tc>
          <w:p>
            <w:pPr>
              <w:pStyle w:val="Compact"/>
              <w:jc w:val="left"/>
            </w:pPr>
            <w:r>
              <w:rPr>
                <w:bCs/>
                <w:b/>
                <w:sz w:val="18"/>
              </w:rPr>
              <w:t xml:space="preserve">MODO DE ACCESO</w:t>
            </w:r>
          </w:p>
        </w:tc>
        <w:tc>
          <w:p>
            <w:pPr>
              <w:pStyle w:val="Compact"/>
              <w:jc w:val="left"/>
            </w:pPr>
            <w:r>
              <w:rPr>
                <w:sz w:val="18"/>
              </w:rPr>
              <w:t xml:space="preserve">Automático: se leen las actas de votación de ambas cámaras y se identifica, en cada una, si se trató la insistencia de un veto o el control de un decreto, y cómo salió la votación. Los casos ambiguos quedan en una cola de revisión manual; nunca se infiere el sentido de una votación. El registro de eventos se comparte con el indicador de derrotas legislativas.</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25"/>
    <w:bookmarkStart w:id="126" w:name="definición-qué-mide-y-por-qué-importa-10"/>
    <w:p>
      <w:pPr>
        <w:pStyle w:val="Heading2"/>
        <w:keepNext/>
      </w:pPr>
      <w:r>
        <w:t xml:space="preserve">Definición — qué mide y por qué importa</w:t>
      </w:r>
    </w:p>
    <w:p>
      <w:pPr>
        <w:pStyle w:val="FirstParagraph"/>
      </w:pPr>
      <w:r>
        <w:t xml:space="preserve">De las normas del Ejecutivo que el Congreso desafió en el recinto en los últimos 12 meses (vetos cuya insistencia se votó y decretos sometidos a la ley 26.122), qué porcentaje sigue en pie.</w:t>
      </w:r>
    </w:p>
    <w:p>
      <w:pPr>
        <w:pStyle w:val="BodyText"/>
      </w:pPr>
      <w:r>
        <w:t xml:space="preserve">Es la cara ganada del pulso legislativo que el conteo de derrotas no registra: un gobierno sin mayoría gobierna sosteniendo sus vetos con un tercio de una cámara. Una tasa alta indica bloqueo firme; una baja, un Congreso capaz de voltear sus normas. Al mirar 12 meses atrás, una crisis reciente pesa durante un año.</w:t>
      </w:r>
    </w:p>
    <w:p>
      <w:pPr>
        <w:pStyle w:val="BodyText"/>
      </w:pPr>
      <w:r>
        <w:rPr>
          <w:bCs/>
          <w:b/>
        </w:rPr>
        <w:t xml:space="preserve">Dimensión que integra — Poder legislativo.</w:t>
      </w:r>
      <w:r>
        <w:t xml:space="preserve"> </w:t>
      </w:r>
      <w:r>
        <w:t xml:space="preserve">La capacidad de gobernar por ley en el Congreso: cuánto legisla por decreto en vez de ley (ratio DNU), qué porción de la agenda del Ejecutivo se aprueba, cuántas sesiones de Diputados fracasan por falta de quórum, cuántas derrotas sufre el Ejecutivo en el recinto y qué porción de sus normas desafiadas logra sostener en pie.</w:t>
      </w:r>
    </w:p>
    <w:bookmarkEnd w:id="126"/>
    <w:bookmarkStart w:id="127" w:name="método-de-cómputo-10"/>
    <w:p>
      <w:pPr>
        <w:pStyle w:val="Heading2"/>
        <w:keepNext/>
      </w:pPr>
      <w:r>
        <w:t xml:space="preserve">Método de cómputo</w:t>
      </w:r>
    </w:p>
    <w:p>
      <w:pPr>
        <w:numPr>
          <w:ilvl w:val="0"/>
          <w:numId w:val="1042"/>
        </w:numPr>
        <w:pStyle w:val="Compact"/>
      </w:pPr>
      <w:r>
        <w:t xml:space="preserve">Una norma queda DESAFIADA desde su primera votación en el recinto, gane quien gane: la insistencia de una ley vetada (art. 83 de la Constitución) o el control de un decreto bajo la ley 26.122.</w:t>
      </w:r>
    </w:p>
    <w:p>
      <w:pPr>
        <w:numPr>
          <w:ilvl w:val="0"/>
          <w:numId w:val="1042"/>
        </w:numPr>
        <w:pStyle w:val="Compact"/>
      </w:pPr>
      <w:r>
        <w:t xml:space="preserve">Sigue EN PIE mientras la insistencia no se complete en ambas cámaras (el veto se sostiene con un tercio de una sola) y mientras el decreto no sea rechazado por las dos (el rechazo de una sola cámara no lo deroga, como al DNU 70/2023).</w:t>
      </w:r>
    </w:p>
    <w:p>
      <w:pPr>
        <w:numPr>
          <w:ilvl w:val="0"/>
          <w:numId w:val="1042"/>
        </w:numPr>
        <w:pStyle w:val="Compact"/>
      </w:pPr>
      <w:r>
        <w:t xml:space="preserve">El indicador es el porcentaje de normas desafiadas en los últimos 12 meses calendario que seguían en pie al cierre del mes: cada punto histórico evalúa el estado a esa fecha, así que una caída posterior no reescribe los meses ya publicados.</w:t>
      </w:r>
    </w:p>
    <w:p>
      <w:pPr>
        <w:numPr>
          <w:ilvl w:val="0"/>
          <w:numId w:val="1042"/>
        </w:numPr>
        <w:pStyle w:val="Compact"/>
      </w:pPr>
      <w:r>
        <w:t xml:space="preserve">Los vetos sin insistencia votada y los decretos que ninguna cámara trató no entran al denominador: sin desafío no hay prueba del bloqueo.</w:t>
      </w:r>
    </w:p>
    <w:bookmarkEnd w:id="127"/>
    <w:bookmarkStart w:id="128" w:name="Xfb29aba7f4cabebf712c4a7a435b3b78f3aa559"/>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 de normas desafiadas en el recinto que siguen en pie, últimos 12 meses)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62,5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42,5 – 62,5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30 – 42,5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30</w:t>
            </w:r>
          </w:p>
        </w:tc>
        <w:tc>
          <w:tcPr>
            <w:shd w:val="clear" w:color="auto" w:fill="FEE2E2"/>
          </w:tcPr>
          <w:p>
            <w:pPr>
              <w:pStyle w:val="Compact"/>
              <w:jc w:val="center"/>
            </w:pPr>
            <w:r>
              <w:rPr>
                <w:b/>
                <w:sz w:val="18"/>
                <w:color w:val="7F1D1D"/>
              </w:rPr>
              <w:t xml:space="preserve">ROJO</w:t>
            </w:r>
          </w:p>
        </w:tc>
      </w:tr>
    </w:tbl>
    <w:bookmarkEnd w:id="128"/>
    <w:bookmarkStart w:id="129" w:name="datos-concretos-detrás-del-valor-10"/>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3"/>
        </w:numPr>
        <w:pStyle w:val="Compact"/>
      </w:pPr>
      <w:r>
        <w:t xml:space="preserve">1 de 3 normas desafiadas en el recinto siguen en pie (vetos con insistencia votada + decretos votados bajo la ley 26.122, últimos 12 meses)</w:t>
      </w:r>
    </w:p>
    <w:bookmarkEnd w:id="129"/>
    <w:bookmarkStart w:id="130" w:name="color-vigente-y-por-qué-10"/>
    <w:p>
      <w:pPr>
        <w:pStyle w:val="Heading2"/>
        <w:keepNext/>
      </w:pPr>
      <w:r>
        <w:t xml:space="preserve">Color vigente y por qué</w:t>
      </w:r>
    </w:p>
    <w:p>
      <w:pPr>
        <w:pStyle w:val="FirstParagraph"/>
      </w:pPr>
      <w:r>
        <w:t xml:space="preserve">Dato vigente: 33,3 % de normas desafiadas en el recinto que siguen en pie, últimos 12 meses (2026-08).</w:t>
      </w:r>
    </w:p>
    <w:p>
      <w:pPr>
        <w:pStyle w:val="BodyText"/>
      </w:pPr>
      <w:r>
        <w:t xml:space="preserve">33,3 % de normas desafiadas en el recinto que siguen en pie, últimos 12 meses cae en el tramo que corresponde a Naranja, a 3,3 del corte más cercano.</w:t>
      </w:r>
    </w:p>
    <w:p>
      <w:pPr>
        <w:pStyle w:val="BodyText"/>
      </w:pPr>
      <w:r>
        <w:rPr>
          <w:bCs/>
          <w:b/>
        </w:rPr>
        <w:t xml:space="preserve">Color vigente: NARANJA</w:t>
      </w:r>
    </w:p>
    <w:p>
      <w:pPr>
        <w:pStyle w:val="BodyText"/>
      </w:pPr>
      <w:r>
        <w:t xml:space="preserve">Ponderación vigente en el ITCP: 2,5 % efectivo. El color es una lectura adicional — no reemplaza ni cambia esta ponderación.</w:t>
      </w:r>
    </w:p>
    <w:bookmarkEnd w:id="130"/>
    <w:bookmarkStart w:id="131" w:name="transparencia-limitaciones-declaradas-10"/>
    <w:p>
      <w:pPr>
        <w:pStyle w:val="Heading2"/>
        <w:keepNext/>
      </w:pPr>
      <w:r>
        <w:t xml:space="preserve">Transparencia — limitaciones declaradas</w:t>
      </w:r>
    </w:p>
    <w:p>
      <w:pPr>
        <w:numPr>
          <w:ilvl w:val="0"/>
          <w:numId w:val="1044"/>
        </w:numPr>
        <w:pStyle w:val="Compact"/>
      </w:pPr>
      <w:r>
        <w:t xml:space="preserve">La ventana de 12 meses retiene las caídas durante un año: la recuperación del bloqueo después de una crisis aparece con rezago mecánico, incluso si el Congreso nuevo dejó de desafiar normas (los desafíos viejos salen de la ventana doce meses después, no antes).</w:t>
      </w:r>
    </w:p>
    <w:p>
      <w:pPr>
        <w:numPr>
          <w:ilvl w:val="0"/>
          <w:numId w:val="1044"/>
        </w:numPr>
        <w:pStyle w:val="Compact"/>
      </w:pPr>
      <w:r>
        <w:t xml:space="preserve">Un período sin desafíos votados no genera dato (sin denominador no hay tasa): el indicador queda fuera ese mes y los pesos de su dimensión se renormalizan — ausencia de desafíos puede ser dominio de agenda o simple falta de confrontación, y el indicador no distingue entre ambas.</w:t>
      </w:r>
    </w:p>
    <w:p>
      <w:pPr>
        <w:numPr>
          <w:ilvl w:val="0"/>
          <w:numId w:val="1044"/>
        </w:numPr>
        <w:pStyle w:val="Compact"/>
      </w:pPr>
      <w:r>
        <w:t xml:space="preserve">Con pocos desafíos en ventana la tasa se mueve a saltos grandes (un desafío sobre cuatro son 25 puntos): es un indicador de eventos raros, como las derrotas legislativas.</w:t>
      </w:r>
    </w:p>
    <w:p>
      <w:pPr>
        <w:numPr>
          <w:ilvl w:val="0"/>
          <w:numId w:val="1044"/>
        </w:numPr>
        <w:pStyle w:val="Compact"/>
      </w:pPr>
      <w:r>
        <w:t xml:space="preserve">La moción estándar de la comisión bicameral sobre un decreto es su rechazo; el caso raro de un dictamen de aprobación (una vez en el período: el acuerdo con el FMI) se detecta por el texto del motivo y queda para clasificación manual — la dirección de una moción ambigua nunca se adivina.</w:t>
      </w:r>
    </w:p>
    <w:p>
      <w:pPr>
        <w:numPr>
          <w:ilvl w:val="0"/>
          <w:numId w:val="1044"/>
        </w:numPr>
        <w:pStyle w:val="Compact"/>
      </w:pPr>
      <w:r>
        <w:t xml:space="preserve">Las actas de Diputados se incorporan con la actualización nocturna: un acta publicada hoy se clasifica al día siguiente.</w:t>
      </w:r>
    </w:p>
    <w:bookmarkEnd w:id="131"/>
    <w:bookmarkStart w:id="132" w:name="Xf65b40f3e12a517bfafe6b61886253a31c0106d"/>
    <w:p>
      <w:pPr>
        <w:pStyle w:val="Heading2"/>
        <w:keepNext/>
      </w:pPr>
      <w:r>
        <w:t xml:space="preserve">Si falta el dato / Política de revisiones</w:t>
      </w:r>
    </w:p>
    <w:p>
      <w:pPr>
        <w:numPr>
          <w:ilvl w:val="0"/>
          <w:numId w:val="1045"/>
        </w:numPr>
      </w:pPr>
      <w:r>
        <w:rPr>
          <w:bCs/>
          <w:b/>
        </w:rPr>
        <w:t xml:space="preserve">Si falta el dato:</w:t>
      </w:r>
      <w:r>
        <w:t xml:space="preserve"> </w:t>
      </w:r>
      <w:r>
        <w:t xml:space="preserve">Si las actas o InfoLeg fallan, se mantiene el último valor disponible, señalado como desactualizado; el histórico ya clasificado se preserva, así que una caída de fuente solo retrasa la detección de votaciones nuevas.</w:t>
      </w:r>
    </w:p>
    <w:p>
      <w:pPr>
        <w:numPr>
          <w:ilvl w:val="0"/>
          <w:numId w:val="1045"/>
        </w:numPr>
      </w:pPr>
      <w:r>
        <w:rPr>
          <w:bCs/>
          <w:b/>
        </w:rPr>
        <w:t xml:space="preserve">Política de revisiones:</w:t>
      </w:r>
      <w:r>
        <w:t xml:space="preserve"> </w:t>
      </w:r>
      <w:r>
        <w:t xml:space="preserve">Las votaciones consumadas son inmutables. Los vetos con media insistencia pendiente se re-verifican en cada actualización (no caducan): si la segunda cámara completa la insistencia, la norma pasa a caída desde ese mes en adelante — los puntos históricos ya publicados no se reescriben, porque cada uno evalúa el estado al cierre de su propio mes.</w:t>
      </w:r>
    </w:p>
    <w:bookmarkEnd w:id="132"/>
    <w:bookmarkStart w:id="133" w:name="Xc507494f83e44c325b7cca217ae571956777eab"/>
    <w:p>
      <w:pPr>
        <w:pStyle w:val="Heading2"/>
        <w:keepNext/>
      </w:pPr>
      <w:r>
        <w:t xml:space="preserve">Historial — cambios metodológicos documentados</w:t>
      </w:r>
    </w:p>
    <w:p>
      <w:pPr>
        <w:pStyle w:val="FirstParagraph"/>
      </w:pPr>
      <w:r>
        <w:rPr>
          <w:bCs/>
          <w:b/>
        </w:rPr>
        <w:t xml:space="preserve">2026-07-16</w:t>
      </w:r>
      <w:r>
        <w:t xml:space="preserve"> </w:t>
      </w:r>
      <w:r>
        <w:t xml:space="preserve">— Incorporado como la cara ganada del pulso legislativo: los vetos sostenidos y la supervivencia de decretos no puntuaban en ningún indicador (el conteo de derrotas solo registra las normas caídas). Serie mensual desde marzo de 2024.</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33"/>
    <w:bookmarkEnd w:id="134"/>
    <w:bookmarkStart w:id="144" w:name="normas-desafiadas-en-el-recinto"/>
    <w:p>
      <w:pPr>
        <w:pStyle w:val="Heading1"/>
        <w:keepNext/>
      </w:pPr>
      <w:r>
        <w:t xml:space="preserve">Normas desafiadas en el recinto</w:t>
      </w:r>
    </w:p>
    <w:p>
      <w:pPr>
        <w:pStyle w:val="FirstParagraph"/>
      </w:pPr>
      <w:r>
        <w:t xml:space="preserve">Cuántas normas propias del Gobierno fueron puestas en discusión en el recinto durante los últimos doce meses: vetos presidenciales sobre los que el Congreso votó una insistencia, y decretos sometidos a votación bajo la ley 26.122.</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 normas del Ejecutivo desafiadas en el recinto, últimos 12 meses</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2,7 % del ITCP</w:t>
            </w:r>
          </w:p>
        </w:tc>
        <w:tc>
          <w:p>
            <w:pPr>
              <w:pStyle w:val="Compact"/>
              <w:jc w:val="left"/>
            </w:pPr>
            <w:r>
              <w:rPr>
                <w:sz w:val="18"/>
              </w:rPr>
              <w:t xml:space="preserve">Cinturón Política</w:t>
            </w:r>
          </w:p>
        </w:tc>
      </w:tr>
    </w:tbl>
    <w:bookmarkStart w:id="135" w:name="identificación-11"/>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desafios_legislativos</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legislativo</w:t>
            </w:r>
          </w:p>
        </w:tc>
        <w:tc>
          <w:p>
            <w:pPr>
              <w:pStyle w:val="Compact"/>
              <w:jc w:val="left"/>
            </w:pPr>
            <w:r>
              <w:rPr>
                <w:bCs/>
                <w:b/>
                <w:sz w:val="18"/>
              </w:rPr>
              <w:t xml:space="preserve">UNIDAD DE MEDIDA</w:t>
            </w:r>
          </w:p>
        </w:tc>
        <w:tc>
          <w:p>
            <w:pPr>
              <w:pStyle w:val="Compact"/>
              <w:jc w:val="left"/>
            </w:pPr>
            <w:r>
              <w:rPr>
                <w:sz w:val="18"/>
              </w:rPr>
              <w:t xml:space="preserve">normas del Ejecutivo desafiadas en el recinto, últimos 12 meses</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Las actas de votación se publican con algunos días de demora respecto de la sesión; InfoLeg carga los vetos al ritmo del Boletín Oficial.</w:t>
            </w:r>
          </w:p>
        </w:tc>
      </w:tr>
      <w:tr>
        <w:trPr>
          <w:cantSplit/>
        </w:trPr>
        <w:tc>
          <w:p>
            <w:pPr>
              <w:pStyle w:val="Compact"/>
              <w:jc w:val="left"/>
            </w:pPr>
            <w:r>
              <w:rPr>
                <w:bCs/>
                <w:b/>
                <w:sz w:val="18"/>
              </w:rPr>
              <w:t xml:space="preserve">PRODUCTOR DEL DATO</w:t>
            </w:r>
          </w:p>
        </w:tc>
        <w:tc>
          <w:p>
            <w:pPr>
              <w:pStyle w:val="Compact"/>
              <w:jc w:val="left"/>
            </w:pPr>
            <w:r>
              <w:rPr>
                <w:sz w:val="18"/>
              </w:rPr>
              <w:t xml:space="preserve">Cámara de Diputados · Senado de la Nación · InfoLeg</w:t>
            </w:r>
          </w:p>
        </w:tc>
        <w:tc>
          <w:p>
            <w:pPr>
              <w:pStyle w:val="Compact"/>
              <w:jc w:val="left"/>
            </w:pPr>
            <w:r>
              <w:rPr>
                <w:bCs/>
                <w:b/>
                <w:sz w:val="18"/>
              </w:rPr>
              <w:t xml:space="preserve">OPERACIÓN ESTADÍSTICA</w:t>
            </w:r>
          </w:p>
        </w:tc>
        <w:tc>
          <w:p>
            <w:pPr>
              <w:pStyle w:val="Compact"/>
              <w:jc w:val="left"/>
            </w:pPr>
            <w:r>
              <w:rPr>
                <w:sz w:val="18"/>
              </w:rPr>
              <w:t xml:space="preserve">Actas de votación nominal de ambas cámaras y base de legislación nacional — normas del Poder Ejecutivo sometidas a votación en el recinto</w:t>
            </w:r>
          </w:p>
        </w:tc>
      </w:tr>
      <w:tr>
        <w:trPr>
          <w:cantSplit/>
        </w:trPr>
        <w:tc>
          <w:p>
            <w:pPr>
              <w:pStyle w:val="Compact"/>
              <w:jc w:val="left"/>
            </w:pPr>
            <w:r>
              <w:rPr>
                <w:bCs/>
                <w:b/>
                <w:sz w:val="18"/>
              </w:rPr>
              <w:t xml:space="preserve">MODO DE ACCESO</w:t>
            </w:r>
          </w:p>
        </w:tc>
        <w:tc>
          <w:p>
            <w:pPr>
              <w:pStyle w:val="Compact"/>
              <w:jc w:val="left"/>
            </w:pPr>
            <w:r>
              <w:rPr>
                <w:sz w:val="18"/>
              </w:rPr>
              <w:t xml:space="preserve">Automático: clasifica las actas de votación de ambas cámaras y las cruza con los vetos registrados en InfoLeg. Elaboración propia sobre fuentes oficiales.</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35"/>
    <w:bookmarkStart w:id="136" w:name="definición-qué-mide-y-por-qué-importa-11"/>
    <w:p>
      <w:pPr>
        <w:pStyle w:val="Heading2"/>
        <w:keepNext/>
      </w:pPr>
      <w:r>
        <w:t xml:space="preserve">Definición — qué mide y por qué importa</w:t>
      </w:r>
    </w:p>
    <w:p>
      <w:pPr>
        <w:pStyle w:val="FirstParagraph"/>
      </w:pPr>
      <w:r>
        <w:t xml:space="preserve">Cuántas normas propias del Gobierno fueron puestas en discusión en el recinto durante los últimos doce meses: vetos presidenciales sobre los que el Congreso votó una insistencia, y decretos sometidos a votación bajo la ley 26.122.</w:t>
      </w:r>
    </w:p>
    <w:p>
      <w:pPr>
        <w:pStyle w:val="BodyText"/>
      </w:pPr>
      <w:r>
        <w:t xml:space="preserve">Mide con qué frecuencia el Congreso decide dar la pelea, sin importar cómo termine. Desafiar una norma del Ejecutivo es un acto excepcional —exige mayorías especiales o un procedimiento específico—, así que un puñado al año ya indica confrontación abierta. Junto con la proporción de normas que el Gobierno logra sostener, responde las dos preguntas del pulso legislativo: cuánto lo confrontan y cuánto aguanta.</w:t>
      </w:r>
    </w:p>
    <w:p>
      <w:pPr>
        <w:pStyle w:val="BodyText"/>
      </w:pPr>
      <w:r>
        <w:rPr>
          <w:bCs/>
          <w:b/>
        </w:rPr>
        <w:t xml:space="preserve">Dimensión que integra — Poder legislativo.</w:t>
      </w:r>
      <w:r>
        <w:t xml:space="preserve"> </w:t>
      </w:r>
      <w:r>
        <w:t xml:space="preserve">La capacidad de gobernar por ley en el Congreso: cuánto legisla por decreto en vez de ley (ratio DNU), qué porción de la agenda del Ejecutivo se aprueba, cuántas sesiones de Diputados fracasan por falta de quórum, cuántas derrotas sufre el Ejecutivo en el recinto y qué porción de sus normas desafiadas logra sostener en pie.</w:t>
      </w:r>
    </w:p>
    <w:bookmarkEnd w:id="136"/>
    <w:bookmarkStart w:id="137" w:name="método-de-cómputo-11"/>
    <w:p>
      <w:pPr>
        <w:pStyle w:val="Heading2"/>
        <w:keepNext/>
      </w:pPr>
      <w:r>
        <w:t xml:space="preserve">Método de cómputo</w:t>
      </w:r>
    </w:p>
    <w:p>
      <w:pPr>
        <w:numPr>
          <w:ilvl w:val="0"/>
          <w:numId w:val="1046"/>
        </w:numPr>
        <w:pStyle w:val="Compact"/>
      </w:pPr>
      <w:r>
        <w:t xml:space="preserve">Una norma cuenta como desafiada cuando el Congreso la somete a votación en el recinto: un veto presidencial sobre el que se vota una insistencia, o un decreto puesto a consideración bajo el procedimiento de la ley 26.122.</w:t>
      </w:r>
    </w:p>
    <w:p>
      <w:pPr>
        <w:numPr>
          <w:ilvl w:val="0"/>
          <w:numId w:val="1046"/>
        </w:numPr>
        <w:pStyle w:val="Compact"/>
      </w:pPr>
      <w:r>
        <w:t xml:space="preserve">Cada norma se cuenta una sola vez, en el mes de su primer desafío, aunque después vuelva al recinto.</w:t>
      </w:r>
    </w:p>
    <w:p>
      <w:pPr>
        <w:numPr>
          <w:ilvl w:val="0"/>
          <w:numId w:val="1046"/>
        </w:numPr>
        <w:pStyle w:val="Compact"/>
      </w:pPr>
      <w:r>
        <w:t xml:space="preserve">Se suman las de los últimos doce meses calendario. No importa el resultado: entran tanto las que el Gobierno terminó perdiendo como las que logró sostener.</w:t>
      </w:r>
    </w:p>
    <w:bookmarkEnd w:id="137"/>
    <w:bookmarkStart w:id="138" w:name="X4b7f9d42ad5d49ec575647c9c43b05a66f437ec"/>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(normas del Ejecutivo desafiadas en el recinto, últimos 12 meses)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7,7</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7,7 –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10,5 – 11,5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11,5</w:t>
            </w:r>
          </w:p>
        </w:tc>
        <w:tc>
          <w:tcPr>
            <w:shd w:val="clear" w:color="auto" w:fill="FEE2E2"/>
          </w:tcPr>
          <w:p>
            <w:pPr>
              <w:pStyle w:val="Compact"/>
              <w:jc w:val="center"/>
            </w:pPr>
            <w:r>
              <w:rPr>
                <w:b/>
                <w:sz w:val="18"/>
                <w:color w:val="7F1D1D"/>
              </w:rPr>
              <w:t xml:space="preserve">ROJO</w:t>
            </w:r>
          </w:p>
        </w:tc>
      </w:tr>
    </w:tbl>
    <w:bookmarkEnd w:id="138"/>
    <w:bookmarkStart w:id="139" w:name="datos-concretos-detrás-del-valor-1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7"/>
        </w:numPr>
        <w:pStyle w:val="Compact"/>
      </w:pPr>
      <w:r>
        <w:t xml:space="preserve">3 normas propias desafiadas en el recinto en los últimos 12 meses (2 cayeron, 1 siguen en pie)</w:t>
      </w:r>
    </w:p>
    <w:bookmarkEnd w:id="139"/>
    <w:bookmarkStart w:id="140" w:name="color-vigente-y-por-qué-11"/>
    <w:p>
      <w:pPr>
        <w:pStyle w:val="Heading2"/>
        <w:keepNext/>
      </w:pPr>
      <w:r>
        <w:t xml:space="preserve">Color vigente y por qué</w:t>
      </w:r>
    </w:p>
    <w:p>
      <w:pPr>
        <w:pStyle w:val="FirstParagraph"/>
      </w:pPr>
      <w:r>
        <w:t xml:space="preserve">Dato vigente: 3 normas del Ejecutivo desafiadas en el recinto, últimos 12 meses (2026-08).</w:t>
      </w:r>
    </w:p>
    <w:p>
      <w:pPr>
        <w:pStyle w:val="BodyText"/>
      </w:pPr>
      <w:r>
        <w:t xml:space="preserve">3,0 normas del Ejecutivo desafiadas en el recinto, últimos 12 meses cae en el tramo que corresponde a Verde, a 4,7 del corte más cercano.</w:t>
      </w:r>
    </w:p>
    <w:p>
      <w:pPr>
        <w:pStyle w:val="BodyText"/>
      </w:pPr>
      <w:r>
        <w:rPr>
          <w:bCs/>
          <w:b/>
        </w:rPr>
        <w:t xml:space="preserve">Color vigente: VERDE</w:t>
      </w:r>
    </w:p>
    <w:p>
      <w:pPr>
        <w:pStyle w:val="BodyText"/>
      </w:pPr>
      <w:r>
        <w:t xml:space="preserve">Ponderación vigente en el ITCP: 2,7 % efectivo. El color es una lectura adicional — no reemplaza ni cambia esta ponderación.</w:t>
      </w:r>
    </w:p>
    <w:bookmarkEnd w:id="140"/>
    <w:bookmarkStart w:id="141" w:name="transparencia-limitaciones-declaradas-11"/>
    <w:p>
      <w:pPr>
        <w:pStyle w:val="Heading2"/>
        <w:keepNext/>
      </w:pPr>
      <w:r>
        <w:t xml:space="preserve">Transparencia — limitaciones declaradas</w:t>
      </w:r>
    </w:p>
    <w:p>
      <w:pPr>
        <w:numPr>
          <w:ilvl w:val="0"/>
          <w:numId w:val="1048"/>
        </w:numPr>
        <w:pStyle w:val="Compact"/>
      </w:pPr>
      <w:r>
        <w:t xml:space="preserve">La ventana contiene pocos eventos —entre cuatro y trece en el período disponible—, así que un solo desafío que entra o sale mueve el indicador de manera perceptible.</w:t>
      </w:r>
    </w:p>
    <w:p>
      <w:pPr>
        <w:numPr>
          <w:ilvl w:val="0"/>
          <w:numId w:val="1048"/>
        </w:numPr>
        <w:pStyle w:val="Compact"/>
      </w:pPr>
      <w:r>
        <w:t xml:space="preserve">Cuenta el acto de desafiar, no su importancia: una norma central y una menor pesan igual.</w:t>
      </w:r>
    </w:p>
    <w:p>
      <w:pPr>
        <w:numPr>
          <w:ilvl w:val="0"/>
          <w:numId w:val="1048"/>
        </w:numPr>
        <w:pStyle w:val="Compact"/>
      </w:pPr>
      <w:r>
        <w:t xml:space="preserve">Sigue acoplado al bloqueo sostenido, con el que comparte el registro de eventos. Son las dos caras del mismo pulso —cuánto confronta el Congreso y cuánto resiste el Gobierno— y no deben leerse como dos confirmaciones independientes.</w:t>
      </w:r>
    </w:p>
    <w:bookmarkEnd w:id="141"/>
    <w:bookmarkStart w:id="142" w:name="X4ff462a9d09394c6f7304e0055101f0f4b71003"/>
    <w:p>
      <w:pPr>
        <w:pStyle w:val="Heading2"/>
        <w:keepNext/>
      </w:pPr>
      <w:r>
        <w:t xml:space="preserve">Si falta el dato / Política de revisiones</w:t>
      </w:r>
    </w:p>
    <w:p>
      <w:pPr>
        <w:numPr>
          <w:ilvl w:val="0"/>
          <w:numId w:val="1049"/>
        </w:numPr>
      </w:pPr>
      <w:r>
        <w:rPr>
          <w:bCs/>
          <w:b/>
        </w:rPr>
        <w:t xml:space="preserve">Si falta el dato:</w:t>
      </w:r>
      <w:r>
        <w:t xml:space="preserve"> </w:t>
      </w:r>
      <w:r>
        <w:t xml:space="preserve">Si el registro de eventos no está disponible, se mantiene el último valor, señalado como desactualizado. Un mes sin desafíos no es un dato faltante: es un cero, e indica que el Congreso no confrontó.</w:t>
      </w:r>
    </w:p>
    <w:p>
      <w:pPr>
        <w:numPr>
          <w:ilvl w:val="0"/>
          <w:numId w:val="1049"/>
        </w:numPr>
      </w:pPr>
      <w:r>
        <w:rPr>
          <w:bCs/>
          <w:b/>
        </w:rPr>
        <w:t xml:space="preserve">Política de revisiones:</w:t>
      </w:r>
      <w:r>
        <w:t xml:space="preserve"> </w:t>
      </w:r>
      <w:r>
        <w:t xml:space="preserve">El registro se reconstruye completo en cada actualización: si una fuente carga un acta con retraso, el conteo se corrige solo hacia atrás.</w:t>
      </w:r>
    </w:p>
    <w:bookmarkEnd w:id="142"/>
    <w:bookmarkStart w:id="143" w:name="X32af8005611dd896c50146a828f6519660aac81"/>
    <w:p>
      <w:pPr>
        <w:pStyle w:val="Heading2"/>
        <w:keepNext/>
      </w:pPr>
      <w:r>
        <w:t xml:space="preserve">Historial — cambios metodológicos documentados</w:t>
      </w:r>
    </w:p>
    <w:p>
      <w:pPr>
        <w:pStyle w:val="FirstParagraph"/>
      </w:pPr>
      <w:r>
        <w:rPr>
          <w:bCs/>
          <w:b/>
        </w:rPr>
        <w:t xml:space="preserve">2026-07-19</w:t>
      </w:r>
      <w:r>
        <w:t xml:space="preserve"> </w:t>
      </w:r>
      <w:r>
        <w:t xml:space="preserve">— Entra al índice en reemplazo de las derrotas legislativas, que medían casi exactamente lo mismo que el bloqueo sostenido: desde marzo de 2025 ambos indicadores arrojaban mes a mes el mismo número, y entre los dos se llevaban el 40% de la dimensión para responder una sola pregunta. Las derrotas se siguen relevando y quedan a la vista como dato dentro de la ficha del bloqueo.</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43"/>
    <w:bookmarkEnd w:id="144"/>
    <w:bookmarkStart w:id="154" w:name="producción-legislativa-del-congreso"/>
    <w:p>
      <w:pPr>
        <w:pStyle w:val="Heading1"/>
        <w:keepNext/>
      </w:pPr>
      <w:r>
        <w:t xml:space="preserve">Producción legislativa del Congreso</w:t>
      </w:r>
    </w:p>
    <w:p>
      <w:pPr>
        <w:pStyle w:val="FirstParagraph"/>
      </w:pPr>
      <w:r>
        <w:t xml:space="preserve">Cuántas leyes sancionó el Congreso en los últimos doce meses, sin distinguir de quién nació cada proyecto.</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25 leyes sancionadas (12m)</w:t>
            </w:r>
            <w:r>
              <w:rPr>
                <w:sz w:val="18"/>
              </w:rPr>
              <w:t xml:space="preserve"> </w:t>
            </w:r>
            <w:r>
              <w:rPr>
                <w:sz w:val="18"/>
              </w:rPr>
              <w:t xml:space="preserve">(2026-08)</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3,1 % del ITCP</w:t>
            </w:r>
          </w:p>
        </w:tc>
        <w:tc>
          <w:p>
            <w:pPr>
              <w:pStyle w:val="Compact"/>
              <w:jc w:val="left"/>
            </w:pPr>
            <w:r>
              <w:rPr>
                <w:sz w:val="18"/>
              </w:rPr>
              <w:t xml:space="preserve">Cinturón Política</w:t>
            </w:r>
          </w:p>
        </w:tc>
      </w:tr>
    </w:tbl>
    <w:bookmarkStart w:id="145" w:name="identificación-12"/>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produccion_legislativa</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legislativo</w:t>
            </w:r>
          </w:p>
        </w:tc>
        <w:tc>
          <w:p>
            <w:pPr>
              <w:pStyle w:val="Compact"/>
              <w:jc w:val="left"/>
            </w:pPr>
            <w:r>
              <w:rPr>
                <w:bCs/>
                <w:b/>
                <w:sz w:val="18"/>
              </w:rPr>
              <w:t xml:space="preserve">UNIDAD DE MEDIDA</w:t>
            </w:r>
          </w:p>
        </w:tc>
        <w:tc>
          <w:p>
            <w:pPr>
              <w:pStyle w:val="Compact"/>
              <w:jc w:val="left"/>
            </w:pPr>
            <w:r>
              <w:rPr>
                <w:sz w:val="18"/>
              </w:rPr>
              <w:t xml:space="preserve">leyes sancionadas (12m)</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El dataset se actualiza con la sanción de cada ley, de modo que el rezago es el de la carga en el portal de datos abiertos: en general unas semanas.</w:t>
            </w:r>
          </w:p>
        </w:tc>
      </w:tr>
      <w:tr>
        <w:trPr>
          <w:cantSplit/>
        </w:trPr>
        <w:tc>
          <w:p>
            <w:pPr>
              <w:pStyle w:val="Compact"/>
              <w:jc w:val="left"/>
            </w:pPr>
            <w:r>
              <w:rPr>
                <w:bCs/>
                <w:b/>
                <w:sz w:val="18"/>
              </w:rPr>
              <w:t xml:space="preserve">PRODUCTOR DEL DATO</w:t>
            </w:r>
          </w:p>
        </w:tc>
        <w:tc>
          <w:p>
            <w:pPr>
              <w:pStyle w:val="Compact"/>
              <w:jc w:val="left"/>
            </w:pPr>
            <w:r>
              <w:rPr>
                <w:sz w:val="18"/>
              </w:rPr>
              <w:t xml:space="preserve">Cámara de Diputados de la Nación</w:t>
            </w:r>
          </w:p>
        </w:tc>
        <w:tc>
          <w:p>
            <w:pPr>
              <w:pStyle w:val="Compact"/>
              <w:jc w:val="left"/>
            </w:pPr>
            <w:r>
              <w:rPr>
                <w:bCs/>
                <w:b/>
                <w:sz w:val="18"/>
              </w:rPr>
              <w:t xml:space="preserve">OPERACIÓN ESTADÍSTICA</w:t>
            </w:r>
          </w:p>
        </w:tc>
        <w:tc>
          <w:p>
            <w:pPr>
              <w:pStyle w:val="Compact"/>
              <w:jc w:val="left"/>
            </w:pPr>
            <w:r>
              <w:rPr>
                <w:sz w:val="18"/>
              </w:rPr>
              <w:t xml:space="preserve">Dataset de leyes sancionadas, con el expediente inicial y la fecha de sanción definitiva de cada una</w:t>
            </w:r>
          </w:p>
        </w:tc>
      </w:tr>
      <w:tr>
        <w:trPr>
          <w:cantSplit/>
        </w:trPr>
        <w:tc>
          <w:p>
            <w:pPr>
              <w:pStyle w:val="Compact"/>
              <w:jc w:val="left"/>
            </w:pPr>
            <w:r>
              <w:rPr>
                <w:bCs/>
                <w:b/>
                <w:sz w:val="18"/>
              </w:rPr>
              <w:t xml:space="preserve">MODO DE ACCESO</w:t>
            </w:r>
          </w:p>
        </w:tc>
        <w:tc>
          <w:p>
            <w:pPr>
              <w:pStyle w:val="Compact"/>
              <w:jc w:val="left"/>
            </w:pPr>
            <w:r>
              <w:rPr>
                <w:sz w:val="18"/>
              </w:rPr>
              <w:t xml:space="preserve">Automático: el mismo portal que el proyecto ya consulta para la eficacia parlamentaria.</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45"/>
    <w:bookmarkStart w:id="146" w:name="definición-qué-mide-y-por-qué-importa-12"/>
    <w:p>
      <w:pPr>
        <w:pStyle w:val="Heading2"/>
        <w:keepNext/>
      </w:pPr>
      <w:r>
        <w:t xml:space="preserve">Definición — qué mide y por qué importa</w:t>
      </w:r>
    </w:p>
    <w:p>
      <w:pPr>
        <w:pStyle w:val="FirstParagraph"/>
      </w:pPr>
      <w:r>
        <w:t xml:space="preserve">Cuántas leyes sancionó el Congreso en los últimos doce meses, sin distinguir de quién nació cada proyecto.</w:t>
      </w:r>
    </w:p>
    <w:p>
      <w:pPr>
        <w:pStyle w:val="BodyText"/>
      </w:pPr>
      <w:r>
        <w:t xml:space="preserve">Mide la actividad legislativa por su volumen, que es el número que efectivamente se mueve. La participación del Ejecutivo en esa producción es notablemente estable —entre cinco y diez leyes por ventana en todo el período—, de modo que cuando su porcentaje sube, lo que cambió no fue el Ejecutivo sino el Congreso, que sancionó menos. Medir el total evita leer una parálisis legislativa como un avance del Gobierno.</w:t>
      </w:r>
    </w:p>
    <w:p>
      <w:pPr>
        <w:pStyle w:val="BodyText"/>
      </w:pPr>
      <w:r>
        <w:rPr>
          <w:bCs/>
          <w:b/>
        </w:rPr>
        <w:t xml:space="preserve">Dimensión que integra — Poder legislativo.</w:t>
      </w:r>
      <w:r>
        <w:t xml:space="preserve"> </w:t>
      </w:r>
      <w:r>
        <w:t xml:space="preserve">La capacidad de gobernar por ley en el Congreso: cuánto legisla por decreto en vez de ley (ratio DNU), qué porción de la agenda del Ejecutivo se aprueba, cuántas sesiones de Diputados fracasan por falta de quórum, cuántas derrotas sufre el Ejecutivo en el recinto y qué porción de sus normas desafiadas logra sostener en pie.</w:t>
      </w:r>
    </w:p>
    <w:bookmarkEnd w:id="146"/>
    <w:bookmarkStart w:id="147" w:name="método-de-cómputo-12"/>
    <w:p>
      <w:pPr>
        <w:pStyle w:val="Heading2"/>
        <w:keepNext/>
      </w:pPr>
      <w:r>
        <w:t xml:space="preserve">Método de cómputo</w:t>
      </w:r>
    </w:p>
    <w:p>
      <w:pPr>
        <w:numPr>
          <w:ilvl w:val="0"/>
          <w:numId w:val="1050"/>
        </w:numPr>
        <w:pStyle w:val="Compact"/>
      </w:pPr>
      <w:r>
        <w:t xml:space="preserve">Se cuentan las leyes con sanción definitiva dentro de la ventana de doce meses que termina en el mes informado. La ventana es móvil y no calendaria, para que cada mes sea comparable con el anterior sin el salto de enero.</w:t>
      </w:r>
    </w:p>
    <w:p>
      <w:pPr>
        <w:numPr>
          <w:ilvl w:val="0"/>
          <w:numId w:val="1050"/>
        </w:numPr>
        <w:pStyle w:val="Compact"/>
      </w:pPr>
      <w:r>
        <w:t xml:space="preserve">No se distingue de dónde nació cada proyecto. La composición por origen se publica aparte, en el detalle de la card, porque es una lectura y no el puntaje.</w:t>
      </w:r>
    </w:p>
    <w:bookmarkEnd w:id="147"/>
    <w:bookmarkStart w:id="148" w:name="Xc4b49c3d9969b89bf56c0c7c0dc3d292940a05d"/>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(leyes sancionadas (12m))</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39,5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27,5 – 39,5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22,5 – 27,5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22,5</w:t>
            </w:r>
          </w:p>
        </w:tc>
        <w:tc>
          <w:tcPr>
            <w:shd w:val="clear" w:color="auto" w:fill="FEE2E2"/>
          </w:tcPr>
          <w:p>
            <w:pPr>
              <w:pStyle w:val="Compact"/>
              <w:jc w:val="center"/>
            </w:pPr>
            <w:r>
              <w:rPr>
                <w:b/>
                <w:sz w:val="18"/>
                <w:color w:val="7F1D1D"/>
              </w:rPr>
              <w:t xml:space="preserve">ROJO</w:t>
            </w:r>
          </w:p>
        </w:tc>
      </w:tr>
    </w:tbl>
    <w:bookmarkEnd w:id="148"/>
    <w:bookmarkStart w:id="149" w:name="datos-concretos-detrás-del-valor-1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1"/>
        </w:numPr>
        <w:pStyle w:val="Compact"/>
      </w:pPr>
      <w:r>
        <w:t xml:space="preserve">25 leyes sancionadas en los últimos 12 meses. El promedio histórico del dataset (2008-2025, cuatro presidencias) es de 74 leyes por año.</w:t>
      </w:r>
    </w:p>
    <w:bookmarkEnd w:id="149"/>
    <w:bookmarkStart w:id="150" w:name="color-vigente-y-por-qué-12"/>
    <w:p>
      <w:pPr>
        <w:pStyle w:val="Heading2"/>
        <w:keepNext/>
      </w:pPr>
      <w:r>
        <w:t xml:space="preserve">Color vigente y por qué</w:t>
      </w:r>
    </w:p>
    <w:p>
      <w:pPr>
        <w:pStyle w:val="FirstParagraph"/>
      </w:pPr>
      <w:r>
        <w:t xml:space="preserve">Dato vigente: 25 leyes sancionadas (12m) (2026-08).</w:t>
      </w:r>
    </w:p>
    <w:p>
      <w:pPr>
        <w:pStyle w:val="BodyText"/>
      </w:pPr>
      <w:r>
        <w:t xml:space="preserve">25 leyes sancionadas (12m) cae en el tramo que corresponde a Naranja, a 2,5 del corte más cercano.</w:t>
      </w:r>
    </w:p>
    <w:p>
      <w:pPr>
        <w:pStyle w:val="BodyText"/>
      </w:pPr>
      <w:r>
        <w:rPr>
          <w:bCs/>
          <w:b/>
        </w:rPr>
        <w:t xml:space="preserve">Color vigente: NARANJA</w:t>
      </w:r>
    </w:p>
    <w:p>
      <w:pPr>
        <w:pStyle w:val="BodyText"/>
      </w:pPr>
      <w:r>
        <w:t xml:space="preserve">Ponderación vigente en el ITCP: 3,1 % efectivo. El color es una lectura adicional — no reemplaza ni cambia esta ponderación.</w:t>
      </w:r>
    </w:p>
    <w:bookmarkEnd w:id="150"/>
    <w:bookmarkStart w:id="151" w:name="transparencia-limitaciones-declaradas-12"/>
    <w:p>
      <w:pPr>
        <w:pStyle w:val="Heading2"/>
        <w:keepNext/>
      </w:pPr>
      <w:r>
        <w:t xml:space="preserve">Transparencia — limitaciones declaradas</w:t>
      </w:r>
    </w:p>
    <w:p>
      <w:pPr>
        <w:numPr>
          <w:ilvl w:val="0"/>
          <w:numId w:val="1052"/>
        </w:numPr>
        <w:pStyle w:val="Compact"/>
      </w:pPr>
      <w:r>
        <w:t xml:space="preserve">Cuenta leyes, no su importancia. Una ley de presupuesto y una que declara una fecha conmemorativa pesan igual.</w:t>
      </w:r>
    </w:p>
    <w:p>
      <w:pPr>
        <w:numPr>
          <w:ilvl w:val="0"/>
          <w:numId w:val="1052"/>
        </w:numPr>
        <w:pStyle w:val="Compact"/>
      </w:pPr>
      <w:r>
        <w:t xml:space="preserve">El promedio histórico con el que se compara incluye años de mayorías muy distintas. No es un óptimo normativo: es la referencia disponible más ancha, de dieciocho años y cuatro presidencias.</w:t>
      </w:r>
    </w:p>
    <w:p>
      <w:pPr>
        <w:numPr>
          <w:ilvl w:val="0"/>
          <w:numId w:val="1052"/>
        </w:numPr>
        <w:pStyle w:val="Compact"/>
      </w:pPr>
      <w:r>
        <w:t xml:space="preserve">La ventana móvil de doce meses suaviza pero también demora: un cambio de ritmo tarda meses en verse completo.</w:t>
      </w:r>
    </w:p>
    <w:bookmarkEnd w:id="151"/>
    <w:bookmarkStart w:id="152" w:name="Xef80c7ba60ac922c16c234403633099d6fa1a96"/>
    <w:p>
      <w:pPr>
        <w:pStyle w:val="Heading2"/>
        <w:keepNext/>
      </w:pPr>
      <w:r>
        <w:t xml:space="preserve">Si falta el dato / Política de revisiones</w:t>
      </w:r>
    </w:p>
    <w:p>
      <w:pPr>
        <w:numPr>
          <w:ilvl w:val="0"/>
          <w:numId w:val="1053"/>
        </w:numPr>
      </w:pPr>
      <w:r>
        <w:rPr>
          <w:bCs/>
          <w:b/>
        </w:rPr>
        <w:t xml:space="preserve">Si falta el dato:</w:t>
      </w:r>
      <w:r>
        <w:t xml:space="preserve"> </w:t>
      </w:r>
      <w:r>
        <w:t xml:space="preserve">Si el portal no responde, se mantiene el último valor disponible, señalado como desactualizado.</w:t>
      </w:r>
    </w:p>
    <w:p>
      <w:pPr>
        <w:numPr>
          <w:ilvl w:val="0"/>
          <w:numId w:val="1053"/>
        </w:numPr>
      </w:pPr>
      <w:r>
        <w:rPr>
          <w:bCs/>
          <w:b/>
        </w:rPr>
        <w:t xml:space="preserve">Política de revisiones:</w:t>
      </w:r>
      <w:r>
        <w:t xml:space="preserve"> </w:t>
      </w:r>
      <w:r>
        <w:t xml:space="preserve">El dataset puede incorporar leyes con retraso, de modo que los últimos meses de la serie pueden ajustarse levemente hacia arriba.</w:t>
      </w:r>
    </w:p>
    <w:bookmarkEnd w:id="152"/>
    <w:bookmarkStart w:id="153" w:name="X95a58e26bcd11004daa5592872527917495b2ed"/>
    <w:p>
      <w:pPr>
        <w:pStyle w:val="Heading2"/>
        <w:keepNext/>
      </w:pPr>
      <w:r>
        <w:t xml:space="preserve">Historial — cambios metodológicos documentados</w:t>
      </w:r>
    </w:p>
    <w:p>
      <w:pPr>
        <w:pStyle w:val="FirstParagraph"/>
      </w:pPr>
      <w:r>
        <w:rPr>
          <w:bCs/>
          <w:b/>
        </w:rPr>
        <w:t xml:space="preserve">2026-07-31</w:t>
      </w:r>
      <w:r>
        <w:t xml:space="preserve"> </w:t>
      </w:r>
      <w:r>
        <w:t xml:space="preserve">— Entra al índice. Se decidió medir el total de leyes sancionadas y no la proporción de origen del Ejecutivo, porque esa proporción se mueve por el denominador: el numerador es estable entre cinco y diez leyes en todo el período.</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53"/>
    <w:bookmarkEnd w:id="154"/>
    <w:bookmarkStart w:id="164" w:name="judicialización-de-la-agenda"/>
    <w:p>
      <w:pPr>
        <w:pStyle w:val="Heading1"/>
        <w:keepNext/>
      </w:pPr>
      <w:r>
        <w:t xml:space="preserve">Judicialización de la agenda</w:t>
      </w:r>
    </w:p>
    <w:p>
      <w:pPr>
        <w:pStyle w:val="FirstParagraph"/>
      </w:pPr>
      <w:r>
        <w:t xml:space="preserve">Qué porcentaje de los fallos publicados en jurisdicción federal y nacional involucra una medida cautelar.</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1,75 % de sumarios con medida cautelar</w:t>
            </w:r>
            <w:r>
              <w:rPr>
                <w:sz w:val="18"/>
              </w:rPr>
              <w:t xml:space="preserve"> </w:t>
            </w:r>
            <w:r>
              <w:rPr>
                <w:sz w:val="18"/>
              </w:rPr>
              <w:t xml:space="preserve">(2026-01)</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3 % del ITCP</w:t>
            </w:r>
          </w:p>
        </w:tc>
        <w:tc>
          <w:p>
            <w:pPr>
              <w:pStyle w:val="Compact"/>
              <w:jc w:val="left"/>
            </w:pPr>
            <w:r>
              <w:rPr>
                <w:sz w:val="18"/>
              </w:rPr>
              <w:t xml:space="preserve">Cinturón Política</w:t>
            </w:r>
          </w:p>
        </w:tc>
      </w:tr>
    </w:tbl>
    <w:bookmarkStart w:id="155" w:name="identificación-13"/>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judicializacion</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judicial</w:t>
            </w:r>
          </w:p>
        </w:tc>
        <w:tc>
          <w:p>
            <w:pPr>
              <w:pStyle w:val="Compact"/>
              <w:jc w:val="left"/>
            </w:pPr>
            <w:r>
              <w:rPr>
                <w:bCs/>
                <w:b/>
                <w:sz w:val="18"/>
              </w:rPr>
              <w:t xml:space="preserve">UNIDAD DE MEDIDA</w:t>
            </w:r>
          </w:p>
        </w:tc>
        <w:tc>
          <w:p>
            <w:pPr>
              <w:pStyle w:val="Compact"/>
              <w:jc w:val="left"/>
            </w:pPr>
            <w:r>
              <w:rPr>
                <w:sz w:val="18"/>
              </w:rPr>
              <w:t xml:space="preserve">% de sumarios con medida cautelar</w:t>
            </w:r>
          </w:p>
        </w:tc>
      </w:tr>
      <w:tr>
        <w:trPr>
          <w:cantSplit/>
        </w:trPr>
        <w:tc>
          <w:p>
            <w:pPr>
              <w:pStyle w:val="Compact"/>
              <w:jc w:val="left"/>
            </w:pPr>
            <w:r>
              <w:rPr>
                <w:bCs/>
                <w:b/>
                <w:sz w:val="18"/>
              </w:rPr>
              <w:t xml:space="preserve">SERIE DISPONIBLE</w:t>
            </w:r>
          </w:p>
        </w:tc>
        <w:tc>
          <w:p>
            <w:pPr>
              <w:pStyle w:val="Compact"/>
              <w:jc w:val="left"/>
            </w:pPr>
            <w:r>
              <w:rPr>
                <w:sz w:val="18"/>
              </w:rPr>
              <w:t xml:space="preserve">2016-01 → 2026-01 (11 puntos)</w:t>
            </w:r>
          </w:p>
        </w:tc>
        <w:tc>
          <w:p>
            <w:pPr>
              <w:pStyle w:val="Compact"/>
              <w:jc w:val="left"/>
            </w:pPr>
            <w:r>
              <w:rPr>
                <w:bCs/>
                <w:b/>
                <w:sz w:val="18"/>
              </w:rPr>
              <w:t xml:space="preserve">REZAGO DE PUBLICACIÓN</w:t>
            </w:r>
          </w:p>
        </w:tc>
        <w:tc>
          <w:p>
            <w:pPr>
              <w:pStyle w:val="Compact"/>
              <w:jc w:val="left"/>
            </w:pPr>
            <w:r>
              <w:rPr>
                <w:sz w:val="18"/>
              </w:rPr>
              <w:t xml:space="preserve">La base indexa los fallos con demora variable y el punto es anual, de modo que el dato describe un año que ya cerró.</w:t>
            </w:r>
          </w:p>
        </w:tc>
      </w:tr>
      <w:tr>
        <w:trPr>
          <w:cantSplit/>
        </w:trPr>
        <w:tc>
          <w:p>
            <w:pPr>
              <w:pStyle w:val="Compact"/>
              <w:jc w:val="left"/>
            </w:pPr>
            <w:r>
              <w:rPr>
                <w:bCs/>
                <w:b/>
                <w:sz w:val="18"/>
              </w:rPr>
              <w:t xml:space="preserve">PRODUCTOR DEL DATO</w:t>
            </w:r>
          </w:p>
        </w:tc>
        <w:tc>
          <w:p>
            <w:pPr>
              <w:pStyle w:val="Compact"/>
              <w:jc w:val="left"/>
            </w:pPr>
            <w:r>
              <w:rPr>
                <w:sz w:val="18"/>
              </w:rPr>
              <w:t xml:space="preserve">Sistema Argentino de Información Jurídica (SAIJ)</w:t>
            </w:r>
          </w:p>
        </w:tc>
        <w:tc>
          <w:p>
            <w:pPr>
              <w:pStyle w:val="Compact"/>
              <w:jc w:val="left"/>
            </w:pPr>
            <w:r>
              <w:rPr>
                <w:bCs/>
                <w:b/>
                <w:sz w:val="18"/>
              </w:rPr>
              <w:t xml:space="preserve">OPERACIÓN ESTADÍSTICA</w:t>
            </w:r>
          </w:p>
        </w:tc>
        <w:tc>
          <w:p>
            <w:pPr>
              <w:pStyle w:val="Compact"/>
              <w:jc w:val="left"/>
            </w:pPr>
            <w:r>
              <w:rPr>
                <w:sz w:val="18"/>
              </w:rPr>
              <w:t xml:space="preserve">Buscador de jurisprudencia, restringido por jurisdicción</w:t>
            </w:r>
          </w:p>
        </w:tc>
      </w:tr>
      <w:tr>
        <w:trPr>
          <w:cantSplit/>
        </w:trPr>
        <w:tc>
          <w:p>
            <w:pPr>
              <w:pStyle w:val="Compact"/>
              <w:jc w:val="left"/>
            </w:pPr>
            <w:r>
              <w:rPr>
                <w:bCs/>
                <w:b/>
                <w:sz w:val="18"/>
              </w:rPr>
              <w:t xml:space="preserve">MODO DE ACCESO</w:t>
            </w:r>
          </w:p>
        </w:tc>
        <w:tc>
          <w:p>
            <w:pPr>
              <w:pStyle w:val="Compact"/>
              <w:jc w:val="left"/>
            </w:pPr>
            <w:r>
              <w:rPr>
                <w:sz w:val="18"/>
              </w:rPr>
              <w:t xml:space="preserve">Automático: la consulta y el modo de leer los totales quedaron verificados y documentados.</w:t>
            </w:r>
          </w:p>
        </w:tc>
        <w:tc>
          <w:p>
            <w:pPr>
              <w:pStyle w:val="Compact"/>
              <w:jc w:val="left"/>
            </w:pPr>
            <w:r>
              <w:rPr>
                <w:bCs/>
                <w:b/>
                <w:sz w:val="18"/>
              </w:rPr>
              <w:t xml:space="preserve">ÚLTIMA ACTUALIZACIÓN</w:t>
            </w:r>
          </w:p>
        </w:tc>
        <w:tc>
          <w:p>
            <w:pPr>
              <w:pStyle w:val="Compact"/>
              <w:jc w:val="left"/>
            </w:pPr>
            <w:r>
              <w:rPr>
                <w:sz w:val="18"/>
              </w:rPr>
              <w:t xml:space="preserve">Dato a 2026-01 · informe generado el 2026-08-09</w:t>
            </w:r>
          </w:p>
        </w:tc>
      </w:tr>
    </w:tbl>
    <w:bookmarkEnd w:id="155"/>
    <w:bookmarkStart w:id="156" w:name="definición-qué-mide-y-por-qué-importa-13"/>
    <w:p>
      <w:pPr>
        <w:pStyle w:val="Heading2"/>
        <w:keepNext/>
      </w:pPr>
      <w:r>
        <w:t xml:space="preserve">Definición — qué mide y por qué importa</w:t>
      </w:r>
    </w:p>
    <w:p>
      <w:pPr>
        <w:pStyle w:val="FirstParagraph"/>
      </w:pPr>
      <w:r>
        <w:t xml:space="preserve">Qué porcentaje de los fallos publicados en jurisdicción federal y nacional involucra una medida cautelar.</w:t>
      </w:r>
    </w:p>
    <w:p>
      <w:pPr>
        <w:pStyle w:val="BodyText"/>
      </w:pPr>
      <w:r>
        <w:t xml:space="preserve">Mide cuánto de la agenda se dirime en tribunales por la vía de la suspensión, que es el instrumento con el que una decisión del Ejecutivo se frena antes de discutirse en el fondo. Se publica como proporción y no como conteo porque el número de fallos publicados depende del volumen editorial de la base de jurisprudencia: el conteo crudo se quintuplica entre 2016 y 2021 sin que las cautelares se hayan quintuplicado.</w:t>
      </w:r>
    </w:p>
    <w:p>
      <w:pPr>
        <w:pStyle w:val="BodyText"/>
      </w:pPr>
      <w:r>
        <w:rPr>
          <w:bCs/>
          <w:b/>
        </w:rPr>
        <w:t xml:space="preserve">Dimensión que integra — Poder judicial.</w:t>
      </w:r>
      <w:r>
        <w:t xml:space="preserve"> </w:t>
      </w:r>
      <w:r>
        <w:t xml:space="preserve">La capacidad de integrar el Poder Judicial, medida por la proporción de cargos de juez que tienen juez designado. No es una decisión que el Gobierno tome solo: designar jueces requiere acuerdo del Senado, de modo que la cobertura de los tribunales es un termómetro de la negociación política. La dimensión mide por ahora la capacidad de nombrar, no el comportamiento de la Justicia.</w:t>
      </w:r>
    </w:p>
    <w:bookmarkEnd w:id="156"/>
    <w:bookmarkStart w:id="157" w:name="método-de-cómputo-13"/>
    <w:p>
      <w:pPr>
        <w:pStyle w:val="Heading2"/>
        <w:keepNext/>
      </w:pPr>
      <w:r>
        <w:t xml:space="preserve">Método de cómputo</w:t>
      </w:r>
    </w:p>
    <w:p>
      <w:pPr>
        <w:numPr>
          <w:ilvl w:val="0"/>
          <w:numId w:val="1054"/>
        </w:numPr>
        <w:pStyle w:val="Compact"/>
      </w:pPr>
      <w:r>
        <w:t xml:space="preserve">El numerador y el denominador se restringen ambos a jurisdicción federal y nacional. Sin ese filtro, los fallos provinciales contaminan el conteo.</w:t>
      </w:r>
    </w:p>
    <w:p>
      <w:pPr>
        <w:numPr>
          <w:ilvl w:val="0"/>
          <w:numId w:val="1054"/>
        </w:numPr>
        <w:pStyle w:val="Compact"/>
      </w:pPr>
      <w:r>
        <w:t xml:space="preserve">Se publica la proporción y no el conteo. El conteo crudo depende de cuánto publica la base cada año, que varía por razones editoriales y no jurídicas.</w:t>
      </w:r>
    </w:p>
    <w:bookmarkEnd w:id="157"/>
    <w:bookmarkStart w:id="158" w:name="Xaab4efafd10175937bfe344609501e53d799b16"/>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sumarios con medida cautelar)</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1,48</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1,48 – 1,8</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1,8 – 1,93</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1,93</w:t>
            </w:r>
          </w:p>
        </w:tc>
        <w:tc>
          <w:tcPr>
            <w:shd w:val="clear" w:color="auto" w:fill="FEE2E2"/>
          </w:tcPr>
          <w:p>
            <w:pPr>
              <w:pStyle w:val="Compact"/>
              <w:jc w:val="center"/>
            </w:pPr>
            <w:r>
              <w:rPr>
                <w:b/>
                <w:sz w:val="18"/>
                <w:color w:val="7F1D1D"/>
              </w:rPr>
              <w:t xml:space="preserve">ROJO</w:t>
            </w:r>
          </w:p>
        </w:tc>
      </w:tr>
    </w:tbl>
    <w:bookmarkEnd w:id="158"/>
    <w:bookmarkStart w:id="159" w:name="datos-concretos-detrás-del-valor-1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5"/>
        </w:numPr>
        <w:pStyle w:val="Compact"/>
      </w:pPr>
      <w:r>
        <w:t xml:space="preserve">104 de 5947 sumarios de jurisdicción federal y nacional publicados en 2026 mencionan una medida cautelar. Se publica la proporción y no el conteo porque el volumen que la base publica varía por razones editoriales.</w:t>
      </w:r>
    </w:p>
    <w:bookmarkEnd w:id="159"/>
    <w:bookmarkStart w:id="160" w:name="color-vigente-y-por-qué-13"/>
    <w:p>
      <w:pPr>
        <w:pStyle w:val="Heading2"/>
        <w:keepNext/>
      </w:pPr>
      <w:r>
        <w:t xml:space="preserve">Color vigente y por qué</w:t>
      </w:r>
    </w:p>
    <w:p>
      <w:pPr>
        <w:pStyle w:val="FirstParagraph"/>
      </w:pPr>
      <w:r>
        <w:t xml:space="preserve">Dato vigente: 1,75 % de sumarios con medida cautelar (2026-01).</w:t>
      </w:r>
    </w:p>
    <w:p>
      <w:pPr>
        <w:pStyle w:val="BodyText"/>
      </w:pPr>
      <w:r>
        <w:t xml:space="preserve">1,75 % de sumarios con medida cautelar cae en el tramo que corresponde a Amarillo, a 0,05 del corte más cercano.</w:t>
      </w:r>
    </w:p>
    <w:p>
      <w:pPr>
        <w:pStyle w:val="BodyText"/>
      </w:pPr>
      <w:r>
        <w:rPr>
          <w:bCs/>
          <w:b/>
        </w:rPr>
        <w:t xml:space="preserve">Color vigente: AMARILLO</w:t>
      </w:r>
    </w:p>
    <w:p>
      <w:pPr>
        <w:pStyle w:val="BodyText"/>
      </w:pPr>
      <w:r>
        <w:t xml:space="preserve">Ponderación vigente en el ITCP: 3 % efectivo. El color es una lectura adicional — no reemplaza ni cambia esta ponderación.</w:t>
      </w:r>
    </w:p>
    <w:bookmarkEnd w:id="160"/>
    <w:bookmarkStart w:id="161" w:name="transparencia-limitaciones-declaradas-13"/>
    <w:p>
      <w:pPr>
        <w:pStyle w:val="Heading2"/>
        <w:keepNext/>
      </w:pPr>
      <w:r>
        <w:t xml:space="preserve">Transparencia — limitaciones declaradas</w:t>
      </w:r>
    </w:p>
    <w:p>
      <w:pPr>
        <w:numPr>
          <w:ilvl w:val="0"/>
          <w:numId w:val="1056"/>
        </w:numPr>
        <w:pStyle w:val="Compact"/>
      </w:pPr>
      <w:r>
        <w:t xml:space="preserve">La proporción corrige el volumen de publicación de la base, pero no un eventual cambio en su mezcla: si la base empezara a publicar sistemáticamente más fallos de un fuero que de otro, el indicador lo leería como un cambio en la judicialización.</w:t>
      </w:r>
    </w:p>
    <w:p>
      <w:pPr>
        <w:numPr>
          <w:ilvl w:val="0"/>
          <w:numId w:val="1056"/>
        </w:numPr>
        <w:pStyle w:val="Compact"/>
      </w:pPr>
      <w:r>
        <w:t xml:space="preserve">Mide cautelares en general, no cautelares contra el Estado nacional. Distinguir el demandado exige leer cada fallo, y el buscador no permite filtrar por eso.</w:t>
      </w:r>
    </w:p>
    <w:p>
      <w:pPr>
        <w:numPr>
          <w:ilvl w:val="0"/>
          <w:numId w:val="1056"/>
        </w:numPr>
        <w:pStyle w:val="Compact"/>
      </w:pPr>
      <w:r>
        <w:t xml:space="preserve">Es anual. No sirve para leer el pulso de un mes.</w:t>
      </w:r>
    </w:p>
    <w:bookmarkEnd w:id="161"/>
    <w:bookmarkStart w:id="162" w:name="X71e32d4ef8852d7b89f89dfb87e3c31d8c54533"/>
    <w:p>
      <w:pPr>
        <w:pStyle w:val="Heading2"/>
        <w:keepNext/>
      </w:pPr>
      <w:r>
        <w:t xml:space="preserve">Si falta el dato / Política de revisiones</w:t>
      </w:r>
    </w:p>
    <w:p>
      <w:pPr>
        <w:numPr>
          <w:ilvl w:val="0"/>
          <w:numId w:val="1057"/>
        </w:numPr>
      </w:pPr>
      <w:r>
        <w:rPr>
          <w:bCs/>
          <w:b/>
        </w:rPr>
        <w:t xml:space="preserve">Si falta el dato:</w:t>
      </w:r>
      <w:r>
        <w:t xml:space="preserve"> </w:t>
      </w:r>
      <w:r>
        <w:t xml:space="preserve">Si la base no responde, se mantiene el último valor disponible, señalado como desactualizado.</w:t>
      </w:r>
    </w:p>
    <w:p>
      <w:pPr>
        <w:numPr>
          <w:ilvl w:val="0"/>
          <w:numId w:val="1057"/>
        </w:numPr>
      </w:pPr>
      <w:r>
        <w:rPr>
          <w:bCs/>
          <w:b/>
        </w:rPr>
        <w:t xml:space="preserve">Política de revisiones:</w:t>
      </w:r>
      <w:r>
        <w:t xml:space="preserve"> </w:t>
      </w:r>
      <w:r>
        <w:t xml:space="preserve">El punto del año en curso se recalcula en cada corrida, porque la base sigue indexando fallos de ese año. Al ser un cociente, el numerador y el denominador se recortan juntos y el punto sigue siendo comparable.</w:t>
      </w:r>
    </w:p>
    <w:bookmarkEnd w:id="162"/>
    <w:bookmarkStart w:id="163" w:name="Xe97eb45c46db1c6f0b7a9d3dad61e7d604d0a09"/>
    <w:p>
      <w:pPr>
        <w:pStyle w:val="Heading2"/>
        <w:keepNext/>
      </w:pPr>
      <w:r>
        <w:t xml:space="preserve">Historial — cambios metodológicos documentados</w:t>
      </w:r>
    </w:p>
    <w:p>
      <w:pPr>
        <w:pStyle w:val="FirstParagraph"/>
      </w:pPr>
      <w:r>
        <w:rPr>
          <w:bCs/>
          <w:b/>
        </w:rPr>
        <w:t xml:space="preserve">2026-07-31</w:t>
      </w:r>
      <w:r>
        <w:t xml:space="preserve"> </w:t>
      </w:r>
      <w:r>
        <w:t xml:space="preserve">— Entra al índice como uno de los tres indicadores de comportamiento del Poder Judicial.</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63"/>
    <w:bookmarkEnd w:id="164"/>
    <w:bookmarkStart w:id="174" w:name="velocidad-de-resolución-de-la-corte"/>
    <w:p>
      <w:pPr>
        <w:pStyle w:val="Heading1"/>
        <w:keepNext/>
      </w:pPr>
      <w:r>
        <w:t xml:space="preserve">Velocidad de resolución de la Corte</w:t>
      </w:r>
    </w:p>
    <w:p>
      <w:pPr>
        <w:pStyle w:val="FirstParagraph"/>
      </w:pPr>
      <w:r>
        <w:t xml:space="preserve">Cuántos expedientes resuelve la Corte Suprema en un año, en proporción a los que le ingresan.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45,4 % de expedientes resueltos sobre ingresados</w:t>
            </w:r>
            <w:r>
              <w:rPr>
                <w:sz w:val="18"/>
              </w:rPr>
              <w:t xml:space="preserve"> </w:t>
            </w:r>
            <w:r>
              <w:rPr>
                <w:sz w:val="18"/>
              </w:rPr>
              <w:t xml:space="preserve">(2025-12)</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3 % del ITCP</w:t>
            </w:r>
          </w:p>
        </w:tc>
        <w:tc>
          <w:p>
            <w:pPr>
              <w:pStyle w:val="Compact"/>
              <w:jc w:val="left"/>
            </w:pPr>
            <w:r>
              <w:rPr>
                <w:sz w:val="18"/>
              </w:rPr>
              <w:t xml:space="preserve">Cinturón Política</w:t>
            </w:r>
          </w:p>
        </w:tc>
      </w:tr>
    </w:tbl>
    <w:bookmarkStart w:id="165" w:name="identificación-14"/>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velocidad_resolucion</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judicial</w:t>
            </w:r>
          </w:p>
        </w:tc>
        <w:tc>
          <w:p>
            <w:pPr>
              <w:pStyle w:val="Compact"/>
              <w:jc w:val="left"/>
            </w:pPr>
            <w:r>
              <w:rPr>
                <w:bCs/>
                <w:b/>
                <w:sz w:val="18"/>
              </w:rPr>
              <w:t xml:space="preserve">UNIDAD DE MEDIDA</w:t>
            </w:r>
          </w:p>
        </w:tc>
        <w:tc>
          <w:p>
            <w:pPr>
              <w:pStyle w:val="Compact"/>
              <w:jc w:val="left"/>
            </w:pPr>
            <w:r>
              <w:rPr>
                <w:sz w:val="18"/>
              </w:rPr>
              <w:t xml:space="preserve">% de expedientes resueltos sobre ingresados</w:t>
            </w:r>
          </w:p>
        </w:tc>
      </w:tr>
      <w:tr>
        <w:trPr>
          <w:cantSplit/>
        </w:trPr>
        <w:tc>
          <w:p>
            <w:pPr>
              <w:pStyle w:val="Compact"/>
              <w:jc w:val="left"/>
            </w:pPr>
            <w:r>
              <w:rPr>
                <w:bCs/>
                <w:b/>
                <w:sz w:val="18"/>
              </w:rPr>
              <w:t xml:space="preserve">SERIE DISPONIBLE</w:t>
            </w:r>
          </w:p>
        </w:tc>
        <w:tc>
          <w:p>
            <w:pPr>
              <w:pStyle w:val="Compact"/>
              <w:jc w:val="left"/>
            </w:pPr>
            <w:r>
              <w:rPr>
                <w:sz w:val="18"/>
              </w:rPr>
              <w:t xml:space="preserve">2014-12 → 2025-12 (12 puntos)</w:t>
            </w:r>
          </w:p>
        </w:tc>
        <w:tc>
          <w:p>
            <w:pPr>
              <w:pStyle w:val="Compact"/>
              <w:jc w:val="left"/>
            </w:pPr>
            <w:r>
              <w:rPr>
                <w:bCs/>
                <w:b/>
                <w:sz w:val="18"/>
              </w:rPr>
              <w:t xml:space="preserve">REZAGO DE PUBLICACIÓN</w:t>
            </w:r>
          </w:p>
        </w:tc>
        <w:tc>
          <w:p>
            <w:pPr>
              <w:pStyle w:val="Compact"/>
              <w:jc w:val="left"/>
            </w:pPr>
            <w:r>
              <w:rPr>
                <w:sz w:val="18"/>
              </w:rPr>
              <w:t xml:space="preserve">El anuario se publica con el año cerrado, de modo que el dato describe el año anterior.</w:t>
            </w:r>
          </w:p>
        </w:tc>
      </w:tr>
      <w:tr>
        <w:trPr>
          <w:cantSplit/>
        </w:trPr>
        <w:tc>
          <w:p>
            <w:pPr>
              <w:pStyle w:val="Compact"/>
              <w:jc w:val="left"/>
            </w:pPr>
            <w:r>
              <w:rPr>
                <w:bCs/>
                <w:b/>
                <w:sz w:val="18"/>
              </w:rPr>
              <w:t xml:space="preserve">PRODUCTOR DEL DATO</w:t>
            </w:r>
          </w:p>
        </w:tc>
        <w:tc>
          <w:p>
            <w:pPr>
              <w:pStyle w:val="Compact"/>
              <w:jc w:val="left"/>
            </w:pPr>
            <w:r>
              <w:rPr>
                <w:sz w:val="18"/>
              </w:rPr>
              <w:t xml:space="preserve">Corte Suprema de Justicia de la Nación</w:t>
            </w:r>
          </w:p>
        </w:tc>
        <w:tc>
          <w:p>
            <w:pPr>
              <w:pStyle w:val="Compact"/>
              <w:jc w:val="left"/>
            </w:pPr>
            <w:r>
              <w:rPr>
                <w:bCs/>
                <w:b/>
                <w:sz w:val="18"/>
              </w:rPr>
              <w:t xml:space="preserve">OPERACIÓN ESTADÍSTICA</w:t>
            </w:r>
          </w:p>
        </w:tc>
        <w:tc>
          <w:p>
            <w:pPr>
              <w:pStyle w:val="Compact"/>
              <w:jc w:val="left"/>
            </w:pPr>
            <w:r>
              <w:rPr>
                <w:sz w:val="18"/>
              </w:rPr>
              <w:t xml:space="preserve">Anuario estadístico, sobre su sistema de gestión judicial</w:t>
            </w:r>
          </w:p>
        </w:tc>
      </w:tr>
      <w:tr>
        <w:trPr>
          <w:cantSplit/>
        </w:trPr>
        <w:tc>
          <w:p>
            <w:pPr>
              <w:pStyle w:val="Compact"/>
              <w:jc w:val="left"/>
            </w:pPr>
            <w:r>
              <w:rPr>
                <w:bCs/>
                <w:b/>
                <w:sz w:val="18"/>
              </w:rPr>
              <w:t xml:space="preserve">MODO DE ACCESO</w:t>
            </w:r>
          </w:p>
        </w:tc>
        <w:tc>
          <w:p>
            <w:pPr>
              <w:pStyle w:val="Compact"/>
              <w:jc w:val="left"/>
            </w:pPr>
            <w:r>
              <w:rPr>
                <w:sz w:val="18"/>
              </w:rPr>
              <w:t xml:space="preserve">Los tableros interactivos no admiten consulta automática, pero la Corte publica una versión estática de cada hoja con las etiquetas de datos visibles, y el anuario en documento.</w:t>
            </w:r>
          </w:p>
        </w:tc>
        <w:tc>
          <w:p>
            <w:pPr>
              <w:pStyle w:val="Compact"/>
              <w:jc w:val="left"/>
            </w:pPr>
            <w:r>
              <w:rPr>
                <w:bCs/>
                <w:b/>
                <w:sz w:val="18"/>
              </w:rPr>
              <w:t xml:space="preserve">ÚLTIMA ACTUALIZACIÓN</w:t>
            </w:r>
          </w:p>
        </w:tc>
        <w:tc>
          <w:p>
            <w:pPr>
              <w:pStyle w:val="Compact"/>
              <w:jc w:val="left"/>
            </w:pPr>
            <w:r>
              <w:rPr>
                <w:sz w:val="18"/>
              </w:rPr>
              <w:t xml:space="preserve">Dato a 2025-12 · informe generado el 2026-08-09</w:t>
            </w:r>
          </w:p>
        </w:tc>
      </w:tr>
    </w:tbl>
    <w:bookmarkEnd w:id="165"/>
    <w:bookmarkStart w:id="166" w:name="definición-qué-mide-y-por-qué-importa-14"/>
    <w:p>
      <w:pPr>
        <w:pStyle w:val="Heading2"/>
        <w:keepNext/>
      </w:pPr>
      <w:r>
        <w:t xml:space="preserve">Definición — qué mide y por qué importa</w:t>
      </w:r>
    </w:p>
    <w:p>
      <w:pPr>
        <w:pStyle w:val="FirstParagraph"/>
      </w:pPr>
      <w:r>
        <w:t xml:space="preserve">Cuántos expedientes resuelve la Corte Suprema en un año, en proporción a los que le ingresan.</w:t>
      </w:r>
    </w:p>
    <w:p>
      <w:pPr>
        <w:pStyle w:val="BodyText"/>
      </w:pPr>
      <w:r>
        <w:t xml:space="preserve">Distingue una Corte que se pone al día de una que acumula. Por encima de cien resuelve más de lo que recibe y descarga atraso; por debajo, el atraso crece. Importa para este cinturón porque una causa que tarda años en resolverse deja en pie, mientras tanto, lo que se discute.</w:t>
      </w:r>
    </w:p>
    <w:p>
      <w:pPr>
        <w:pStyle w:val="BodyText"/>
      </w:pPr>
      <w:r>
        <w:rPr>
          <w:bCs/>
          <w:b/>
        </w:rPr>
        <w:t xml:space="preserve">Dimensión que integra — Poder judicial.</w:t>
      </w:r>
      <w:r>
        <w:t xml:space="preserve"> </w:t>
      </w:r>
      <w:r>
        <w:t xml:space="preserve">La capacidad de integrar el Poder Judicial, medida por la proporción de cargos de juez que tienen juez designado. No es una decisión que el Gobierno tome solo: designar jueces requiere acuerdo del Senado, de modo que la cobertura de los tribunales es un termómetro de la negociación política. La dimensión mide por ahora la capacidad de nombrar, no el comportamiento de la Justicia.</w:t>
      </w:r>
    </w:p>
    <w:bookmarkEnd w:id="166"/>
    <w:bookmarkStart w:id="167" w:name="método-de-cómputo-14"/>
    <w:p>
      <w:pPr>
        <w:pStyle w:val="Heading2"/>
        <w:keepNext/>
      </w:pPr>
      <w:r>
        <w:t xml:space="preserve">Método de cómputo</w:t>
      </w:r>
    </w:p>
    <w:p>
      <w:pPr>
        <w:numPr>
          <w:ilvl w:val="0"/>
          <w:numId w:val="1058"/>
        </w:numPr>
        <w:pStyle w:val="Compact"/>
      </w:pPr>
      <w:r>
        <w:t xml:space="preserve">Se divide lo resuelto sobre lo ingresado en cada año. Cien por ciento es el punto donde la Corte resuelve exactamente lo que le entra.</w:t>
      </w:r>
    </w:p>
    <w:p>
      <w:pPr>
        <w:numPr>
          <w:ilvl w:val="0"/>
          <w:numId w:val="1058"/>
        </w:numPr>
        <w:pStyle w:val="Compact"/>
      </w:pPr>
      <w:r>
        <w:t xml:space="preserve">Los doce años de la serie se validaron aritméticamente: el saldo que la fuente informa por separado coincide de forma exacta con ingresos menos resueltos en todos los años, sin una sola discrepancia.</w:t>
      </w:r>
    </w:p>
    <w:bookmarkEnd w:id="167"/>
    <w:bookmarkStart w:id="168" w:name="X7b7170cc03c186200356a5b68fedf47ae23f2d7"/>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expedientes resueltos sobre ingresados)</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91</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91 – 115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115 – 125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125</w:t>
            </w:r>
          </w:p>
        </w:tc>
        <w:tc>
          <w:tcPr>
            <w:shd w:val="clear" w:color="auto" w:fill="FEE2E2"/>
          </w:tcPr>
          <w:p>
            <w:pPr>
              <w:pStyle w:val="Compact"/>
              <w:jc w:val="center"/>
            </w:pPr>
            <w:r>
              <w:rPr>
                <w:b/>
                <w:sz w:val="18"/>
                <w:color w:val="7F1D1D"/>
              </w:rPr>
              <w:t xml:space="preserve">ROJO</w:t>
            </w:r>
          </w:p>
        </w:tc>
      </w:tr>
    </w:tbl>
    <w:bookmarkEnd w:id="168"/>
    <w:bookmarkStart w:id="169" w:name="datos-concretos-detrás-del-valor-14"/>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9"/>
        </w:numPr>
        <w:pStyle w:val="Compact"/>
      </w:pPr>
      <w:r>
        <w:t xml:space="preserve">En 2025 la Corte resolvió 26.524 expedientes sobre 58.424 ingresados. Por encima de 100% descarga atraso; por debajo lo acumula.</w:t>
      </w:r>
    </w:p>
    <w:bookmarkEnd w:id="169"/>
    <w:bookmarkStart w:id="170" w:name="color-vigente-y-por-qué-14"/>
    <w:p>
      <w:pPr>
        <w:pStyle w:val="Heading2"/>
        <w:keepNext/>
      </w:pPr>
      <w:r>
        <w:t xml:space="preserve">Color vigente y por qué</w:t>
      </w:r>
    </w:p>
    <w:p>
      <w:pPr>
        <w:pStyle w:val="FirstParagraph"/>
      </w:pPr>
      <w:r>
        <w:t xml:space="preserve">Dato vigente: 45,4 % de expedientes resueltos sobre ingresados (2025-12).</w:t>
      </w:r>
    </w:p>
    <w:p>
      <w:pPr>
        <w:pStyle w:val="BodyText"/>
      </w:pPr>
      <w:r>
        <w:t xml:space="preserve">45,4 % de expedientes resueltos sobre ingresados cae en el tramo que corresponde a Verde, a 45,6 del corte más cercano.</w:t>
      </w:r>
    </w:p>
    <w:p>
      <w:pPr>
        <w:pStyle w:val="BodyText"/>
      </w:pPr>
      <w:r>
        <w:rPr>
          <w:bCs/>
          <w:b/>
        </w:rPr>
        <w:t xml:space="preserve">Color vigente: VERDE</w:t>
      </w:r>
    </w:p>
    <w:p>
      <w:pPr>
        <w:pStyle w:val="BodyText"/>
      </w:pPr>
      <w:r>
        <w:t xml:space="preserve">Ponderación vigente en el ITCP: 3 % efectivo. El color es una lectura adicional — no reemplaza ni cambia esta ponderación.</w:t>
      </w:r>
    </w:p>
    <w:bookmarkEnd w:id="170"/>
    <w:bookmarkStart w:id="171" w:name="transparencia-limitaciones-declaradas-14"/>
    <w:p>
      <w:pPr>
        <w:pStyle w:val="Heading2"/>
        <w:keepNext/>
      </w:pPr>
      <w:r>
        <w:t xml:space="preserve">Transparencia — limitaciones declaradas</w:t>
      </w:r>
    </w:p>
    <w:p>
      <w:pPr>
        <w:numPr>
          <w:ilvl w:val="0"/>
          <w:numId w:val="1060"/>
        </w:numPr>
        <w:pStyle w:val="Compact"/>
      </w:pPr>
      <w:r>
        <w:t xml:space="preserve">El signo de este indicador es deliberado y conviene decirlo: una Corte más lenta le da más puntaje al Gobierno. El cinturón mide capacidad de gobernar sin fricción, no salud institucional, y una causa que tarda años deja en pie mientras tanto lo que se discute.</w:t>
      </w:r>
    </w:p>
    <w:p>
      <w:pPr>
        <w:numPr>
          <w:ilvl w:val="0"/>
          <w:numId w:val="1060"/>
        </w:numPr>
        <w:pStyle w:val="Compact"/>
      </w:pPr>
      <w:r>
        <w:t xml:space="preserve">Cuenta expedientes, no su peso. Una causa que define una política y una queja de trámite cuentan igual.</w:t>
      </w:r>
    </w:p>
    <w:p>
      <w:pPr>
        <w:numPr>
          <w:ilvl w:val="0"/>
          <w:numId w:val="1060"/>
        </w:numPr>
        <w:pStyle w:val="Compact"/>
      </w:pPr>
      <w:r>
        <w:t xml:space="preserve">Los años por encima de cien por ciento son años de descarga de atraso acumulado, no de mayor productividad instantánea.</w:t>
      </w:r>
    </w:p>
    <w:p>
      <w:pPr>
        <w:numPr>
          <w:ilvl w:val="0"/>
          <w:numId w:val="1060"/>
        </w:numPr>
        <w:pStyle w:val="Compact"/>
      </w:pPr>
      <w:r>
        <w:t xml:space="preserve">Es anual. No sirve para leer el pulso de un mes.</w:t>
      </w:r>
    </w:p>
    <w:bookmarkEnd w:id="171"/>
    <w:bookmarkStart w:id="172" w:name="X02964bd421b6ce1686f5e02f1f98c7c34b51012"/>
    <w:p>
      <w:pPr>
        <w:pStyle w:val="Heading2"/>
        <w:keepNext/>
      </w:pPr>
      <w:r>
        <w:t xml:space="preserve">Si falta el dato / Política de revisiones</w:t>
      </w:r>
    </w:p>
    <w:p>
      <w:pPr>
        <w:numPr>
          <w:ilvl w:val="0"/>
          <w:numId w:val="1061"/>
        </w:numPr>
      </w:pPr>
      <w:r>
        <w:rPr>
          <w:bCs/>
          <w:b/>
        </w:rPr>
        <w:t xml:space="preserve">Si falta el dato:</w:t>
      </w:r>
      <w:r>
        <w:t xml:space="preserve"> </w:t>
      </w:r>
      <w:r>
        <w:t xml:space="preserve">Si el anuario no está disponible, se mantiene el último valor publicado, señalado como desactualizado.</w:t>
      </w:r>
    </w:p>
    <w:p>
      <w:pPr>
        <w:numPr>
          <w:ilvl w:val="0"/>
          <w:numId w:val="1061"/>
        </w:numPr>
      </w:pPr>
      <w:r>
        <w:rPr>
          <w:bCs/>
          <w:b/>
        </w:rPr>
        <w:t xml:space="preserve">Política de revisiones:</w:t>
      </w:r>
      <w:r>
        <w:t xml:space="preserve"> </w:t>
      </w:r>
      <w:r>
        <w:t xml:space="preserve">La fuente puede corregir cifras de años anteriores al publicar el anuario siguiente.</w:t>
      </w:r>
    </w:p>
    <w:bookmarkEnd w:id="172"/>
    <w:bookmarkStart w:id="173" w:name="Xfec2c1dec879a8614d6605057a6efcb2a0b1de1"/>
    <w:p>
      <w:pPr>
        <w:pStyle w:val="Heading2"/>
        <w:keepNext/>
      </w:pPr>
      <w:r>
        <w:t xml:space="preserve">Historial — cambios metodológicos documentados</w:t>
      </w:r>
    </w:p>
    <w:p>
      <w:pPr>
        <w:pStyle w:val="FirstParagraph"/>
      </w:pPr>
      <w:r>
        <w:rPr>
          <w:bCs/>
          <w:b/>
        </w:rPr>
        <w:t xml:space="preserve">2026-07-31</w:t>
      </w:r>
      <w:r>
        <w:t xml:space="preserve"> </w:t>
      </w:r>
      <w:r>
        <w:t xml:space="preserve">— Entra al índice. El veredicto anterior lo daba por imposible por falta de fecha de inicio de causa; la corrección encontró que el anuario publica ingresos y resueltos por año, que es lo que el indicador necesita.</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73"/>
    <w:bookmarkEnd w:id="174"/>
    <w:bookmarkStart w:id="184" w:name="actividad-de-las-comisiones-de-control"/>
    <w:p>
      <w:pPr>
        <w:pStyle w:val="Heading1"/>
        <w:keepNext/>
      </w:pPr>
      <w:r>
        <w:t xml:space="preserve">Actividad de las comisiones de control</w:t>
      </w:r>
    </w:p>
    <w:p>
      <w:pPr>
        <w:pStyle w:val="FirstParagraph"/>
      </w:pPr>
      <w:r>
        <w:t xml:space="preserve">Cuántas veces sesionaron en los últimos doce meses las dos comisiones del Consejo de la Magistratura que tramitan las denuncias contra jueces: Acusación y Disciplina.</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6 sesiones de las comisiones de control (12m)</w:t>
            </w:r>
            <w:r>
              <w:rPr>
                <w:sz w:val="18"/>
              </w:rPr>
              <w:t xml:space="preserve"> </w:t>
            </w:r>
            <w:r>
              <w:rPr>
                <w:sz w:val="18"/>
              </w:rPr>
              <w:t xml:space="preserve">(2026-08)</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3 % del ITCP</w:t>
            </w:r>
          </w:p>
        </w:tc>
        <w:tc>
          <w:p>
            <w:pPr>
              <w:pStyle w:val="Compact"/>
              <w:jc w:val="left"/>
            </w:pPr>
            <w:r>
              <w:rPr>
                <w:sz w:val="18"/>
              </w:rPr>
              <w:t xml:space="preserve">Cinturón Política</w:t>
            </w:r>
          </w:p>
        </w:tc>
      </w:tr>
    </w:tbl>
    <w:bookmarkStart w:id="175" w:name="identificación-15"/>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paralisis_denuncias</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judicial</w:t>
            </w:r>
          </w:p>
        </w:tc>
        <w:tc>
          <w:p>
            <w:pPr>
              <w:pStyle w:val="Compact"/>
              <w:jc w:val="left"/>
            </w:pPr>
            <w:r>
              <w:rPr>
                <w:bCs/>
                <w:b/>
                <w:sz w:val="18"/>
              </w:rPr>
              <w:t xml:space="preserve">UNIDAD DE MEDIDA</w:t>
            </w:r>
          </w:p>
        </w:tc>
        <w:tc>
          <w:p>
            <w:pPr>
              <w:pStyle w:val="Compact"/>
              <w:jc w:val="left"/>
            </w:pPr>
            <w:r>
              <w:rPr>
                <w:sz w:val="18"/>
              </w:rPr>
              <w:t xml:space="preserve">sesiones de las comisiones de control (12m)</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Depende de cuándo el Consejo publica la nota de cada sesión, en general dentro de las semanas siguientes.</w:t>
            </w:r>
          </w:p>
        </w:tc>
      </w:tr>
      <w:tr>
        <w:trPr>
          <w:cantSplit/>
        </w:trPr>
        <w:tc>
          <w:p>
            <w:pPr>
              <w:pStyle w:val="Compact"/>
              <w:jc w:val="left"/>
            </w:pPr>
            <w:r>
              <w:rPr>
                <w:bCs/>
                <w:b/>
                <w:sz w:val="18"/>
              </w:rPr>
              <w:t xml:space="preserve">PRODUCTOR DEL DATO</w:t>
            </w:r>
          </w:p>
        </w:tc>
        <w:tc>
          <w:p>
            <w:pPr>
              <w:pStyle w:val="Compact"/>
              <w:jc w:val="left"/>
            </w:pPr>
            <w:r>
              <w:rPr>
                <w:sz w:val="18"/>
              </w:rPr>
              <w:t xml:space="preserve">Consejo de la Magistratura de la Nación</w:t>
            </w:r>
          </w:p>
        </w:tc>
        <w:tc>
          <w:p>
            <w:pPr>
              <w:pStyle w:val="Compact"/>
              <w:jc w:val="left"/>
            </w:pPr>
            <w:r>
              <w:rPr>
                <w:bCs/>
                <w:b/>
                <w:sz w:val="18"/>
              </w:rPr>
              <w:t xml:space="preserve">OPERACIÓN ESTADÍSTICA</w:t>
            </w:r>
          </w:p>
        </w:tc>
        <w:tc>
          <w:p>
            <w:pPr>
              <w:pStyle w:val="Compact"/>
              <w:jc w:val="left"/>
            </w:pPr>
            <w:r>
              <w:rPr>
                <w:sz w:val="18"/>
              </w:rPr>
              <w:t xml:space="preserve">Archivo de notas de prensa de las comisiones de Acusación y de Disciplina</w:t>
            </w:r>
          </w:p>
        </w:tc>
      </w:tr>
      <w:tr>
        <w:trPr>
          <w:cantSplit/>
        </w:trPr>
        <w:tc>
          <w:p>
            <w:pPr>
              <w:pStyle w:val="Compact"/>
              <w:jc w:val="left"/>
            </w:pPr>
            <w:r>
              <w:rPr>
                <w:bCs/>
                <w:b/>
                <w:sz w:val="18"/>
              </w:rPr>
              <w:t xml:space="preserve">MODO DE ACCESO</w:t>
            </w:r>
          </w:p>
        </w:tc>
        <w:tc>
          <w:p>
            <w:pPr>
              <w:pStyle w:val="Compact"/>
              <w:jc w:val="left"/>
            </w:pPr>
            <w:r>
              <w:rPr>
                <w:sz w:val="18"/>
              </w:rPr>
              <w:t xml:space="preserve">Automático sobre el archivo público de notas.</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75"/>
    <w:bookmarkStart w:id="176" w:name="definición-qué-mide-y-por-qué-importa-15"/>
    <w:p>
      <w:pPr>
        <w:pStyle w:val="Heading2"/>
        <w:keepNext/>
      </w:pPr>
      <w:r>
        <w:t xml:space="preserve">Definición — qué mide y por qué importa</w:t>
      </w:r>
    </w:p>
    <w:p>
      <w:pPr>
        <w:pStyle w:val="FirstParagraph"/>
      </w:pPr>
      <w:r>
        <w:t xml:space="preserve">Cuántas veces sesionaron en los últimos doce meses las dos comisiones del Consejo de la Magistratura que tramitan las denuncias contra jueces: Acusación y Disciplina.</w:t>
      </w:r>
    </w:p>
    <w:p>
      <w:pPr>
        <w:pStyle w:val="BodyText"/>
      </w:pPr>
      <w:r>
        <w:t xml:space="preserve">Mide si el mecanismo de control disciplinario de los jueces está funcionando o está detenido. Se cuentan las sesiones de ambas comisiones y no las de una sola porque el conjunto da una serie estable y comparable mes a mes, mientras que cada comisión por separado sesiona pocas veces al año.</w:t>
      </w:r>
    </w:p>
    <w:p>
      <w:pPr>
        <w:pStyle w:val="BodyText"/>
      </w:pPr>
      <w:r>
        <w:rPr>
          <w:bCs/>
          <w:b/>
        </w:rPr>
        <w:t xml:space="preserve">Dimensión que integra — Poder judicial.</w:t>
      </w:r>
      <w:r>
        <w:t xml:space="preserve"> </w:t>
      </w:r>
      <w:r>
        <w:t xml:space="preserve">La capacidad de integrar el Poder Judicial, medida por la proporción de cargos de juez que tienen juez designado. No es una decisión que el Gobierno tome solo: designar jueces requiere acuerdo del Senado, de modo que la cobertura de los tribunales es un termómetro de la negociación política. La dimensión mide por ahora la capacidad de nombrar, no el comportamiento de la Justicia.</w:t>
      </w:r>
    </w:p>
    <w:bookmarkEnd w:id="176"/>
    <w:bookmarkStart w:id="177" w:name="método-de-cómputo-15"/>
    <w:p>
      <w:pPr>
        <w:pStyle w:val="Heading2"/>
        <w:keepNext/>
      </w:pPr>
      <w:r>
        <w:t xml:space="preserve">Método de cómputo</w:t>
      </w:r>
    </w:p>
    <w:p>
      <w:pPr>
        <w:numPr>
          <w:ilvl w:val="0"/>
          <w:numId w:val="1062"/>
        </w:numPr>
        <w:pStyle w:val="Compact"/>
      </w:pPr>
      <w:r>
        <w:t xml:space="preserve">Se cuentan las sesiones numeradas de ambas comisiones en la ventana móvil de doce meses. Las notas sin número —sesiones conjuntas, extraordinarias y audiencias testimoniales— se relevan aparte y no entran en el conteo.</w:t>
      </w:r>
    </w:p>
    <w:p>
      <w:pPr>
        <w:numPr>
          <w:ilvl w:val="0"/>
          <w:numId w:val="1062"/>
        </w:numPr>
        <w:pStyle w:val="Compact"/>
      </w:pPr>
      <w:r>
        <w:t xml:space="preserve">Se suman las dos comisiones. Cada una por separado sesiona pocas veces al año, y una serie construida sobre una sola quedaría dominada por el ruido de un evento aislado.</w:t>
      </w:r>
    </w:p>
    <w:bookmarkEnd w:id="177"/>
    <w:bookmarkStart w:id="178" w:name="X8797a617a46fa23875915c569ac62b6d653dda8"/>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(sesiones de las comisiones de control (12m))</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5,5</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5,5 – 7,5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7,5 – 8,5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8,5</w:t>
            </w:r>
          </w:p>
        </w:tc>
        <w:tc>
          <w:tcPr>
            <w:shd w:val="clear" w:color="auto" w:fill="FEE2E2"/>
          </w:tcPr>
          <w:p>
            <w:pPr>
              <w:pStyle w:val="Compact"/>
              <w:jc w:val="center"/>
            </w:pPr>
            <w:r>
              <w:rPr>
                <w:b/>
                <w:sz w:val="18"/>
                <w:color w:val="7F1D1D"/>
              </w:rPr>
              <w:t xml:space="preserve">ROJO</w:t>
            </w:r>
          </w:p>
        </w:tc>
      </w:tr>
    </w:tbl>
    <w:bookmarkEnd w:id="178"/>
    <w:bookmarkStart w:id="179" w:name="datos-concretos-detrás-del-valor-15"/>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63"/>
        </w:numPr>
        <w:pStyle w:val="Compact"/>
      </w:pPr>
      <w:r>
        <w:t xml:space="preserve">6 sesiones ordinarias de las comisiones de Acusación y Disciplina en los últimos 12 meses (rango de la serie: 2 a 7, promedio 5.0).</w:t>
      </w:r>
    </w:p>
    <w:bookmarkEnd w:id="179"/>
    <w:bookmarkStart w:id="180" w:name="color-vigente-y-por-qué-15"/>
    <w:p>
      <w:pPr>
        <w:pStyle w:val="Heading2"/>
        <w:keepNext/>
      </w:pPr>
      <w:r>
        <w:t xml:space="preserve">Color vigente y por qué</w:t>
      </w:r>
    </w:p>
    <w:p>
      <w:pPr>
        <w:pStyle w:val="FirstParagraph"/>
      </w:pPr>
      <w:r>
        <w:t xml:space="preserve">Dato vigente: 6 sesiones de las comisiones de control (12m) (2026-08).</w:t>
      </w:r>
    </w:p>
    <w:p>
      <w:pPr>
        <w:pStyle w:val="BodyText"/>
      </w:pPr>
      <w:r>
        <w:t xml:space="preserve">6 sesiones de las comisiones de control (12m) cae en el tramo que corresponde a Amarillo, a 0,5 del corte más cercano.</w:t>
      </w:r>
    </w:p>
    <w:p>
      <w:pPr>
        <w:pStyle w:val="BodyText"/>
      </w:pPr>
      <w:r>
        <w:rPr>
          <w:bCs/>
          <w:b/>
        </w:rPr>
        <w:t xml:space="preserve">Color vigente: AMARILLO</w:t>
      </w:r>
    </w:p>
    <w:p>
      <w:pPr>
        <w:pStyle w:val="BodyText"/>
      </w:pPr>
      <w:r>
        <w:t xml:space="preserve">Ponderación vigente en el ITCP: 3 % efectivo. El color es una lectura adicional — no reemplaza ni cambia esta ponderación.</w:t>
      </w:r>
    </w:p>
    <w:bookmarkEnd w:id="180"/>
    <w:bookmarkStart w:id="181" w:name="transparencia-limitaciones-declaradas-15"/>
    <w:p>
      <w:pPr>
        <w:pStyle w:val="Heading2"/>
        <w:keepNext/>
      </w:pPr>
      <w:r>
        <w:t xml:space="preserve">Transparencia — limitaciones declaradas</w:t>
      </w:r>
    </w:p>
    <w:p>
      <w:pPr>
        <w:numPr>
          <w:ilvl w:val="0"/>
          <w:numId w:val="1064"/>
        </w:numPr>
        <w:pStyle w:val="Compact"/>
      </w:pPr>
      <w:r>
        <w:t xml:space="preserve">Cuenta que la comisión se reúna, no que resuelva. Las decisiones concretas contra un magistrado son un fenómeno distinto y mucho más raro —cuatro en veinte meses— y no entran en este conteo.</w:t>
      </w:r>
    </w:p>
    <w:p>
      <w:pPr>
        <w:numPr>
          <w:ilvl w:val="0"/>
          <w:numId w:val="1064"/>
        </w:numPr>
        <w:pStyle w:val="Compact"/>
      </w:pPr>
      <w:r>
        <w:t xml:space="preserve">Las dos comisiones se comportan distinto: una sesiona con más frecuencia y produce acciones, la otra sesiona menos y no publicó ninguna. El indicador las suma, de modo que no distingue cuál de las dos se movió.</w:t>
      </w:r>
    </w:p>
    <w:p>
      <w:pPr>
        <w:numPr>
          <w:ilvl w:val="0"/>
          <w:numId w:val="1064"/>
        </w:numPr>
        <w:pStyle w:val="Compact"/>
      </w:pPr>
      <w:r>
        <w:t xml:space="preserve">Depende de que el Consejo publique la nota de cada sesión. Una sesión sin nota es invisible para el indicador.</w:t>
      </w:r>
    </w:p>
    <w:bookmarkEnd w:id="181"/>
    <w:bookmarkStart w:id="182" w:name="X0c45de6897a5612009ee621684988b95b96a817"/>
    <w:p>
      <w:pPr>
        <w:pStyle w:val="Heading2"/>
        <w:keepNext/>
      </w:pPr>
      <w:r>
        <w:t xml:space="preserve">Si falta el dato / Política de revisiones</w:t>
      </w:r>
    </w:p>
    <w:p>
      <w:pPr>
        <w:numPr>
          <w:ilvl w:val="0"/>
          <w:numId w:val="1065"/>
        </w:numPr>
      </w:pPr>
      <w:r>
        <w:rPr>
          <w:bCs/>
          <w:b/>
        </w:rPr>
        <w:t xml:space="preserve">Si falta el dato:</w:t>
      </w:r>
      <w:r>
        <w:t xml:space="preserve"> </w:t>
      </w:r>
      <w:r>
        <w:t xml:space="preserve">Si el archivo no se puede leer, se mantiene el último valor disponible, señalado como desactualizado.</w:t>
      </w:r>
    </w:p>
    <w:p>
      <w:pPr>
        <w:numPr>
          <w:ilvl w:val="0"/>
          <w:numId w:val="1065"/>
        </w:numPr>
      </w:pPr>
      <w:r>
        <w:rPr>
          <w:bCs/>
          <w:b/>
        </w:rPr>
        <w:t xml:space="preserve">Política de revisiones:</w:t>
      </w:r>
      <w:r>
        <w:t xml:space="preserve"> </w:t>
      </w:r>
      <w:r>
        <w:t xml:space="preserve">Una nota publicada con retraso puede sumar una sesión a meses ya informados.</w:t>
      </w:r>
    </w:p>
    <w:bookmarkEnd w:id="182"/>
    <w:bookmarkStart w:id="183" w:name="X4ab0c5eb5abca5f38141be4205cfacb1b6608f5"/>
    <w:p>
      <w:pPr>
        <w:pStyle w:val="Heading2"/>
        <w:keepNext/>
      </w:pPr>
      <w:r>
        <w:t xml:space="preserve">Historial — cambios metodológicos documentados</w:t>
      </w:r>
    </w:p>
    <w:p>
      <w:pPr>
        <w:pStyle w:val="FirstParagraph"/>
      </w:pPr>
      <w:r>
        <w:rPr>
          <w:bCs/>
          <w:b/>
        </w:rPr>
        <w:t xml:space="preserve">2026-07-31</w:t>
      </w:r>
      <w:r>
        <w:t xml:space="preserve"> </w:t>
      </w:r>
      <w:r>
        <w:t xml:space="preserve">— Entra al índice midiendo las sesiones de ambas comisiones. Se descartó medir sólo la comisión de Disciplina: tiene ocho sesiones en cuatro años, lo que la convierte en un indicador de eventos aislados y no en una serie.</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83"/>
    <w:bookmarkEnd w:id="184"/>
    <w:bookmarkStart w:id="194" w:name="cobertura-de-cargos-judiciales"/>
    <w:p>
      <w:pPr>
        <w:pStyle w:val="Heading1"/>
        <w:keepNext/>
      </w:pPr>
      <w:r>
        <w:t xml:space="preserve">Cobertura de cargos judiciales</w:t>
      </w:r>
    </w:p>
    <w:p>
      <w:pPr>
        <w:pStyle w:val="FirstParagraph"/>
      </w:pPr>
      <w:r>
        <w:t xml:space="preserve">Qué porcentaje de los cargos de juez de la justicia federal y nacional tiene juez designado. Un cargo cubierto por un subrogante cuenta como vacante, porque la subrogancia es transitoria y no reemplaza a un juez nombrado para ese tribunal.</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69,63 % de cargos de juez con juez designado</w:t>
            </w:r>
            <w:r>
              <w:rPr>
                <w:sz w:val="18"/>
              </w:rPr>
              <w:t xml:space="preserve"> </w:t>
            </w:r>
            <w:r>
              <w:rPr>
                <w:sz w:val="18"/>
              </w:rPr>
              <w:t xml:space="preserve">(2026-08)</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6 % del ITCP</w:t>
            </w:r>
          </w:p>
        </w:tc>
        <w:tc>
          <w:p>
            <w:pPr>
              <w:pStyle w:val="Compact"/>
              <w:jc w:val="left"/>
            </w:pPr>
            <w:r>
              <w:rPr>
                <w:sz w:val="18"/>
              </w:rPr>
              <w:t xml:space="preserve">Cinturón Política</w:t>
            </w:r>
          </w:p>
        </w:tc>
      </w:tr>
    </w:tbl>
    <w:bookmarkStart w:id="185" w:name="identificación-16"/>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cobertura_judicial</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Poder judicial</w:t>
            </w:r>
          </w:p>
        </w:tc>
        <w:tc>
          <w:p>
            <w:pPr>
              <w:pStyle w:val="Compact"/>
              <w:jc w:val="left"/>
            </w:pPr>
            <w:r>
              <w:rPr>
                <w:bCs/>
                <w:b/>
                <w:sz w:val="18"/>
              </w:rPr>
              <w:t xml:space="preserve">UNIDAD DE MEDIDA</w:t>
            </w:r>
          </w:p>
        </w:tc>
        <w:tc>
          <w:p>
            <w:pPr>
              <w:pStyle w:val="Compact"/>
              <w:jc w:val="left"/>
            </w:pPr>
            <w:r>
              <w:rPr>
                <w:sz w:val="18"/>
              </w:rPr>
              <w:t xml:space="preserve">% de cargos de juez con juez designado</w:t>
            </w:r>
          </w:p>
        </w:tc>
      </w:tr>
      <w:tr>
        <w:trPr>
          <w:cantSplit/>
        </w:trPr>
        <w:tc>
          <w:p>
            <w:pPr>
              <w:pStyle w:val="Compact"/>
              <w:jc w:val="left"/>
            </w:pPr>
            <w:r>
              <w:rPr>
                <w:bCs/>
                <w:b/>
                <w:sz w:val="18"/>
              </w:rPr>
              <w:t xml:space="preserve">SERIE DISPONIBLE</w:t>
            </w:r>
          </w:p>
        </w:tc>
        <w:tc>
          <w:p>
            <w:pPr>
              <w:pStyle w:val="Compact"/>
              <w:jc w:val="left"/>
            </w:pPr>
            <w:r>
              <w:rPr>
                <w:sz w:val="18"/>
              </w:rPr>
              <w:t xml:space="preserve">2023-12 → 2026-08 (33 puntos)</w:t>
            </w:r>
          </w:p>
        </w:tc>
        <w:tc>
          <w:p>
            <w:pPr>
              <w:pStyle w:val="Compact"/>
              <w:jc w:val="left"/>
            </w:pPr>
            <w:r>
              <w:rPr>
                <w:bCs/>
                <w:b/>
                <w:sz w:val="18"/>
              </w:rPr>
              <w:t xml:space="preserve">REZAGO DE PUBLICACIÓN</w:t>
            </w:r>
          </w:p>
        </w:tc>
        <w:tc>
          <w:p>
            <w:pPr>
              <w:pStyle w:val="Compact"/>
              <w:jc w:val="left"/>
            </w:pPr>
            <w:r>
              <w:rPr>
                <w:sz w:val="18"/>
              </w:rPr>
              <w:t xml:space="preserve">El padrón de magistrados se publica con actualizaciones irregulares, en general de uno a dos meses. Los registros de designaciones y renuncias se actualizan con más frecuencia, de modo que la serie incorpora los movimientos posteriores a la última foto del padrón.</w:t>
            </w:r>
          </w:p>
        </w:tc>
      </w:tr>
      <w:tr>
        <w:trPr>
          <w:cantSplit/>
        </w:trPr>
        <w:tc>
          <w:p>
            <w:pPr>
              <w:pStyle w:val="Compact"/>
              <w:jc w:val="left"/>
            </w:pPr>
            <w:r>
              <w:rPr>
                <w:bCs/>
                <w:b/>
                <w:sz w:val="18"/>
              </w:rPr>
              <w:t xml:space="preserve">PRODUCTOR DEL DATO</w:t>
            </w:r>
          </w:p>
        </w:tc>
        <w:tc>
          <w:p>
            <w:pPr>
              <w:pStyle w:val="Compact"/>
              <w:jc w:val="left"/>
            </w:pPr>
            <w:r>
              <w:rPr>
                <w:sz w:val="18"/>
              </w:rPr>
              <w:t xml:space="preserve">Ministerio de Justicia</w:t>
            </w:r>
          </w:p>
        </w:tc>
        <w:tc>
          <w:p>
            <w:pPr>
              <w:pStyle w:val="Compact"/>
              <w:jc w:val="left"/>
            </w:pPr>
            <w:r>
              <w:rPr>
                <w:bCs/>
                <w:b/>
                <w:sz w:val="18"/>
              </w:rPr>
              <w:t xml:space="preserve">OPERACIÓN ESTADÍSTICA</w:t>
            </w:r>
          </w:p>
        </w:tc>
        <w:tc>
          <w:p>
            <w:pPr>
              <w:pStyle w:val="Compact"/>
              <w:jc w:val="left"/>
            </w:pPr>
            <w:r>
              <w:rPr>
                <w:sz w:val="18"/>
              </w:rPr>
              <w:t xml:space="preserve">Padrón de magistrados de la Justicia Federal y Nacional (con marca de cargo vacante), más los registros de designaciones y de renuncias de magistrados</w:t>
            </w:r>
          </w:p>
        </w:tc>
      </w:tr>
      <w:tr>
        <w:trPr>
          <w:cantSplit/>
        </w:trPr>
        <w:tc>
          <w:p>
            <w:pPr>
              <w:pStyle w:val="Compact"/>
              <w:jc w:val="left"/>
            </w:pPr>
            <w:r>
              <w:rPr>
                <w:bCs/>
                <w:b/>
                <w:sz w:val="18"/>
              </w:rPr>
              <w:t xml:space="preserve">MODO DE ACCESO</w:t>
            </w:r>
          </w:p>
        </w:tc>
        <w:tc>
          <w:p>
            <w:pPr>
              <w:pStyle w:val="Compact"/>
              <w:jc w:val="left"/>
            </w:pPr>
            <w:r>
              <w:rPr>
                <w:sz w:val="18"/>
              </w:rPr>
              <w:t xml:space="preserve">Automático: los tres archivos se resuelven por la interfaz del portal de datos abiertos. El nombre de cada archivo incluye su fecha de publicación y cambia en cada actualización, de modo que se busca el recurso vigente en lugar de construir la dirección a mano.</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85"/>
    <w:bookmarkStart w:id="186" w:name="definición-qué-mide-y-por-qué-importa-16"/>
    <w:p>
      <w:pPr>
        <w:pStyle w:val="Heading2"/>
        <w:keepNext/>
      </w:pPr>
      <w:r>
        <w:t xml:space="preserve">Definición — qué mide y por qué importa</w:t>
      </w:r>
    </w:p>
    <w:p>
      <w:pPr>
        <w:pStyle w:val="FirstParagraph"/>
      </w:pPr>
      <w:r>
        <w:t xml:space="preserve">Qué porcentaje de los cargos de juez de la justicia federal y nacional tiene juez designado. Un cargo cubierto por un subrogante cuenta como vacante, porque la subrogancia es transitoria y no reemplaza a un juez nombrado para ese tribunal.</w:t>
      </w:r>
    </w:p>
    <w:p>
      <w:pPr>
        <w:pStyle w:val="BodyText"/>
      </w:pPr>
      <w:r>
        <w:t xml:space="preserve">Mide una capacidad que el Gobierno no ejerce solo: designar jueces requiere acuerdo del Senado, de modo que la cobertura del Poder Judicial es un termómetro de la negociación política, no de la gestión administrativa. La serie muestra un desgaste sostenido durante más de dos años —las renuncias siguieron y las designaciones se detuvieron— seguido de una recuperación abrupta cuando el Senado aprobó un conjunto de pliegos en junio de 2026.</w:t>
      </w:r>
    </w:p>
    <w:p>
      <w:pPr>
        <w:pStyle w:val="BodyText"/>
      </w:pPr>
      <w:r>
        <w:rPr>
          <w:bCs/>
          <w:b/>
        </w:rPr>
        <w:t xml:space="preserve">Dimensión que integra — Poder judicial.</w:t>
      </w:r>
      <w:r>
        <w:t xml:space="preserve"> </w:t>
      </w:r>
      <w:r>
        <w:t xml:space="preserve">La capacidad de integrar el Poder Judicial, medida por la proporción de cargos de juez que tienen juez designado. No es una decisión que el Gobierno tome solo: designar jueces requiere acuerdo del Senado, de modo que la cobertura de los tribunales es un termómetro de la negociación política. La dimensión mide por ahora la capacidad de nombrar, no el comportamiento de la Justicia.</w:t>
      </w:r>
    </w:p>
    <w:bookmarkEnd w:id="186"/>
    <w:bookmarkStart w:id="187" w:name="método-de-cómputo-16"/>
    <w:p>
      <w:pPr>
        <w:pStyle w:val="Heading2"/>
        <w:keepNext/>
      </w:pPr>
      <w:r>
        <w:t xml:space="preserve">Método de cómputo</w:t>
      </w:r>
    </w:p>
    <w:p>
      <w:pPr>
        <w:numPr>
          <w:ilvl w:val="0"/>
          <w:numId w:val="1066"/>
        </w:numPr>
        <w:pStyle w:val="Compact"/>
      </w:pPr>
      <w:r>
        <w:t xml:space="preserve">Se consideran únicamente los cargos de juez en órganos habilitados: los tribunales creados por ley pero todavía no puestos en funcionamiento no forman parte del denominador, porque no hay nada que cubrir.</w:t>
      </w:r>
    </w:p>
    <w:p>
      <w:pPr>
        <w:numPr>
          <w:ilvl w:val="0"/>
          <w:numId w:val="1066"/>
        </w:numPr>
        <w:pStyle w:val="Compact"/>
      </w:pPr>
      <w:r>
        <w:t xml:space="preserve">Un cargo marcado como vacante cuenta como no cubierto aunque tenga subrogante a cargo. La subrogancia se publica aparte, en el detalle de la card.</w:t>
      </w:r>
    </w:p>
    <w:p>
      <w:pPr>
        <w:numPr>
          <w:ilvl w:val="0"/>
          <w:numId w:val="1066"/>
        </w:numPr>
        <w:pStyle w:val="Compact"/>
      </w:pPr>
      <w:r>
        <w:t xml:space="preserve">Hay una excepción, y la fuente la distingue bien: un puñado de cargos tiene juez designado que está de licencia, con un subrogante a cargo mientras tanto. Ese cargo no figura como vacante, porque el juez existe y el cargo es suyo, aunque quien firme sea el subrogante. Al cinco de junio de 2026 son seis casos.</w:t>
      </w:r>
    </w:p>
    <w:p>
      <w:pPr>
        <w:numPr>
          <w:ilvl w:val="0"/>
          <w:numId w:val="1066"/>
        </w:numPr>
        <w:pStyle w:val="Compact"/>
      </w:pPr>
      <w:r>
        <w:t xml:space="preserve">La serie mensual se reconstruye desde el padrón: hacia atrás, cada designación posterior indica un cargo que antes estaba vacante y cada renuncia posterior uno que antes estaba cubierto; hacia adelante, la operación se invierte. Los registros de designaciones y renuncias incluyen fiscales y defensores, que se descartan porque el padrón que fija el nivel es sólo de jueces.</w:t>
      </w:r>
    </w:p>
    <w:bookmarkEnd w:id="187"/>
    <w:bookmarkStart w:id="188" w:name="X73e3f854e4b8e082811c0c543bcdb6fb29273d5"/>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 de cargos de juez con juez designado)</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73</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65 – 73</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61,67 – 65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61,67</w:t>
            </w:r>
          </w:p>
        </w:tc>
        <w:tc>
          <w:tcPr>
            <w:shd w:val="clear" w:color="auto" w:fill="FEE2E2"/>
          </w:tcPr>
          <w:p>
            <w:pPr>
              <w:pStyle w:val="Compact"/>
              <w:jc w:val="center"/>
            </w:pPr>
            <w:r>
              <w:rPr>
                <w:b/>
                <w:sz w:val="18"/>
                <w:color w:val="7F1D1D"/>
              </w:rPr>
              <w:t xml:space="preserve">ROJO</w:t>
            </w:r>
          </w:p>
        </w:tc>
      </w:tr>
    </w:tbl>
    <w:bookmarkEnd w:id="188"/>
    <w:bookmarkStart w:id="189" w:name="datos-concretos-detrás-del-valor-16"/>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67"/>
        </w:numPr>
        <w:pStyle w:val="Compact"/>
      </w:pPr>
      <w:r>
        <w:t xml:space="preserve">604 de 955 cargos de juez habilitados tienen titular designado · 282 funcionan con subrogante y 69 están sin cubrir (padrón al 2026-06-05; la serie incorpora designaciones y renuncias posteriores)</w:t>
      </w:r>
    </w:p>
    <w:bookmarkEnd w:id="189"/>
    <w:bookmarkStart w:id="190" w:name="color-vigente-y-por-qué-16"/>
    <w:p>
      <w:pPr>
        <w:pStyle w:val="Heading2"/>
        <w:keepNext/>
      </w:pPr>
      <w:r>
        <w:t xml:space="preserve">Color vigente y por qué</w:t>
      </w:r>
    </w:p>
    <w:p>
      <w:pPr>
        <w:pStyle w:val="FirstParagraph"/>
      </w:pPr>
      <w:r>
        <w:t xml:space="preserve">Dato vigente: 69,63 % de cargos de juez con juez designado (2026-08).</w:t>
      </w:r>
    </w:p>
    <w:p>
      <w:pPr>
        <w:pStyle w:val="BodyText"/>
      </w:pPr>
      <w:r>
        <w:t xml:space="preserve">69,63 % de cargos de juez con juez designado cae en el tramo que corresponde a Amarillo, a 3,37 del corte más cercano.</w:t>
      </w:r>
    </w:p>
    <w:p>
      <w:pPr>
        <w:pStyle w:val="BodyText"/>
      </w:pPr>
      <w:r>
        <w:rPr>
          <w:bCs/>
          <w:b/>
        </w:rPr>
        <w:t xml:space="preserve">Color vigente: AMARILLO</w:t>
      </w:r>
    </w:p>
    <w:p>
      <w:pPr>
        <w:pStyle w:val="BodyText"/>
      </w:pPr>
      <w:r>
        <w:t xml:space="preserve">Ponderación vigente en el ITCP: 6 % efectivo. El color es una lectura adicional — no reemplaza ni cambia esta ponderación.</w:t>
      </w:r>
    </w:p>
    <w:bookmarkEnd w:id="190"/>
    <w:bookmarkStart w:id="191" w:name="transparencia-limitaciones-declaradas-16"/>
    <w:p>
      <w:pPr>
        <w:pStyle w:val="Heading2"/>
        <w:keepNext/>
      </w:pPr>
      <w:r>
        <w:t xml:space="preserve">Transparencia — limitaciones declaradas</w:t>
      </w:r>
    </w:p>
    <w:p>
      <w:pPr>
        <w:numPr>
          <w:ilvl w:val="0"/>
          <w:numId w:val="1068"/>
        </w:numPr>
        <w:pStyle w:val="Compact"/>
      </w:pPr>
      <w:r>
        <w:t xml:space="preserve">Mide la capacidad de integrar el Poder Judicial, no su comportamiento. No dice nada sobre cómo falla la Justicia, con qué velocidad resuelve ni en qué sentido lo hace.</w:t>
      </w:r>
    </w:p>
    <w:p>
      <w:pPr>
        <w:numPr>
          <w:ilvl w:val="0"/>
          <w:numId w:val="1068"/>
        </w:numPr>
        <w:pStyle w:val="Compact"/>
      </w:pPr>
      <w:r>
        <w:t xml:space="preserve">El total de cargos se mantiene constante a lo largo de la serie reconstruida. La creación o habilitación de tribunales nuevos en el período movería el denominador y no está incorporada, de modo que la reconstrucción es más confiable cerca de la fecha del padrón que en su extremo inicial.</w:t>
      </w:r>
    </w:p>
    <w:p>
      <w:pPr>
        <w:numPr>
          <w:ilvl w:val="0"/>
          <w:numId w:val="1068"/>
        </w:numPr>
        <w:pStyle w:val="Compact"/>
      </w:pPr>
      <w:r>
        <w:t xml:space="preserve">Las subrogancias se descuentan por completo, lo que es una decisión metodológica discutible: un juzgado con subrogante funciona, aunque de forma precaria. La composición se publica para que el lector pueda hacer la lectura contraria.</w:t>
      </w:r>
    </w:p>
    <w:p>
      <w:pPr>
        <w:numPr>
          <w:ilvl w:val="0"/>
          <w:numId w:val="1068"/>
        </w:numPr>
        <w:pStyle w:val="Compact"/>
      </w:pPr>
      <w:r>
        <w:t xml:space="preserve">En el período reconstruido la cobertura se movió entre el sesenta y cuatro y el setenta y tres por ciento, de modo que sólo dos de las cinco bandas están pobladas. Las bandas superiores describen situaciones que la justicia argentina no alcanzó en estos años; no se bajaron los umbrales para poblarlas, porque eso convertiría un desempeño bajo en un puntaje alto.</w:t>
      </w:r>
    </w:p>
    <w:p>
      <w:pPr>
        <w:numPr>
          <w:ilvl w:val="0"/>
          <w:numId w:val="1068"/>
        </w:numPr>
        <w:pStyle w:val="Compact"/>
      </w:pPr>
      <w:r>
        <w:t xml:space="preserve">Los traslados de jueces entre tribunales no se procesan como eventos propios: un traslado deja una vacante y cubre otra, y en el agregado se compensan, pero puede introducir diferencias de un cargo en meses puntuales.</w:t>
      </w:r>
    </w:p>
    <w:bookmarkEnd w:id="191"/>
    <w:bookmarkStart w:id="192" w:name="X7a06634bdbc93c4680ba63361d07c52d56fc14d"/>
    <w:p>
      <w:pPr>
        <w:pStyle w:val="Heading2"/>
        <w:keepNext/>
      </w:pPr>
      <w:r>
        <w:t xml:space="preserve">Si falta el dato / Política de revisiones</w:t>
      </w:r>
    </w:p>
    <w:p>
      <w:pPr>
        <w:numPr>
          <w:ilvl w:val="0"/>
          <w:numId w:val="1069"/>
        </w:numPr>
      </w:pPr>
      <w:r>
        <w:rPr>
          <w:bCs/>
          <w:b/>
        </w:rPr>
        <w:t xml:space="preserve">Si falta el dato:</w:t>
      </w:r>
      <w:r>
        <w:t xml:space="preserve"> </w:t>
      </w:r>
      <w:r>
        <w:t xml:space="preserve">Si los archivos no se pueden leer, se mantiene el último valor disponible, señalado como desactualizado; sin ningún valor previo, la dimensión del Poder Judicial queda vacía y su peso se redistribuye entre las demás.</w:t>
      </w:r>
    </w:p>
    <w:p>
      <w:pPr>
        <w:numPr>
          <w:ilvl w:val="0"/>
          <w:numId w:val="1069"/>
        </w:numPr>
      </w:pPr>
      <w:r>
        <w:rPr>
          <w:bCs/>
          <w:b/>
        </w:rPr>
        <w:t xml:space="preserve">Política de revisiones:</w:t>
      </w:r>
      <w:r>
        <w:t xml:space="preserve"> </w:t>
      </w:r>
      <w:r>
        <w:t xml:space="preserve">Cada actualización del padrón vuelve a anclar la serie completa, de modo que los valores pasados pueden ajustarse levemente cuando el Ministerio publica una foto nueva. El salto de junio de 2026 fue contrastado contra una fuente independiente: el archivo de concursos del propio Consejo de la Magistratura, que no registra ninguna entrevista entre octubre de 2024 y mayo de 2026 y concentra siete concursos con entrevistas personales entre junio y julio de 2026. Las dos fuentes marcan el mismo quiebre en el mismo mes, sin compartir método: además de aprobarse pliegos en el Senado, la maquinaria de selección volvió a moverse.</w:t>
      </w:r>
    </w:p>
    <w:bookmarkEnd w:id="192"/>
    <w:bookmarkStart w:id="193" w:name="X04b1f2d7b7764debfd14097dcda10f65a82388c"/>
    <w:p>
      <w:pPr>
        <w:pStyle w:val="Heading2"/>
        <w:keepNext/>
      </w:pPr>
      <w:r>
        <w:t xml:space="preserve">Historial — cambios metodológicos documentados</w:t>
      </w:r>
    </w:p>
    <w:p>
      <w:pPr>
        <w:pStyle w:val="FirstParagraph"/>
      </w:pPr>
      <w:r>
        <w:rPr>
          <w:bCs/>
          <w:b/>
        </w:rPr>
        <w:t xml:space="preserve">2026-07-25</w:t>
      </w:r>
      <w:r>
        <w:t xml:space="preserve"> </w:t>
      </w:r>
      <w:r>
        <w:t xml:space="preserve">— Entra al índice como único indicador de la dimensión nueva del Poder Judicial, con el quince por ciento del cinturón. La serie se reconstruyó completa desde diciembre de 2023.</w:t>
      </w:r>
    </w:p>
    <w:p>
      <w:r>
        <w:br w:type="page"/>
      </w:r>
    </w:p>
    <w:p>
      <w:pPr>
        <w:pStyle w:val="BodyText"/>
      </w:pPr>
      <w:r>
        <w:rPr>
          <w:bCs/>
          <w:b/>
        </w:rPr>
        <w:t xml:space="preserve">CIGOB · INFORME DE COYUNTURA</w:t>
      </w:r>
    </w:p>
    <w:p>
      <w:pPr>
        <w:pStyle w:val="BodyText"/>
      </w:pPr>
      <w:r>
        <w:rPr>
          <w:iCs/>
          <w:i/>
        </w:rPr>
        <w:t xml:space="preserve">Ficha metodológica · Cinturón Política · Capa de semáforo (4 colores)</w:t>
      </w:r>
    </w:p>
    <w:bookmarkEnd w:id="193"/>
    <w:bookmarkEnd w:id="194"/>
    <w:bookmarkStart w:id="204" w:name="alineamiento-de-senadores-por-provincia"/>
    <w:p>
      <w:pPr>
        <w:pStyle w:val="Heading1"/>
        <w:keepNext/>
      </w:pPr>
      <w:r>
        <w:t xml:space="preserve">Alineamiento de senadores por provincia</w:t>
      </w:r>
    </w:p>
    <w:p>
      <w:pPr>
        <w:pStyle w:val="FirstParagraph"/>
      </w:pPr>
      <w:r>
        <w:t xml:space="preserve">Qué porcentaje de los votos de senadores no alineados con el oficialismo (La Libertad Avanza) coincide con la posición que tomó el bloque oficialista en esa misma votación, promediado entre provincias.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60,1 % votos de senadores no-LLA alineados con LLA, por provincia</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5,7 % del ITCP</w:t>
            </w:r>
          </w:p>
        </w:tc>
        <w:tc>
          <w:p>
            <w:pPr>
              <w:pStyle w:val="Compact"/>
              <w:jc w:val="left"/>
            </w:pPr>
            <w:r>
              <w:rPr>
                <w:sz w:val="18"/>
              </w:rPr>
              <w:t xml:space="preserve">Cinturón Política</w:t>
            </w:r>
          </w:p>
        </w:tc>
      </w:tr>
    </w:tbl>
    <w:bookmarkStart w:id="195" w:name="identificación-17"/>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alineamiento_senadores_prov</w:t>
            </w:r>
          </w:p>
        </w:tc>
        <w:tc>
          <w:p>
            <w:pPr>
              <w:pStyle w:val="Compact"/>
              <w:jc w:val="left"/>
            </w:pPr>
            <w:r>
              <w:rPr>
                <w:bCs/>
                <w:b/>
                <w:sz w:val="18"/>
              </w:rPr>
              <w:t xml:space="preserve">CINTURÓN</w:t>
            </w:r>
          </w:p>
        </w:tc>
        <w:tc>
          <w:p>
            <w:pPr>
              <w:pStyle w:val="Compact"/>
              <w:jc w:val="left"/>
            </w:pPr>
            <w:r>
              <w:rPr>
                <w:sz w:val="18"/>
              </w:rPr>
              <w:t xml:space="preserve">Política</w:t>
            </w:r>
          </w:p>
        </w:tc>
      </w:tr>
      <w:tr>
        <w:trPr>
          <w:cantSplit/>
        </w:trPr>
        <w:tc>
          <w:p>
            <w:pPr>
              <w:pStyle w:val="Compact"/>
              <w:jc w:val="left"/>
            </w:pPr>
            <w:r>
              <w:rPr>
                <w:bCs/>
                <w:b/>
                <w:sz w:val="18"/>
              </w:rPr>
              <w:t xml:space="preserve">DIMENSIÓN EN EL ITCP</w:t>
            </w:r>
          </w:p>
        </w:tc>
        <w:tc>
          <w:p>
            <w:pPr>
              <w:pStyle w:val="Compact"/>
              <w:jc w:val="left"/>
            </w:pPr>
            <w:r>
              <w:rPr>
                <w:sz w:val="18"/>
              </w:rPr>
              <w:t xml:space="preserve">Alianzas territoriales</w:t>
            </w:r>
          </w:p>
        </w:tc>
        <w:tc>
          <w:p>
            <w:pPr>
              <w:pStyle w:val="Compact"/>
              <w:jc w:val="left"/>
            </w:pPr>
            <w:r>
              <w:rPr>
                <w:bCs/>
                <w:b/>
                <w:sz w:val="18"/>
              </w:rPr>
              <w:t xml:space="preserve">UNIDAD DE MEDIDA</w:t>
            </w:r>
          </w:p>
        </w:tc>
        <w:tc>
          <w:p>
            <w:pPr>
              <w:pStyle w:val="Compact"/>
              <w:jc w:val="left"/>
            </w:pPr>
            <w:r>
              <w:rPr>
                <w:sz w:val="18"/>
              </w:rPr>
              <w:t xml:space="preserve">% votos de senadores no-LLA alineados con LLA, por provincia</w:t>
            </w:r>
          </w:p>
        </w:tc>
      </w:tr>
      <w:tr>
        <w:trPr>
          <w:cantSplit/>
        </w:trPr>
        <w:tc>
          <w:p>
            <w:pPr>
              <w:pStyle w:val="Compact"/>
              <w:jc w:val="left"/>
            </w:pPr>
            <w:r>
              <w:rPr>
                <w:bCs/>
                <w:b/>
                <w:sz w:val="18"/>
              </w:rPr>
              <w:t xml:space="preserve">SERIE DISPONIBLE</w:t>
            </w:r>
          </w:p>
        </w:tc>
        <w:tc>
          <w:p>
            <w:pPr>
              <w:pStyle w:val="Compact"/>
              <w:jc w:val="left"/>
            </w:pPr>
            <w:r>
              <w:rPr>
                <w:sz w:val="18"/>
              </w:rPr>
              <w:t xml:space="preserve">2024-02 → 2026-08 (31 puntos)</w:t>
            </w:r>
          </w:p>
        </w:tc>
        <w:tc>
          <w:p>
            <w:pPr>
              <w:pStyle w:val="Compact"/>
              <w:jc w:val="left"/>
            </w:pPr>
            <w:r>
              <w:rPr>
                <w:bCs/>
                <w:b/>
                <w:sz w:val="18"/>
              </w:rPr>
              <w:t xml:space="preserve">REZAGO DE PUBLICACIÓN</w:t>
            </w:r>
          </w:p>
        </w:tc>
        <w:tc>
          <w:p>
            <w:pPr>
              <w:pStyle w:val="Compact"/>
              <w:jc w:val="left"/>
            </w:pPr>
            <w:r>
              <w:rPr>
                <w:sz w:val="18"/>
              </w:rPr>
              <w:t xml:space="preserve">El portal de votaciones nominales del Senado registra cada sesión a los pocos días de ocurrida; el informe recalcula el promedio de los últimos 90 días en cada actualización.</w:t>
            </w:r>
          </w:p>
        </w:tc>
      </w:tr>
      <w:tr>
        <w:trPr>
          <w:cantSplit/>
        </w:trPr>
        <w:tc>
          <w:p>
            <w:pPr>
              <w:pStyle w:val="Compact"/>
              <w:jc w:val="left"/>
            </w:pPr>
            <w:r>
              <w:rPr>
                <w:bCs/>
                <w:b/>
                <w:sz w:val="18"/>
              </w:rPr>
              <w:t xml:space="preserve">PRODUCTOR DEL DATO</w:t>
            </w:r>
          </w:p>
        </w:tc>
        <w:tc>
          <w:p>
            <w:pPr>
              <w:pStyle w:val="Compact"/>
              <w:jc w:val="left"/>
            </w:pPr>
            <w:r>
              <w:rPr>
                <w:sz w:val="18"/>
              </w:rPr>
              <w:t xml:space="preserve">Senado de la Nación</w:t>
            </w:r>
          </w:p>
        </w:tc>
        <w:tc>
          <w:p>
            <w:pPr>
              <w:pStyle w:val="Compact"/>
              <w:jc w:val="left"/>
            </w:pPr>
            <w:r>
              <w:rPr>
                <w:bCs/>
                <w:b/>
                <w:sz w:val="18"/>
              </w:rPr>
              <w:t xml:space="preserve">OPERACIÓN ESTADÍSTICA</w:t>
            </w:r>
          </w:p>
        </w:tc>
        <w:tc>
          <w:p>
            <w:pPr>
              <w:pStyle w:val="Compact"/>
              <w:jc w:val="left"/>
            </w:pPr>
            <w:r>
              <w:rPr>
                <w:sz w:val="18"/>
              </w:rPr>
              <w:t xml:space="preserve">Votaciones nominales del Senado — coincidencia de senadores no alineados con la posición del bloque de La Libertad Avanza, por provincia, actas de los últimos 90 días</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directa del portal público de votaciones nominales del Senado; sin carga manual.</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95"/>
    <w:bookmarkStart w:id="196" w:name="definición-qué-mide-y-por-qué-importa-17"/>
    <w:p>
      <w:pPr>
        <w:pStyle w:val="Heading2"/>
        <w:keepNext/>
      </w:pPr>
      <w:r>
        <w:t xml:space="preserve">Definición — qué mide y por qué importa</w:t>
      </w:r>
    </w:p>
    <w:p>
      <w:pPr>
        <w:pStyle w:val="FirstParagraph"/>
      </w:pPr>
      <w:r>
        <w:t xml:space="preserve">Qué porcentaje de los votos de senadores no alineados con el oficialismo (La Libertad Avanza) coincide con la posición que tomó el bloque oficialista en esa misma votación, promediado entre provincias.</w:t>
      </w:r>
    </w:p>
    <w:p>
      <w:pPr>
        <w:pStyle w:val="BodyText"/>
      </w:pPr>
      <w:r>
        <w:t xml:space="preserve">Es la mejor señal automatizable disponible del respaldo territorial, y conviene leerla por lo que es: mide el voto de los senadores, no la postura del gobernador de cada provincia. Un senador no depende del gobernador de turno y puede responder a la estrategia nacional de su propio partido. Reemplaza a un indicador de alineamiento de gobernadores que quedó congelado por falta de una fuente pública que midiera directamente la posición de los ejecutivos provinciales.</w:t>
      </w:r>
    </w:p>
    <w:p>
      <w:pPr>
        <w:pStyle w:val="BodyText"/>
      </w:pPr>
      <w:r>
        <w:rPr>
          <w:bCs/>
          <w:b/>
        </w:rPr>
        <w:t xml:space="preserve">Dimensión que integra — Alianzas territoriales.</w:t>
      </w:r>
      <w:r>
        <w:t xml:space="preserve"> </w:t>
      </w:r>
      <w:r>
        <w:t xml:space="preserve">El sostén federal del gobierno, visto desde tres señales: las transferencias a las provincias, el alineamiento de los senadores no oficialistas con la posición del bloque de gobierno, y la adhesión provincial al RIGI. Conviene una precisión sobre qué mide y qué no: ninguna de las tres observa directamente la conducta de los gobernadores. La primera describe lo que hace el Gobierno nacional; la segunda, cómo votan los senadores de cada provincia; la tercera, una decisión legislativa provincial ya tomada. No se encontró una fuente pública que midiera de forma automatizable la postura de los ejecutivos provinciales, así que la dimensión se lee como respaldo territorial observado por sus efectos, no como una medición de la relación con cada gobernador.</w:t>
      </w:r>
    </w:p>
    <w:bookmarkEnd w:id="196"/>
    <w:bookmarkStart w:id="197" w:name="método-de-cómputo-17"/>
    <w:p>
      <w:pPr>
        <w:pStyle w:val="Heading2"/>
        <w:keepNext/>
      </w:pPr>
      <w:r>
        <w:t xml:space="preserve">Método de cómputo</w:t>
      </w:r>
    </w:p>
    <w:p>
      <w:pPr>
        <w:numPr>
          <w:ilvl w:val="0"/>
          <w:numId w:val="1070"/>
        </w:numPr>
        <w:pStyle w:val="Compact"/>
      </w:pPr>
      <w:r>
        <w:t xml:space="preserve">Para cada acta, determina la posición del bloque de La Libertad Avanza (el sentido en el que votó la mayoría de sus senadores). Si el bloque queda empatado, esa acta no aporta señal.</w:t>
      </w:r>
    </w:p>
    <w:p>
      <w:pPr>
        <w:numPr>
          <w:ilvl w:val="0"/>
          <w:numId w:val="1070"/>
        </w:numPr>
        <w:pStyle w:val="Compact"/>
      </w:pPr>
      <w:r>
        <w:t xml:space="preserve">Para cada provincia, mide qué proporción de los votos de sus senadores QUE NO son del bloque LLA coincidió con esa posición. Las provincias donde los 3 senadores son de LLA quedan fuera del cálculo: su coincidencia sería automática por definición, no aporta información.</w:t>
      </w:r>
    </w:p>
    <w:p>
      <w:pPr>
        <w:numPr>
          <w:ilvl w:val="0"/>
          <w:numId w:val="1070"/>
        </w:numPr>
        <w:pStyle w:val="Compact"/>
      </w:pPr>
      <w:r>
        <w:t xml:space="preserve">El indicador es el promedio simple de esa proporción entre todas las provincias con al menos un senador no-LLA, sobre las actas de los últimos 90 días.</w:t>
      </w:r>
    </w:p>
    <w:bookmarkEnd w:id="197"/>
    <w:bookmarkStart w:id="198" w:name="X388ce3d9170137e5f29d481c4dabba9f3d23523"/>
    <w:p>
      <w:pPr>
        <w:pStyle w:val="Heading2"/>
        <w:keepNext/>
      </w:pPr>
      <w:r>
        <w:t xml:space="preserve">Semáforo — valores que determinan el color</w:t>
      </w:r>
    </w:p>
    <w:p>
      <w:pPr>
        <w:pStyle w:val="FirstParagraph"/>
      </w:pPr>
      <w:r>
        <w:t xml:space="preserve">Estos son los valores concretos, en la unidad propia de este indicador, que hacen que el semáforo esté en verde, amarillo, naranja o rojo. No se muestra ninguna fórmula ni escala intermedia de 0 a 100 — solo el dato real y el color que le corresponde.</w:t>
      </w:r>
    </w:p>
    <w:p>
      <w:pPr>
        <w:pStyle w:val="BodyText"/>
      </w:pPr>
      <w:r>
        <w:rPr>
          <w:bCs/>
          <w:b/>
        </w:rPr>
        <w:t xml:space="preserve">Valores que definen cada color</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3960"/>
        <w:gridCol w:w="3960"/>
      </w:tblGrid>
      <w:tr>
        <w:trPr>
          <w:cantSplit/>
          <w:tblHeader/>
        </w:trPr>
        <w:tc>
          <w:tcPr>
            <w:shd w:val="clear" w:color="auto" w:fill="1F3A34"/>
          </w:tcPr>
          <w:p>
            <w:pPr>
              <w:pStyle w:val="Compact"/>
              <w:jc w:val="left"/>
            </w:pPr>
            <w:r>
              <w:rPr>
                <w:b/>
                <w:sz w:val="18"/>
                <w:color w:val="FFFFFF"/>
              </w:rPr>
              <w:t xml:space="preserve">Rango (% votos de senadores no-LLA alineados con LLA, por provincia)</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 53</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45 – 53</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41,67 – 45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 41,67</w:t>
            </w:r>
          </w:p>
        </w:tc>
        <w:tc>
          <w:tcPr>
            <w:shd w:val="clear" w:color="auto" w:fill="FEE2E2"/>
          </w:tcPr>
          <w:p>
            <w:pPr>
              <w:pStyle w:val="Compact"/>
              <w:jc w:val="center"/>
            </w:pPr>
            <w:r>
              <w:rPr>
                <w:b/>
                <w:sz w:val="18"/>
                <w:color w:val="7F1D1D"/>
              </w:rPr>
              <w:t xml:space="preserve">ROJO</w:t>
            </w:r>
          </w:p>
        </w:tc>
      </w:tr>
    </w:tbl>
    <w:bookmarkEnd w:id="198"/>
    <w:bookmarkStart w:id="199" w:name="datos-concretos-detrás-del-valor-17"/>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71"/>
        </w:numPr>
        <w:pStyle w:val="Compact"/>
      </w:pPr>
      <w:r>
        <w:t xml:space="preserve">El informe publica el valor (60,1 % votos de senadores no-LLA alineados con LLA, por provincia) pero no los números que lo componen: la fuente entrega la serie ya calculada. Para auditar el dato hay que ir a la operación estadística citada más arriba.</w:t>
      </w:r>
    </w:p>
    <w:bookmarkEnd w:id="199"/>
    <w:bookmarkStart w:id="200" w:name="color-vigente-y-por-qué-17"/>
    <w:p>
      <w:pPr>
        <w:pStyle w:val="Heading2"/>
        <w:keepNext/>
      </w:pPr>
      <w:r>
        <w:t xml:space="preserve">Color vigente y por qué</w:t>
      </w:r>
    </w:p>
    <w:p>
      <w:pPr>
        <w:pStyle w:val="FirstParagraph"/>
      </w:pPr>
      <w:r>
        <w:t xml:space="preserve">Dato vigente: 60,1 % votos de senadores no-LLA alineados con LLA, por provincia (2026-08).</w:t>
      </w:r>
    </w:p>
    <w:p>
      <w:pPr>
        <w:pStyle w:val="BodyText"/>
      </w:pPr>
      <w:r>
        <w:t xml:space="preserve">60,1 % votos de senadores no-LLA alineados con LLA, por provincia cae en el tramo que corresponde a Verde, a 7,1 del corte más cercano.</w:t>
      </w:r>
    </w:p>
    <w:p>
      <w:pPr>
        <w:pStyle w:val="BodyText"/>
      </w:pPr>
      <w:r>
        <w:rPr>
          <w:bCs/>
          <w:b/>
        </w:rPr>
        <w:t xml:space="preserve">Color vigente: VERDE</w:t>
      </w:r>
    </w:p>
    <w:p>
      <w:pPr>
        <w:pStyle w:val="BodyText"/>
      </w:pPr>
      <w:r>
        <w:t xml:space="preserve">Ponderación vigente en el ITCP: 5,7 % efectivo. El color es una lectura adicional — no reemplaza ni cambia esta ponderación.</w:t>
      </w:r>
    </w:p>
    <w:bookmarkEnd w:id="200"/>
    <w:bookmarkStart w:id="201" w:name="transparencia-limitaciones-declaradas-17"/>
    <w:p>
      <w:pPr>
        <w:pStyle w:val="Heading2"/>
        <w:keepNext/>
      </w:pPr>
      <w:r>
        <w:t xml:space="preserve">Transparencia — limitaciones declaradas</w:t>
      </w:r>
    </w:p>
    <w:p>
      <w:pPr>
        <w:numPr>
          <w:ilvl w:val="0"/>
          <w:numId w:val="1072"/>
        </w:numPr>
        <w:pStyle w:val="Compact"/>
      </w:pPr>
      <w:r>
        <w:t xml:space="preserve">Proxy de comportamiento legislativo, no medición directa de la postura del gobernador (Poder Ejecutivo provincial) — ver caveat arriba.</w:t>
      </w:r>
    </w:p>
    <w:p>
      <w:pPr>
        <w:numPr>
          <w:ilvl w:val="0"/>
          <w:numId w:val="1072"/>
        </w:numPr>
        <w:pStyle w:val="Compact"/>
      </w:pPr>
      <w:r>
        <w:t xml:space="preserve">Incluye votaciones consensuadas (donde todo el Senado vota en el mismo sentido), no solo las genuinamente disputadas — solo se excluyen las actas donde el propio bloque LLA queda internamente empatado.</w:t>
      </w:r>
    </w:p>
    <w:p>
      <w:pPr>
        <w:numPr>
          <w:ilvl w:val="0"/>
          <w:numId w:val="1072"/>
        </w:numPr>
        <w:pStyle w:val="Compact"/>
      </w:pPr>
      <w:r>
        <w:t xml:space="preserve">Bloque LLA chico en el Senado: pocos senadores propios hacen que su</w:t>
      </w:r>
      <w:r>
        <w:t xml:space="preserve"> </w:t>
      </w:r>
      <w:r>
        <w:t xml:space="preserve">‘</w:t>
      </w:r>
      <w:r>
        <w:t xml:space="preserve">posición</w:t>
      </w:r>
      <w:r>
        <w:t xml:space="preserve">’</w:t>
      </w:r>
      <w:r>
        <w:t xml:space="preserve"> </w:t>
      </w:r>
      <w:r>
        <w:t xml:space="preserve">en un acta dependa de muy pocos votos.</w:t>
      </w:r>
    </w:p>
    <w:p>
      <w:pPr>
        <w:numPr>
          <w:ilvl w:val="0"/>
          <w:numId w:val="1072"/>
        </w:numPr>
        <w:pStyle w:val="Compact"/>
      </w:pPr>
      <w:r>
        <w:t xml:space="preserve">Depende de que el portal público del Senado mantenga su estructura actual: un cambio de diseño del sitio puede interrumpir la lectura automática hasta que se ajuste.</w:t>
      </w:r>
    </w:p>
    <w:bookmarkEnd w:id="201"/>
    <w:bookmarkStart w:id="202" w:name="Xb990a90e77ada9cf1be6c4bb1f4609d3393a5e6"/>
    <w:p>
      <w:pPr>
        <w:pStyle w:val="Heading2"/>
        <w:keepNext/>
      </w:pPr>
      <w:r>
        <w:t xml:space="preserve">Si falta el dato / Política de revisiones</w:t>
      </w:r>
    </w:p>
    <w:p>
      <w:pPr>
        <w:numPr>
          <w:ilvl w:val="0"/>
          <w:numId w:val="1073"/>
        </w:numPr>
      </w:pPr>
      <w:r>
        <w:rPr>
          <w:bCs/>
          <w:b/>
        </w:rPr>
        <w:t xml:space="preserve">Si falta el dato:</w:t>
      </w:r>
      <w:r>
        <w:t xml:space="preserve"> </w:t>
      </w:r>
      <w:r>
        <w:t xml:space="preserve">Si la lectura del sitio falla, se conserva el último promedio calculado; recién se marca desactualizado si pasan más de 10 días sin una actualización que haya llegado al portal — un receso legislativo sin actas nuevas no cuenta como desactualización.</w:t>
      </w:r>
    </w:p>
    <w:p>
      <w:pPr>
        <w:numPr>
          <w:ilvl w:val="0"/>
          <w:numId w:val="1073"/>
        </w:numPr>
      </w:pPr>
      <w:r>
        <w:rPr>
          <w:bCs/>
          <w:b/>
        </w:rPr>
        <w:t xml:space="preserve">Política de revisiones:</w:t>
      </w:r>
      <w:r>
        <w:t xml:space="preserve"> </w:t>
      </w:r>
      <w:r>
        <w:t xml:space="preserve">El promedio de los últimos 90 días se recalcula completo desde la fuente en cada actualización; no se arrastran promedios previos.</w:t>
      </w:r>
    </w:p>
    <w:bookmarkEnd w:id="202"/>
    <w:bookmarkStart w:id="203" w:name="Xc1dd7ba14d542f04ff8e5656404b4c5454960db"/>
    <w:p>
      <w:pPr>
        <w:pStyle w:val="Heading2"/>
        <w:keepNext/>
      </w:pPr>
      <w:r>
        <w:t xml:space="preserve">Historial — cambios metodológicos documentados</w:t>
      </w:r>
    </w:p>
    <w:p>
      <w:pPr>
        <w:pStyle w:val="FirstParagraph"/>
      </w:pPr>
      <w:r>
        <w:rPr>
          <w:bCs/>
          <w:b/>
        </w:rPr>
        <w:t xml:space="preserve">2026-07-08</w:t>
      </w:r>
      <w:r>
        <w:t xml:space="preserve"> </w:t>
      </w:r>
      <w:r>
        <w:t xml:space="preserve">— Alta como reemplazo de "alineamiento de gobernadores" (indicador de carga manual, sin fuente automatizable encontrada): mide coincidencia de voto de senadores no oficialistas con la posición del bloque de gobierno, por provincia.</w:t>
      </w:r>
    </w:p>
    <w:p>
      <w:pPr>
        <w:pStyle w:val="BodyText"/>
      </w:pPr>
      <w:r>
        <w:rPr>
          <w:bCs/>
          <w:b/>
        </w:rPr>
        <w:t xml:space="preserve">2026-07-09</w:t>
      </w:r>
      <w:r>
        <w:t xml:space="preserve"> </w:t>
      </w:r>
      <w:r>
        <w:t xml:space="preserve">— Umbrales de puntaje recalibrados (antes 65/45/25/10, heredados de "alineamiento de gobernadores" sin validar) a partir de una serie mensual propia reconstruida (29 meses reales, feb-2024 a jun-2026): nuevos cortes en 70/60/50/40.</w:t>
      </w:r>
    </w:p>
    <w:bookmarkEnd w:id="203"/>
    <w:bookmarkEnd w:id="204"/>
    <w:sectPr>
      <w:headerReference r:id="rId9" w:type="default"/>
      <w:footerReference r:id="rId10" w:type="default"/>
      <w:pgMar w:bottom="1134"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BFBFBF"/>
      </w:pBdr>
    </w:pPr>
    <w:r>
      <w:rPr>
        <w:rFonts w:ascii="Calibri" w:hAnsi="Calibri" w:cs="Calibri" w:eastAsia="Calibri"/>
        <w:color w:val="5F6360"/>
        <w:sz w:val="16"/>
      </w:rPr>
      <w:t xml:space="preserve">Fundación CiGob   ·   página </w:t>
    </w:r>
    <w:r>
      <w:rPr>
        <w:rFonts w:ascii="Calibri" w:hAnsi="Calibri" w:cs="Calibri" w:eastAsia="Calibri"/>
        <w:color w:val="5F6360"/>
        <w:sz w:val="16"/>
      </w:rPr>
      <w:fldChar w:fldCharType="begin"/>
      <w:instrText>PAGE</w:instrText>
      <w:fldChar w:fldCharType="end"/>
    </w:r>
    <w:r>
      <w:rPr>
        <w:rFonts w:ascii="Calibri" w:hAnsi="Calibri" w:cs="Calibri" w:eastAsia="Calibri"/>
        <w:color w:val="5F6360"/>
        <w:sz w:val="16"/>
      </w:rPr>
      <w:t xml:space="preserve"> de </w:t>
    </w:r>
    <w:r>
      <w:rPr>
        <w:rFonts w:ascii="Calibri" w:hAnsi="Calibri" w:cs="Calibri" w:eastAsia="Calibri"/>
        <w:color w:val="5F6360"/>
        <w:sz w:val="16"/>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8" w:color="1D67CD"/>
      </w:pBdr>
    </w:pPr>
    <w:r>
      <w:drawing>
        <wp:inline xmlns:a="http://schemas.openxmlformats.org/drawingml/2006/main" xmlns:pic="http://schemas.openxmlformats.org/drawingml/2006/picture">
          <wp:extent cx="1196883" cy="360000"/>
          <wp:docPr id="1" name="Picture 1"/>
          <wp:cNvGraphicFramePr>
            <a:graphicFrameLocks noChangeAspect="1"/>
          </wp:cNvGraphicFramePr>
          <a:graphic>
            <a:graphicData uri="http://schemas.openxmlformats.org/drawingml/2006/picture">
              <pic:pic>
                <pic:nvPicPr>
                  <pic:cNvPr id="0" name="cigob_logo.png"/>
                  <pic:cNvPicPr/>
                </pic:nvPicPr>
                <pic:blipFill>
                  <a:blip r:embed="rId1"/>
                  <a:stretch>
                    <a:fillRect/>
                  </a:stretch>
                </pic:blipFill>
                <pic:spPr>
                  <a:xfrm>
                    <a:off x="0" y="0"/>
                    <a:ext cx="1196883" cy="360000"/>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b w:val="0"/>
      <w:i w:val="0"/>
      <w:color w:val="333333"/>
      <w:sz w:val="22"/>
    </w:rPr>
    <w:pPr>
      <w:spacing w:after="120" w:before="0"/>
    </w:pPr>
  </w:style>
  <w:style w:styleId="BodyText" w:type="paragraph">
    <w:name w:val="Body Text"/>
    <w:basedOn w:val="Normal"/>
    <w:link w:val="BodyTextChar"/>
    <w:pPr>
      <w:spacing w:after="120" w:before="0"/>
    </w:pPr>
    <w:qFormat/>
    <w:rPr>
      <w:rFonts w:ascii="Calibri" w:cs="Calibri" w:eastAsia="Calibri" w:hAnsi="Calibri"/>
      <w:b w:val="0"/>
      <w:i w:val="0"/>
      <w:color w:val="333333"/>
      <w:sz w:val="22"/>
    </w:rPr>
  </w:style>
  <w:style w:customStyle="1" w:styleId="FirstParagraph" w:type="paragraph">
    <w:name w:val="First Paragraph"/>
    <w:basedOn w:val="BodyText"/>
    <w:next w:val="BodyText"/>
    <w:qFormat/>
    <w:rPr>
      <w:rFonts w:ascii="Calibri" w:cs="Calibri" w:eastAsia="Calibri" w:hAnsi="Calibri"/>
      <w:b w:val="0"/>
      <w:i w:val="0"/>
      <w:color w:val="333333"/>
      <w:sz w:val="22"/>
    </w:rPr>
    <w:pPr>
      <w:spacing w:after="120" w:before="0"/>
    </w:pPr>
  </w:style>
  <w:style w:customStyle="1" w:styleId="Compact" w:type="paragraph">
    <w:name w:val="Compact"/>
    <w:basedOn w:val="BodyText"/>
    <w:qFormat/>
    <w:pPr>
      <w:spacing w:after="40" w:before="0"/>
    </w:pPr>
    <w:rPr>
      <w:rFonts w:ascii="Calibri" w:cs="Calibri" w:eastAsia="Calibri" w:hAnsi="Calibri"/>
      <w:b w:val="0"/>
      <w:i w:val="0"/>
      <w:color w:val="333333"/>
      <w:sz w:val="22"/>
    </w:rPr>
  </w:style>
  <w:style w:styleId="Title" w:type="paragraph">
    <w:name w:val="Title"/>
    <w:basedOn w:val="Normal"/>
    <w:next w:val="BodyText"/>
    <w:qFormat/>
    <w:pPr>
      <w:keepNext/>
      <w:keepLines/>
      <w:spacing w:after="160" w:before="0"/>
      <w:jc w:val="center"/>
    </w:pPr>
    <w:rPr>
      <w:rFonts w:ascii="Calibri" w:asciiTheme="majorHAnsi" w:cs="Calibri" w:cstheme="majorBidi" w:eastAsia="Calibri" w:eastAsiaTheme="majorEastAsia" w:hAnsi="Calibri" w:hAnsiTheme="majorHAnsi"/>
      <w:b/>
      <w:bCs/>
      <w:i w:val="0"/>
      <w:color w:val="0F3D7A"/>
      <w:sz w:val="52"/>
      <w:szCs w:val="36"/>
    </w:rPr>
  </w:style>
  <w:style w:styleId="Subtitle" w:type="paragraph">
    <w:name w:val="Subtitle"/>
    <w:basedOn w:val="Title"/>
    <w:next w:val="BodyText"/>
    <w:qFormat/>
    <w:pPr>
      <w:keepNext/>
      <w:keepLines/>
      <w:spacing w:after="360" w:before="0"/>
      <w:jc w:val="center"/>
    </w:pPr>
    <w:rPr>
      <w:rFonts w:ascii="Calibri" w:cs="Calibri" w:eastAsia="Calibri" w:hAnsi="Calibri"/>
      <w:b w:val="0"/>
      <w:i/>
      <w:color w:val="5F6360"/>
      <w:sz w:val="28"/>
      <w:szCs w:val="30"/>
    </w:rPr>
  </w:style>
  <w:style w:customStyle="1" w:styleId="Author" w:type="paragraph">
    <w:name w:val="Author"/>
    <w:next w:val="BodyText"/>
    <w:qFormat/>
    <w:pPr>
      <w:keepNext/>
      <w:keepLines/>
      <w:jc w:val="center"/>
      <w:spacing w:after="40" w:before="0"/>
    </w:pPr>
    <w:rPr>
      <w:rFonts w:ascii="Calibri" w:cs="Calibri" w:eastAsia="Calibri" w:hAnsi="Calibri"/>
      <w:b w:val="0"/>
      <w:i/>
      <w:color w:val="5F6360"/>
      <w:sz w:val="22"/>
    </w:rPr>
  </w:style>
  <w:style w:styleId="Date" w:type="paragraph">
    <w:name w:val="Date"/>
    <w:next w:val="BodyText"/>
    <w:qFormat/>
    <w:pPr>
      <w:keepNext/>
      <w:keepLines/>
      <w:jc w:val="center"/>
      <w:spacing w:after="360" w:before="0"/>
    </w:pPr>
    <w:rPr>
      <w:rFonts w:ascii="Calibri" w:cs="Calibri" w:eastAsia="Calibri" w:hAnsi="Calibri"/>
      <w:b w:val="0"/>
      <w:i/>
      <w:color w:val="5F6360"/>
      <w:sz w:val="22"/>
    </w:rPr>
  </w:style>
  <w:style w:customStyle="1" w:styleId="Abstract" w:type="paragraph">
    <w:name w:val="Abstract"/>
    <w:basedOn w:val="Normal"/>
    <w:next w:val="BodyText"/>
    <w:qFormat/>
    <w:pPr>
      <w:keepNext/>
      <w:keepLines/>
      <w:spacing w:after="240" w:before="240"/>
    </w:pPr>
    <w:rPr>
      <w:rFonts w:ascii="Calibri" w:cs="Calibri" w:eastAsia="Calibri" w:hAnsi="Calibri"/>
      <w:b w:val="0"/>
      <w:i/>
      <w:color w:val="333333"/>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outlineLvl w:val="0"/>
      <w:pBdr>
        <w:bottom w:color="1D67CD" w:space="4" w:sz="8" w:val="single"/>
      </w:pBdr>
    </w:pPr>
    <w:rPr>
      <w:rFonts w:ascii="Calibri" w:asciiTheme="majorHAnsi" w:cs="Calibri" w:cstheme="majorBidi" w:eastAsia="Calibri" w:eastAsiaTheme="majorEastAsia" w:hAnsi="Calibri" w:hAnsiTheme="majorHAnsi"/>
      <w:b/>
      <w:bCs/>
      <w:i w:val="0"/>
      <w:color w:val="1D67CD"/>
      <w:sz w:val="36"/>
      <w:szCs w:val="32"/>
    </w:rPr>
  </w:style>
  <w:style w:styleId="Heading2" w:type="paragraph">
    <w:name w:val="Heading 2"/>
    <w:basedOn w:val="Normal"/>
    <w:next w:val="BodyText"/>
    <w:uiPriority w:val="9"/>
    <w:unhideWhenUsed/>
    <w:qFormat/>
    <w:pPr>
      <w:keepNext/>
      <w:keepLines/>
      <w:spacing w:after="120" w:before="360"/>
      <w:outlineLvl w:val="1"/>
    </w:pPr>
    <w:rPr>
      <w:rFonts w:ascii="Calibri" w:asciiTheme="majorHAnsi" w:cs="Calibri" w:cstheme="majorBidi" w:eastAsia="Calibri" w:eastAsiaTheme="majorEastAsia" w:hAnsi="Calibri" w:hAnsiTheme="majorHAnsi"/>
      <w:b/>
      <w:bCs/>
      <w:i w:val="0"/>
      <w:color w:val="1D67CD"/>
      <w:sz w:val="28"/>
      <w:szCs w:val="28"/>
    </w:rPr>
  </w:style>
  <w:style w:styleId="Heading3" w:type="paragraph">
    <w:name w:val="Heading 3"/>
    <w:basedOn w:val="Normal"/>
    <w:next w:val="BodyText"/>
    <w:uiPriority w:val="9"/>
    <w:unhideWhenUsed/>
    <w:qFormat/>
    <w:pPr>
      <w:keepNext/>
      <w:keepLines/>
      <w:spacing w:after="80" w:before="240"/>
      <w:outlineLvl w:val="2"/>
    </w:pPr>
    <w:rPr>
      <w:rFonts w:ascii="Calibri" w:asciiTheme="majorHAnsi" w:cs="Calibri" w:cstheme="majorBidi" w:eastAsia="Calibri" w:eastAsiaTheme="majorEastAsia" w:hAnsi="Calibri" w:hAnsiTheme="majorHAnsi"/>
      <w:b/>
      <w:bCs/>
      <w:i w:val="0"/>
      <w:color w:val="0F3D7A"/>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Calibri" w:cstheme="majorBidi" w:eastAsia="Calibri" w:eastAsiaTheme="majorEastAsia" w:hAnsi="Calibri" w:hAnsiTheme="majorHAnsi"/>
      <w:i/>
      <w:b/>
      <w:bCs/>
      <w:color w:val="333333"/>
      <w:sz w:val="22"/>
      <w:szCs w:val="24"/>
    </w:rPr>
  </w:style>
  <w:style w:styleId="Heading5" w:type="paragraph">
    <w:name w:val="Heading 5"/>
    <w:basedOn w:val="Normal"/>
    <w:next w:val="BodyText"/>
    <w:uiPriority w:val="9"/>
    <w:unhideWhenUsed/>
    <w:qFormat/>
    <w:pPr>
      <w:keepNext/>
      <w:keepLines/>
      <w:spacing w:after="60" w:before="160"/>
      <w:outlineLvl w:val="4"/>
    </w:pPr>
    <w:rPr>
      <w:rFonts w:ascii="Calibri" w:asciiTheme="majorHAnsi" w:cs="Calibri" w:cstheme="majorBidi" w:eastAsia="Calibri" w:eastAsiaTheme="majorEastAsia" w:hAnsi="Calibri" w:hAnsiTheme="majorHAnsi"/>
      <w:b/>
      <w:i w:val="0"/>
      <w:iCs/>
      <w:color w:val="333333"/>
      <w:sz w:val="22"/>
      <w:szCs w:val="24"/>
    </w:rPr>
  </w:style>
  <w:style w:styleId="Heading6" w:type="paragraph">
    <w:name w:val="Heading 6"/>
    <w:basedOn w:val="Normal"/>
    <w:next w:val="BodyText"/>
    <w:uiPriority w:val="9"/>
    <w:unhideWhenUsed/>
    <w:qFormat/>
    <w:pPr>
      <w:keepNext/>
      <w:keepLines/>
      <w:spacing w:after="60" w:before="160"/>
      <w:outlineLvl w:val="5"/>
    </w:pPr>
    <w:rPr>
      <w:rFonts w:ascii="Calibri" w:asciiTheme="majorHAnsi" w:cs="Calibri" w:cstheme="majorBidi" w:eastAsia="Calibri" w:eastAsiaTheme="majorEastAsia" w:hAnsi="Calibri" w:hAnsiTheme="majorHAnsi"/>
      <w:b w:val="0"/>
      <w:i/>
      <w:color w:val="5F6360"/>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ind w:firstLine="0" w:left="480" w:right="480"/>
    </w:pPr>
    <w:rPr>
      <w:rFonts w:ascii="Calibri" w:cs="Calibri" w:eastAsia="Calibri" w:hAnsi="Calibri"/>
      <w:b w:val="0"/>
      <w:i/>
      <w:color w:val="5F6360"/>
      <w:sz w:val="22"/>
    </w:rPr>
  </w:style>
  <w:style w:styleId="FootnoteText" w:type="paragraph">
    <w:name w:val="Footnote Text"/>
    <w:basedOn w:val="Normal"/>
    <w:next w:val="FootnoteText"/>
    <w:uiPriority w:val="9"/>
    <w:unhideWhenUsed/>
    <w:qFormat/>
    <w:rPr>
      <w:rFonts w:ascii="Calibri" w:cs="Calibri" w:eastAsia="Calibri" w:hAnsi="Calibri"/>
      <w:b w:val="0"/>
      <w:i w:val="0"/>
      <w:color w:val="333333"/>
      <w:sz w:val="18"/>
    </w:rPr>
    <w:pPr>
      <w:spacing w:after="40" w:before="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FBFBF" w:sz="4" w:val="single"/>
        <w:left w:color="BFBFBF" w:sz="4" w:val="single"/>
        <w:bottom w:color="BFBFBF" w:sz="4" w:val="single"/>
        <w:right w:color="BFBFBF" w:sz="4" w:val="single"/>
        <w:insideH w:color="BFBFBF" w:sz="4" w:val="single"/>
        <w:insideV w:color="BFBFBF"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20"/>
    </w:pPr>
    <w:rPr>
      <w:rFonts w:ascii="Calibri" w:cs="Calibri" w:eastAsia="Calibri" w:hAnsi="Calibri"/>
      <w:b/>
      <w:i w:val="0"/>
      <w:color w:val="0F3D7A"/>
      <w:sz w:val="22"/>
    </w:rPr>
  </w:style>
  <w:style w:customStyle="1" w:styleId="Definition" w:type="paragraph">
    <w:name w:val="Definition"/>
    <w:basedOn w:val="Normal"/>
    <w:rPr>
      <w:rFonts w:ascii="Calibri" w:cs="Calibri" w:eastAsia="Calibri" w:hAnsi="Calibri"/>
      <w:b w:val="0"/>
      <w:i w:val="0"/>
      <w:color w:val="333333"/>
      <w:sz w:val="22"/>
    </w:rPr>
    <w:pPr>
      <w:spacing w:after="120" w:before="0"/>
    </w:pPr>
  </w:style>
  <w:style w:styleId="Caption" w:type="paragraph">
    <w:name w:val="Caption"/>
    <w:basedOn w:val="Normal"/>
    <w:link w:val="BodyTextChar"/>
    <w:pPr>
      <w:spacing w:after="160" w:before="40"/>
    </w:pPr>
    <w:rPr>
      <w:rFonts w:ascii="Calibri" w:cs="Calibri" w:eastAsia="Calibri" w:hAnsi="Calibri"/>
      <w:b w:val="0"/>
      <w:i/>
      <w:color w:val="5F6360"/>
      <w:sz w:val="18"/>
    </w:rPr>
  </w:style>
  <w:style w:customStyle="1" w:styleId="TableCaption" w:type="paragraph">
    <w:name w:val="Table Caption"/>
    <w:basedOn w:val="Caption"/>
    <w:pPr>
      <w:keepNext/>
      <w:spacing w:after="160" w:before="40"/>
    </w:pPr>
    <w:rPr>
      <w:rFonts w:ascii="Calibri" w:cs="Calibri" w:eastAsia="Calibri" w:hAnsi="Calibri"/>
      <w:b w:val="0"/>
      <w:i/>
      <w:color w:val="5F6360"/>
      <w:sz w:val="18"/>
    </w:rPr>
  </w:style>
  <w:style w:customStyle="1" w:styleId="ImageCaption" w:type="paragraph">
    <w:name w:val="Image Caption"/>
    <w:basedOn w:val="Caption"/>
    <w:rPr>
      <w:rFonts w:ascii="Calibri" w:cs="Calibri" w:eastAsia="Calibri" w:hAnsi="Calibri"/>
      <w:b w:val="0"/>
      <w:i/>
      <w:color w:val="5F6360"/>
      <w:sz w:val="18"/>
    </w:rPr>
    <w:pPr>
      <w:spacing w:after="160" w:before="40"/>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3D7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67C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metodológicas · Cinturón Política</dc:title>
  <dc:creator>Fundación CIGOB</dc:creator>
  <cp:keywords/>
  <dcterms:created xsi:type="dcterms:W3CDTF">2026-08-09T23:32:15Z</dcterms:created>
  <dcterms:modified xsi:type="dcterms:W3CDTF">2026-08-09T23:32:15Z</dcterms:modified>
  <dc:description>fichas-cigob: estilado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Informe de Coyuntura · Capa de semáforo (4 colores)</vt:lpwstr>
  </property>
</Properties>
</file>