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B78C3" w14:textId="77777777" w:rsidR="0064294E" w:rsidRPr="0064294E" w:rsidRDefault="0064294E" w:rsidP="0064294E">
      <w:r w:rsidRPr="0064294E">
        <w:t xml:space="preserve">Lo que medimos con el ISAC o la importación tradicional de maquinaria pesada es, en gran parte, la </w:t>
      </w:r>
      <w:r w:rsidRPr="0064294E">
        <w:rPr>
          <w:b/>
          <w:bCs/>
        </w:rPr>
        <w:t>inversión de reposición</w:t>
      </w:r>
      <w:r w:rsidRPr="0064294E">
        <w:t xml:space="preserve"> o la ampliación de la capacidad productiva de la "vieja economía" (bienes tangibles e infraestructura física). La verdadera revolución de la productividad actual no pasa por comprar más toneladas de acero, sino por la </w:t>
      </w:r>
      <w:r w:rsidRPr="0064294E">
        <w:rPr>
          <w:b/>
          <w:bCs/>
        </w:rPr>
        <w:t>capitalización intangible</w:t>
      </w:r>
      <w:r w:rsidRPr="0064294E">
        <w:t>: la incorporación de Inteligencia Artificial, automatización de procesos, software avanzado y analítica de datos.</w:t>
      </w:r>
    </w:p>
    <w:p w14:paraId="5A94B59E" w14:textId="77777777" w:rsidR="0064294E" w:rsidRPr="0064294E" w:rsidRDefault="0064294E" w:rsidP="0064294E">
      <w:r w:rsidRPr="0064294E">
        <w:t xml:space="preserve">La inversión en IA no se traduce en aduana como un "bien de capital" tradicional, sino que suele registrarse en las cuentas nacionales y corporativas como </w:t>
      </w:r>
      <w:r w:rsidRPr="0064294E">
        <w:rPr>
          <w:b/>
          <w:bCs/>
        </w:rPr>
        <w:t>gasto en servicios, propiedad intelectual o desarrollo de software</w:t>
      </w:r>
      <w:r w:rsidRPr="0064294E">
        <w:t>.</w:t>
      </w:r>
    </w:p>
    <w:p w14:paraId="16085401" w14:textId="77777777" w:rsidR="0064294E" w:rsidRPr="0064294E" w:rsidRDefault="0064294E" w:rsidP="0064294E">
      <w:r w:rsidRPr="0064294E">
        <w:t xml:space="preserve">Para capturar esto, necesitamos diseñar un indicador que mida la transición hacia la frontera tecnológica. Te propongo el desarrollo del </w:t>
      </w:r>
      <w:r w:rsidRPr="0064294E">
        <w:rPr>
          <w:b/>
          <w:bCs/>
        </w:rPr>
        <w:t>Índice de Capitalización Inteligente y Productividad (ICIP)</w:t>
      </w:r>
      <w:r w:rsidRPr="0064294E">
        <w:t>.</w:t>
      </w:r>
    </w:p>
    <w:p w14:paraId="588B6987" w14:textId="77777777" w:rsidR="0064294E" w:rsidRPr="0064294E" w:rsidRDefault="0064294E" w:rsidP="0064294E">
      <w:pPr>
        <w:rPr>
          <w:b/>
          <w:bCs/>
        </w:rPr>
      </w:pPr>
      <w:r w:rsidRPr="0064294E">
        <w:rPr>
          <w:rFonts w:ascii="Apple Color Emoji" w:hAnsi="Apple Color Emoji" w:cs="Apple Color Emoji"/>
          <w:b/>
          <w:bCs/>
        </w:rPr>
        <w:t>💡</w:t>
      </w:r>
      <w:r w:rsidRPr="0064294E">
        <w:rPr>
          <w:b/>
          <w:bCs/>
        </w:rPr>
        <w:t xml:space="preserve"> El Concepto: Inversión Tangible vs. Inversión Intangible</w:t>
      </w:r>
    </w:p>
    <w:p w14:paraId="775C3E99" w14:textId="77777777" w:rsidR="0064294E" w:rsidRPr="0064294E" w:rsidRDefault="0064294E" w:rsidP="0064294E">
      <w:r w:rsidRPr="0064294E">
        <w:t xml:space="preserve">Para tu informe de coyuntura, la hipótesis central bajo esta nueva mirada </w:t>
      </w:r>
      <w:proofErr w:type="spellStart"/>
      <w:r w:rsidRPr="0064294E">
        <w:t>matusiana</w:t>
      </w:r>
      <w:proofErr w:type="spellEnd"/>
      <w:r w:rsidRPr="0064294E">
        <w:t xml:space="preserve"> es: </w:t>
      </w:r>
      <w:r w:rsidRPr="0064294E">
        <w:rPr>
          <w:i/>
          <w:iCs/>
        </w:rPr>
        <w:t>Un país puede estar aumentando su inversión física (ladrillos y camiones) pero estar perdiendo competitividad global si su tasa de capitalización digital se estanca</w:t>
      </w:r>
      <w:r w:rsidRPr="0064294E">
        <w:t>.</w:t>
      </w:r>
    </w:p>
    <w:p w14:paraId="28DA7CA1" w14:textId="77777777" w:rsidR="0064294E" w:rsidRPr="0064294E" w:rsidRDefault="0064294E" w:rsidP="0064294E">
      <w:r w:rsidRPr="0064294E">
        <w:t xml:space="preserve">El </w:t>
      </w:r>
      <w:r w:rsidRPr="0064294E">
        <w:rPr>
          <w:b/>
          <w:bCs/>
        </w:rPr>
        <w:t>ICIP</w:t>
      </w:r>
      <w:r w:rsidRPr="0064294E">
        <w:t xml:space="preserve"> busca medir justamente el desplazamiento de la frontera de producción por adopción tecnológica y eficiencia sistémica.</w:t>
      </w:r>
    </w:p>
    <w:p w14:paraId="60EBE881" w14:textId="77777777" w:rsidR="0064294E" w:rsidRPr="0064294E" w:rsidRDefault="0064294E" w:rsidP="0064294E">
      <w:pPr>
        <w:rPr>
          <w:b/>
          <w:bCs/>
        </w:rPr>
      </w:pPr>
      <w:r w:rsidRPr="0064294E">
        <w:rPr>
          <w:rFonts w:ascii="Apple Color Emoji" w:hAnsi="Apple Color Emoji" w:cs="Apple Color Emoji"/>
          <w:b/>
          <w:bCs/>
        </w:rPr>
        <w:t>📈</w:t>
      </w:r>
      <w:r w:rsidRPr="0064294E">
        <w:rPr>
          <w:b/>
          <w:bCs/>
        </w:rPr>
        <w:t xml:space="preserve"> La Fórmula Paramétrica del ICIP</w:t>
      </w:r>
    </w:p>
    <w:p w14:paraId="554389A8" w14:textId="77777777" w:rsidR="0064294E" w:rsidRPr="0064294E" w:rsidRDefault="0064294E" w:rsidP="0064294E">
      <w:r w:rsidRPr="0064294E">
        <w:t xml:space="preserve">Para construir este índice compuesto mensual, combinamos tres variables clave que actúan como </w:t>
      </w:r>
      <w:proofErr w:type="spellStart"/>
      <w:r w:rsidRPr="0064294E">
        <w:rPr>
          <w:i/>
          <w:iCs/>
        </w:rPr>
        <w:t>proxies</w:t>
      </w:r>
      <w:proofErr w:type="spellEnd"/>
      <w:r w:rsidRPr="0064294E">
        <w:t xml:space="preserve"> de la velocidad de absorción de la IA y la tecnología en la estructura productiva argentina:</w:t>
      </w:r>
    </w:p>
    <w:p w14:paraId="1B04E858" w14:textId="77777777" w:rsidR="0064294E" w:rsidRPr="0064294E" w:rsidRDefault="0064294E" w:rsidP="0064294E">
      <w:r w:rsidRPr="0064294E">
        <w:t>$$</w:t>
      </w:r>
      <w:proofErr w:type="spellStart"/>
      <w:r w:rsidRPr="0064294E">
        <w:t>ICIP_t</w:t>
      </w:r>
      <w:proofErr w:type="spellEnd"/>
      <w:r w:rsidRPr="0064294E">
        <w:t xml:space="preserve"> = (w_1 \</w:t>
      </w:r>
      <w:proofErr w:type="spellStart"/>
      <w:r w:rsidRPr="0064294E">
        <w:t>cdot</w:t>
      </w:r>
      <w:proofErr w:type="spellEnd"/>
      <w:r w:rsidRPr="0064294E">
        <w:t xml:space="preserve"> \Delta\% \, </w:t>
      </w:r>
      <w:proofErr w:type="spellStart"/>
      <w:r w:rsidRPr="0064294E">
        <w:t>Svc</w:t>
      </w:r>
      <w:proofErr w:type="spellEnd"/>
      <w:r w:rsidRPr="0064294E">
        <w:t>_{</w:t>
      </w:r>
      <w:proofErr w:type="spellStart"/>
      <w:r w:rsidRPr="0064294E">
        <w:t>tech</w:t>
      </w:r>
      <w:proofErr w:type="spellEnd"/>
      <w:r w:rsidRPr="0064294E">
        <w:t>, t}) + (w_2 \</w:t>
      </w:r>
      <w:proofErr w:type="spellStart"/>
      <w:r w:rsidRPr="0064294E">
        <w:t>cdot</w:t>
      </w:r>
      <w:proofErr w:type="spellEnd"/>
      <w:r w:rsidRPr="0064294E">
        <w:t xml:space="preserve"> \Delta\% \, BK_{hi-</w:t>
      </w:r>
      <w:proofErr w:type="spellStart"/>
      <w:r w:rsidRPr="0064294E">
        <w:t>tech</w:t>
      </w:r>
      <w:proofErr w:type="spellEnd"/>
      <w:r w:rsidRPr="0064294E">
        <w:t>, t}) + (w_3 \</w:t>
      </w:r>
      <w:proofErr w:type="spellStart"/>
      <w:r w:rsidRPr="0064294E">
        <w:t>cdot</w:t>
      </w:r>
      <w:proofErr w:type="spellEnd"/>
      <w:r w:rsidRPr="0064294E">
        <w:t xml:space="preserve"> \Delta\% \, Eff_{</w:t>
      </w:r>
      <w:proofErr w:type="spellStart"/>
      <w:r w:rsidRPr="0064294E">
        <w:t>proc</w:t>
      </w:r>
      <w:proofErr w:type="spellEnd"/>
      <w:r w:rsidRPr="0064294E">
        <w:t>, t})$$</w:t>
      </w:r>
    </w:p>
    <w:p w14:paraId="26524A8B" w14:textId="77777777" w:rsidR="0064294E" w:rsidRPr="0064294E" w:rsidRDefault="0064294E" w:rsidP="0064294E">
      <w:pPr>
        <w:rPr>
          <w:b/>
          <w:bCs/>
        </w:rPr>
      </w:pPr>
      <w:r w:rsidRPr="0064294E">
        <w:rPr>
          <w:b/>
          <w:bCs/>
        </w:rPr>
        <w:t>Ponderadores Sugeridos</w:t>
      </w:r>
    </w:p>
    <w:p w14:paraId="3E02706B" w14:textId="77777777" w:rsidR="0064294E" w:rsidRPr="0064294E" w:rsidRDefault="0064294E" w:rsidP="0064294E">
      <w:pPr>
        <w:numPr>
          <w:ilvl w:val="0"/>
          <w:numId w:val="1"/>
        </w:numPr>
      </w:pPr>
      <w:r w:rsidRPr="0064294E">
        <w:rPr>
          <w:b/>
          <w:bCs/>
        </w:rPr>
        <w:t>$w_1 = 0,40$ (40%):</w:t>
      </w:r>
      <w:r w:rsidRPr="0064294E">
        <w:t xml:space="preserve"> Importación y Consumo Corporativo de Servicios del Conocimiento (Software, Cloud Computing y Licencias de IA).</w:t>
      </w:r>
    </w:p>
    <w:p w14:paraId="7E9F7C01" w14:textId="77777777" w:rsidR="0064294E" w:rsidRPr="0064294E" w:rsidRDefault="0064294E" w:rsidP="0064294E">
      <w:pPr>
        <w:numPr>
          <w:ilvl w:val="0"/>
          <w:numId w:val="1"/>
        </w:numPr>
      </w:pPr>
      <w:r w:rsidRPr="0064294E">
        <w:rPr>
          <w:b/>
          <w:bCs/>
        </w:rPr>
        <w:t>$w_2 = 0,30$ (30%):</w:t>
      </w:r>
      <w:r w:rsidRPr="0064294E">
        <w:t xml:space="preserve"> Importación de Bienes de Capital de Alta Tecnología (Hardware avanzado, servidores, robótica y componentes electrónicos).</w:t>
      </w:r>
    </w:p>
    <w:p w14:paraId="476528FA" w14:textId="77777777" w:rsidR="0064294E" w:rsidRPr="0064294E" w:rsidRDefault="0064294E" w:rsidP="0064294E">
      <w:pPr>
        <w:numPr>
          <w:ilvl w:val="0"/>
          <w:numId w:val="1"/>
        </w:numPr>
      </w:pPr>
      <w:r w:rsidRPr="0064294E">
        <w:rPr>
          <w:b/>
          <w:bCs/>
        </w:rPr>
        <w:t>$w_3 = 0,30$ (30%):</w:t>
      </w:r>
      <w:r w:rsidRPr="0064294E">
        <w:t xml:space="preserve"> Indicador de Eficiencia Productiva Relativa (Productividad Marginal Laboral).</w:t>
      </w:r>
    </w:p>
    <w:p w14:paraId="0EE1C6FB" w14:textId="77777777" w:rsidR="0064294E" w:rsidRPr="0064294E" w:rsidRDefault="0064294E" w:rsidP="0064294E">
      <w:pPr>
        <w:rPr>
          <w:b/>
          <w:bCs/>
        </w:rPr>
      </w:pPr>
      <w:r w:rsidRPr="0064294E">
        <w:rPr>
          <w:rFonts w:ascii="Apple Color Emoji" w:hAnsi="Apple Color Emoji" w:cs="Apple Color Emoji"/>
          <w:b/>
          <w:bCs/>
        </w:rPr>
        <w:t>🗄️</w:t>
      </w:r>
      <w:r w:rsidRPr="0064294E">
        <w:rPr>
          <w:b/>
          <w:bCs/>
        </w:rPr>
        <w:t xml:space="preserve"> Indicadores Específicos y Fuentes de Información</w:t>
      </w:r>
    </w:p>
    <w:p w14:paraId="069B3B97" w14:textId="77777777" w:rsidR="0064294E" w:rsidRPr="0064294E" w:rsidRDefault="0064294E" w:rsidP="0064294E">
      <w:r w:rsidRPr="0064294E">
        <w:lastRenderedPageBreak/>
        <w:t xml:space="preserve">Para alimentar el </w:t>
      </w:r>
      <w:r w:rsidRPr="0064294E">
        <w:rPr>
          <w:b/>
          <w:bCs/>
        </w:rPr>
        <w:t>ICIP</w:t>
      </w:r>
      <w:r w:rsidRPr="0064294E">
        <w:t xml:space="preserve"> de forma mensual o trimestral (según la disponibilidad), </w:t>
      </w:r>
      <w:proofErr w:type="spellStart"/>
      <w:r w:rsidRPr="0064294E">
        <w:t>debés</w:t>
      </w:r>
      <w:proofErr w:type="spellEnd"/>
      <w:r w:rsidRPr="0064294E">
        <w:t xml:space="preserve"> recolectar los datos en los siguientes organismos y sectores:</w:t>
      </w:r>
    </w:p>
    <w:p w14:paraId="0C49D05F" w14:textId="77777777" w:rsidR="0064294E" w:rsidRPr="0064294E" w:rsidRDefault="0064294E" w:rsidP="0064294E">
      <w:pPr>
        <w:rPr>
          <w:b/>
          <w:bCs/>
        </w:rPr>
      </w:pPr>
      <w:r w:rsidRPr="0064294E">
        <w:rPr>
          <w:b/>
          <w:bCs/>
        </w:rPr>
        <w:t>1. Inversión en Software, Nube e IA ($</w:t>
      </w:r>
      <w:proofErr w:type="spellStart"/>
      <w:r w:rsidRPr="0064294E">
        <w:rPr>
          <w:b/>
          <w:bCs/>
        </w:rPr>
        <w:t>Svc</w:t>
      </w:r>
      <w:proofErr w:type="spellEnd"/>
      <w:r w:rsidRPr="0064294E">
        <w:rPr>
          <w:b/>
          <w:bCs/>
        </w:rPr>
        <w:t>_{</w:t>
      </w:r>
      <w:proofErr w:type="spellStart"/>
      <w:r w:rsidRPr="0064294E">
        <w:rPr>
          <w:b/>
          <w:bCs/>
        </w:rPr>
        <w:t>tech</w:t>
      </w:r>
      <w:proofErr w:type="spellEnd"/>
      <w:r w:rsidRPr="0064294E">
        <w:rPr>
          <w:b/>
          <w:bCs/>
        </w:rPr>
        <w:t>}$)</w:t>
      </w:r>
    </w:p>
    <w:p w14:paraId="06CB8F0D" w14:textId="77777777" w:rsidR="0064294E" w:rsidRPr="0064294E" w:rsidRDefault="0064294E" w:rsidP="0064294E">
      <w:r w:rsidRPr="0064294E">
        <w:t xml:space="preserve">Como las empresas argentinas contratan la infraestructura de IA mayoritariamente a proveedores globales (AWS, Microsoft Azure, Google Cloud, </w:t>
      </w:r>
      <w:proofErr w:type="spellStart"/>
      <w:r w:rsidRPr="0064294E">
        <w:t>OpenAI</w:t>
      </w:r>
      <w:proofErr w:type="spellEnd"/>
      <w:r w:rsidRPr="0064294E">
        <w:t>), el impacto se mide directamente en la balanza de pagos.</w:t>
      </w:r>
    </w:p>
    <w:p w14:paraId="4A3BA496" w14:textId="77777777" w:rsidR="0064294E" w:rsidRPr="0064294E" w:rsidRDefault="0064294E" w:rsidP="0064294E">
      <w:pPr>
        <w:numPr>
          <w:ilvl w:val="0"/>
          <w:numId w:val="2"/>
        </w:numPr>
      </w:pPr>
      <w:r w:rsidRPr="0064294E">
        <w:rPr>
          <w:b/>
          <w:bCs/>
        </w:rPr>
        <w:t>El Indicador:</w:t>
      </w:r>
      <w:r w:rsidRPr="0064294E">
        <w:t xml:space="preserve"> Evolución del egreso de divisas por </w:t>
      </w:r>
      <w:r w:rsidRPr="0064294E">
        <w:rPr>
          <w:b/>
          <w:bCs/>
        </w:rPr>
        <w:t>Servicios de Informática e Información</w:t>
      </w:r>
      <w:r w:rsidRPr="0064294E">
        <w:t xml:space="preserve"> dentro de la balanza de Servicios del Conocimiento.</w:t>
      </w:r>
    </w:p>
    <w:p w14:paraId="6D25F78A" w14:textId="77777777" w:rsidR="0064294E" w:rsidRPr="0064294E" w:rsidRDefault="0064294E" w:rsidP="0064294E">
      <w:pPr>
        <w:numPr>
          <w:ilvl w:val="0"/>
          <w:numId w:val="2"/>
        </w:numPr>
      </w:pPr>
      <w:r w:rsidRPr="0064294E">
        <w:rPr>
          <w:b/>
          <w:bCs/>
        </w:rPr>
        <w:t>Fuente Oficial:</w:t>
      </w:r>
      <w:r w:rsidRPr="0064294E">
        <w:t xml:space="preserve"> </w:t>
      </w:r>
      <w:r w:rsidRPr="0064294E">
        <w:rPr>
          <w:b/>
          <w:bCs/>
        </w:rPr>
        <w:t>INDEC</w:t>
      </w:r>
      <w:r w:rsidRPr="0064294E">
        <w:t xml:space="preserve"> (Informe trimestral de </w:t>
      </w:r>
      <w:r w:rsidRPr="0064294E">
        <w:rPr>
          <w:i/>
          <w:iCs/>
        </w:rPr>
        <w:t>Balanza de Pagos, posición de inversión internacional</w:t>
      </w:r>
      <w:r w:rsidRPr="0064294E">
        <w:t xml:space="preserve">) y el </w:t>
      </w:r>
      <w:r w:rsidRPr="0064294E">
        <w:rPr>
          <w:b/>
          <w:bCs/>
        </w:rPr>
        <w:t>BCRA</w:t>
      </w:r>
      <w:r w:rsidRPr="0064294E">
        <w:t xml:space="preserve"> (Informe diario/mensual de </w:t>
      </w:r>
      <w:r w:rsidRPr="0064294E">
        <w:rPr>
          <w:i/>
          <w:iCs/>
        </w:rPr>
        <w:t>Evolución del Mercado de Cambios</w:t>
      </w:r>
      <w:r w:rsidRPr="0064294E">
        <w:t>, bajo el concepto de pagos al exterior por servicios de información y telecomunicaciones).</w:t>
      </w:r>
    </w:p>
    <w:p w14:paraId="64965C4C" w14:textId="77777777" w:rsidR="0064294E" w:rsidRPr="0064294E" w:rsidRDefault="0064294E" w:rsidP="0064294E">
      <w:pPr>
        <w:rPr>
          <w:b/>
          <w:bCs/>
        </w:rPr>
      </w:pPr>
      <w:r w:rsidRPr="0064294E">
        <w:rPr>
          <w:b/>
          <w:bCs/>
        </w:rPr>
        <w:t>2. Importación de Hardware y Robótica ($BK_{hi-</w:t>
      </w:r>
      <w:proofErr w:type="spellStart"/>
      <w:r w:rsidRPr="0064294E">
        <w:rPr>
          <w:b/>
          <w:bCs/>
        </w:rPr>
        <w:t>tech</w:t>
      </w:r>
      <w:proofErr w:type="spellEnd"/>
      <w:r w:rsidRPr="0064294E">
        <w:rPr>
          <w:b/>
          <w:bCs/>
        </w:rPr>
        <w:t>}$)</w:t>
      </w:r>
    </w:p>
    <w:p w14:paraId="775FB07D" w14:textId="77777777" w:rsidR="0064294E" w:rsidRPr="0064294E" w:rsidRDefault="0064294E" w:rsidP="0064294E">
      <w:r w:rsidRPr="0064294E">
        <w:t>No todas las máquinas son iguales. Debemos aislar la maquinaria tradicional de la tecnología que soporta la IA.</w:t>
      </w:r>
    </w:p>
    <w:p w14:paraId="2D02A64B" w14:textId="77777777" w:rsidR="0064294E" w:rsidRPr="0064294E" w:rsidRDefault="0064294E" w:rsidP="0064294E">
      <w:pPr>
        <w:numPr>
          <w:ilvl w:val="0"/>
          <w:numId w:val="3"/>
        </w:numPr>
      </w:pPr>
      <w:r w:rsidRPr="0064294E">
        <w:rPr>
          <w:b/>
          <w:bCs/>
        </w:rPr>
        <w:t>El Indicador:</w:t>
      </w:r>
      <w:r w:rsidRPr="0064294E">
        <w:t xml:space="preserve"> Dentro del informe del Intercambio Comercial Argentino (ICA), </w:t>
      </w:r>
      <w:proofErr w:type="spellStart"/>
      <w:r w:rsidRPr="0064294E">
        <w:t>debés</w:t>
      </w:r>
      <w:proofErr w:type="spellEnd"/>
      <w:r w:rsidRPr="0064294E">
        <w:t xml:space="preserve"> tomar la evolución de las importaciones bajo las posiciones arancelarias de la </w:t>
      </w:r>
      <w:r w:rsidRPr="0064294E">
        <w:rPr>
          <w:b/>
          <w:bCs/>
        </w:rPr>
        <w:t>Nomenclatura Común del MERCOSUR (NCM)</w:t>
      </w:r>
      <w:r w:rsidRPr="0064294E">
        <w:t xml:space="preserve"> asociadas a: </w:t>
      </w:r>
      <w:r w:rsidRPr="0064294E">
        <w:rPr>
          <w:i/>
          <w:iCs/>
        </w:rPr>
        <w:t>Máquinas automáticas para tratamiento o procesamiento de datos (servidores y computadoras)</w:t>
      </w:r>
      <w:r w:rsidRPr="0064294E">
        <w:t xml:space="preserve"> y </w:t>
      </w:r>
      <w:r w:rsidRPr="0064294E">
        <w:rPr>
          <w:i/>
          <w:iCs/>
        </w:rPr>
        <w:t>Aparatos de telecomunicación/circuitos integrados</w:t>
      </w:r>
      <w:r w:rsidRPr="0064294E">
        <w:t>.</w:t>
      </w:r>
    </w:p>
    <w:p w14:paraId="59B260E3" w14:textId="77777777" w:rsidR="0064294E" w:rsidRPr="0064294E" w:rsidRDefault="0064294E" w:rsidP="0064294E">
      <w:pPr>
        <w:numPr>
          <w:ilvl w:val="0"/>
          <w:numId w:val="3"/>
        </w:numPr>
      </w:pPr>
      <w:r w:rsidRPr="0064294E">
        <w:rPr>
          <w:b/>
          <w:bCs/>
        </w:rPr>
        <w:t>Fuente Oficial:</w:t>
      </w:r>
      <w:r w:rsidRPr="0064294E">
        <w:t xml:space="preserve"> </w:t>
      </w:r>
      <w:r w:rsidRPr="0064294E">
        <w:rPr>
          <w:b/>
          <w:bCs/>
        </w:rPr>
        <w:t>INDEC</w:t>
      </w:r>
      <w:r w:rsidRPr="0064294E">
        <w:t xml:space="preserve"> (Bases de datos de Comercio Exterior / Sistema de Consulta de Comercio Exterior).</w:t>
      </w:r>
    </w:p>
    <w:p w14:paraId="2B3BD5E8" w14:textId="77777777" w:rsidR="0064294E" w:rsidRPr="0064294E" w:rsidRDefault="0064294E" w:rsidP="0064294E">
      <w:pPr>
        <w:rPr>
          <w:b/>
          <w:bCs/>
        </w:rPr>
      </w:pPr>
      <w:r w:rsidRPr="0064294E">
        <w:rPr>
          <w:b/>
          <w:bCs/>
        </w:rPr>
        <w:t>3. El Impacto en la Economía Real: Productividad Laboral ($Eff_{</w:t>
      </w:r>
      <w:proofErr w:type="spellStart"/>
      <w:r w:rsidRPr="0064294E">
        <w:rPr>
          <w:b/>
          <w:bCs/>
        </w:rPr>
        <w:t>proc</w:t>
      </w:r>
      <w:proofErr w:type="spellEnd"/>
      <w:r w:rsidRPr="0064294E">
        <w:rPr>
          <w:b/>
          <w:bCs/>
        </w:rPr>
        <w:t>}$)</w:t>
      </w:r>
    </w:p>
    <w:p w14:paraId="3189FF45" w14:textId="77777777" w:rsidR="0064294E" w:rsidRPr="0064294E" w:rsidRDefault="0064294E" w:rsidP="0064294E">
      <w:r w:rsidRPr="0064294E">
        <w:t>La IA destruye las ineficiencias de procesos de manera inmediata. Si las empresas incorporan IA, la producción por hora trabajada debería aumentar de manera notable.</w:t>
      </w:r>
    </w:p>
    <w:p w14:paraId="1612D9AE" w14:textId="77777777" w:rsidR="0064294E" w:rsidRPr="0064294E" w:rsidRDefault="0064294E" w:rsidP="0064294E">
      <w:pPr>
        <w:numPr>
          <w:ilvl w:val="0"/>
          <w:numId w:val="4"/>
        </w:numPr>
      </w:pPr>
      <w:r w:rsidRPr="0064294E">
        <w:rPr>
          <w:b/>
          <w:bCs/>
        </w:rPr>
        <w:t>El Indicador:</w:t>
      </w:r>
      <w:r w:rsidRPr="0064294E">
        <w:t xml:space="preserve"> </w:t>
      </w:r>
      <w:r w:rsidRPr="0064294E">
        <w:rPr>
          <w:b/>
          <w:bCs/>
        </w:rPr>
        <w:t>Índice de Productividad de la Mano de Obra (IPMO)</w:t>
      </w:r>
      <w:r w:rsidRPr="0064294E">
        <w:t>. Se calcula de forma simplificada cruzando el Índice de Producción Industrial (IPI) con las Horas Trabajadas de la Encuesta de Indicadores Laborales.</w:t>
      </w:r>
    </w:p>
    <w:p w14:paraId="6C3592FE" w14:textId="77777777" w:rsidR="0064294E" w:rsidRPr="0064294E" w:rsidRDefault="0064294E" w:rsidP="0064294E">
      <w:pPr>
        <w:numPr>
          <w:ilvl w:val="0"/>
          <w:numId w:val="4"/>
        </w:numPr>
      </w:pPr>
      <w:r w:rsidRPr="0064294E">
        <w:rPr>
          <w:b/>
          <w:bCs/>
        </w:rPr>
        <w:t>Fuente Oficial:</w:t>
      </w:r>
      <w:r w:rsidRPr="0064294E">
        <w:t xml:space="preserve"> </w:t>
      </w:r>
      <w:r w:rsidRPr="0064294E">
        <w:rPr>
          <w:b/>
          <w:bCs/>
        </w:rPr>
        <w:t>INDEC</w:t>
      </w:r>
      <w:r w:rsidRPr="0064294E">
        <w:t xml:space="preserve"> (IPI Manufacturero) cruzado con los datos del </w:t>
      </w:r>
      <w:r w:rsidRPr="0064294E">
        <w:rPr>
          <w:b/>
          <w:bCs/>
        </w:rPr>
        <w:t>Ministerio de Trabajo, Empleo y Seguridad Social</w:t>
      </w:r>
      <w:r w:rsidRPr="0064294E">
        <w:t xml:space="preserve"> (SIPA / Encuesta de Indicadores Laborales).</w:t>
      </w:r>
    </w:p>
    <w:p w14:paraId="5E550F9C" w14:textId="77777777" w:rsidR="0064294E" w:rsidRPr="0064294E" w:rsidRDefault="0064294E" w:rsidP="0064294E">
      <w:pPr>
        <w:rPr>
          <w:b/>
          <w:bCs/>
        </w:rPr>
      </w:pPr>
      <w:r w:rsidRPr="0064294E">
        <w:rPr>
          <w:rFonts w:ascii="Apple Color Emoji" w:hAnsi="Apple Color Emoji" w:cs="Apple Color Emoji"/>
          <w:b/>
          <w:bCs/>
        </w:rPr>
        <w:t>📊</w:t>
      </w:r>
      <w:r w:rsidRPr="0064294E">
        <w:rPr>
          <w:b/>
          <w:bCs/>
        </w:rPr>
        <w:t xml:space="preserve"> Criterio de Lectura para el Informe de Coyuntura</w:t>
      </w:r>
    </w:p>
    <w:p w14:paraId="0044BEC0" w14:textId="77777777" w:rsidR="0064294E" w:rsidRPr="0064294E" w:rsidRDefault="0064294E" w:rsidP="0064294E">
      <w:r w:rsidRPr="0064294E">
        <w:lastRenderedPageBreak/>
        <w:t xml:space="preserve">Al incorporar el </w:t>
      </w:r>
      <w:r w:rsidRPr="0064294E">
        <w:rPr>
          <w:b/>
          <w:bCs/>
        </w:rPr>
        <w:t>ICIP</w:t>
      </w:r>
      <w:r w:rsidRPr="0064294E">
        <w:t xml:space="preserve"> al tablero de control al lado del indicador de inversión tradicional, </w:t>
      </w:r>
      <w:proofErr w:type="spellStart"/>
      <w:r w:rsidRPr="0064294E">
        <w:t>podés</w:t>
      </w:r>
      <w:proofErr w:type="spellEnd"/>
      <w:r w:rsidRPr="0064294E">
        <w:t xml:space="preserve"> ofrecer un diagnóstico bidimensional único:</w:t>
      </w:r>
    </w:p>
    <w:p w14:paraId="68566E84" w14:textId="77777777" w:rsidR="0064294E" w:rsidRPr="0064294E" w:rsidRDefault="0064294E" w:rsidP="0064294E">
      <w:pPr>
        <w:numPr>
          <w:ilvl w:val="0"/>
          <w:numId w:val="5"/>
        </w:numPr>
      </w:pPr>
      <w:r w:rsidRPr="0064294E">
        <w:rPr>
          <w:rFonts w:ascii="Apple Color Emoji" w:hAnsi="Apple Color Emoji" w:cs="Apple Color Emoji"/>
        </w:rPr>
        <w:t>🟢</w:t>
      </w:r>
      <w:r w:rsidRPr="0064294E">
        <w:t xml:space="preserve"> </w:t>
      </w:r>
      <w:r w:rsidRPr="0064294E">
        <w:rPr>
          <w:b/>
          <w:bCs/>
        </w:rPr>
        <w:t>ICIP en Alza y Mayor al IAI Tradicional:</w:t>
      </w:r>
      <w:r w:rsidRPr="0064294E">
        <w:t xml:space="preserve"> </w:t>
      </w:r>
      <w:r w:rsidRPr="0064294E">
        <w:rPr>
          <w:b/>
          <w:bCs/>
        </w:rPr>
        <w:t>Reconfiguración Tecnológica Genuina.</w:t>
      </w:r>
      <w:r w:rsidRPr="0064294E">
        <w:t xml:space="preserve"> La economía no solo repone capital viejo, sino que se está digitalizando a gran velocidad. El potencial de crecimiento a largo plazo se eleva sustancialmente porque aumenta la productividad total de los factores (PTF).</w:t>
      </w:r>
    </w:p>
    <w:p w14:paraId="56DAA295" w14:textId="77777777" w:rsidR="0064294E" w:rsidRPr="0064294E" w:rsidRDefault="0064294E" w:rsidP="0064294E">
      <w:pPr>
        <w:numPr>
          <w:ilvl w:val="0"/>
          <w:numId w:val="5"/>
        </w:numPr>
      </w:pPr>
      <w:r w:rsidRPr="0064294E">
        <w:rPr>
          <w:rFonts w:ascii="Apple Color Emoji" w:hAnsi="Apple Color Emoji" w:cs="Apple Color Emoji"/>
        </w:rPr>
        <w:t>🟡</w:t>
      </w:r>
      <w:r w:rsidRPr="0064294E">
        <w:t xml:space="preserve"> </w:t>
      </w:r>
      <w:r w:rsidRPr="0064294E">
        <w:rPr>
          <w:b/>
          <w:bCs/>
        </w:rPr>
        <w:t>IAI Tradicional en Alza pero ICIP Estancado:</w:t>
      </w:r>
      <w:r w:rsidRPr="0064294E">
        <w:t xml:space="preserve"> </w:t>
      </w:r>
      <w:r w:rsidRPr="0064294E">
        <w:rPr>
          <w:b/>
          <w:bCs/>
        </w:rPr>
        <w:t>Trampa de la Madurez.</w:t>
      </w:r>
      <w:r w:rsidRPr="0064294E">
        <w:t xml:space="preserve"> Riesgo macroeconómico. El país invierte mucho en sectores tradicionales (ladrillos, obra civil) pero no incorpora el salto tecnológico de la IA. Es una economía que acumula capacidad de reproducción vieja, volviéndose obsoleta frente a competidores internacionales.</w:t>
      </w:r>
    </w:p>
    <w:p w14:paraId="1C9C142F" w14:textId="77777777" w:rsidR="0064294E" w:rsidRPr="0064294E" w:rsidRDefault="0064294E" w:rsidP="0064294E">
      <w:pPr>
        <w:numPr>
          <w:ilvl w:val="0"/>
          <w:numId w:val="5"/>
        </w:numPr>
      </w:pPr>
      <w:r w:rsidRPr="0064294E">
        <w:rPr>
          <w:rFonts w:ascii="Apple Color Emoji" w:hAnsi="Apple Color Emoji" w:cs="Apple Color Emoji"/>
        </w:rPr>
        <w:t>🔴</w:t>
      </w:r>
      <w:r w:rsidRPr="0064294E">
        <w:t xml:space="preserve"> </w:t>
      </w:r>
      <w:r w:rsidRPr="0064294E">
        <w:rPr>
          <w:b/>
          <w:bCs/>
        </w:rPr>
        <w:t>Ambos Índices en Caída:</w:t>
      </w:r>
      <w:r w:rsidRPr="0064294E">
        <w:t xml:space="preserve"> </w:t>
      </w:r>
      <w:r w:rsidRPr="0064294E">
        <w:rPr>
          <w:b/>
          <w:bCs/>
        </w:rPr>
        <w:t>Descapitalización Absoluta.</w:t>
      </w:r>
      <w:r w:rsidRPr="0064294E">
        <w:t xml:space="preserve"> Emergencia estructural. La economía pierde el stock de capital físico y se desengancha de la frontera tecnológica global.</w:t>
      </w:r>
    </w:p>
    <w:p w14:paraId="08EE6A35" w14:textId="77777777" w:rsidR="0091321E" w:rsidRDefault="0091321E"/>
    <w:sectPr w:rsidR="009132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0BDF"/>
    <w:multiLevelType w:val="multilevel"/>
    <w:tmpl w:val="4C20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91766"/>
    <w:multiLevelType w:val="multilevel"/>
    <w:tmpl w:val="CAF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4278E"/>
    <w:multiLevelType w:val="multilevel"/>
    <w:tmpl w:val="5D1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C1CCD"/>
    <w:multiLevelType w:val="multilevel"/>
    <w:tmpl w:val="5B92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91D79"/>
    <w:multiLevelType w:val="multilevel"/>
    <w:tmpl w:val="C7B4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115586">
    <w:abstractNumId w:val="0"/>
  </w:num>
  <w:num w:numId="2" w16cid:durableId="1234388347">
    <w:abstractNumId w:val="4"/>
  </w:num>
  <w:num w:numId="3" w16cid:durableId="1262491000">
    <w:abstractNumId w:val="3"/>
  </w:num>
  <w:num w:numId="4" w16cid:durableId="151601520">
    <w:abstractNumId w:val="2"/>
  </w:num>
  <w:num w:numId="5" w16cid:durableId="2065136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94E"/>
    <w:rsid w:val="0010103C"/>
    <w:rsid w:val="003F6D5A"/>
    <w:rsid w:val="0064294E"/>
    <w:rsid w:val="0091321E"/>
    <w:rsid w:val="00DD7A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7E60F98"/>
  <w15:chartTrackingRefBased/>
  <w15:docId w15:val="{1DC00418-7BA2-2D45-B72F-B67D10A9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2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2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9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9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9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9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9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9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9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9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29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9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9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9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9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9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9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94E"/>
    <w:rPr>
      <w:rFonts w:eastAsiaTheme="majorEastAsia" w:cstheme="majorBidi"/>
      <w:color w:val="272727" w:themeColor="text1" w:themeTint="D8"/>
    </w:rPr>
  </w:style>
  <w:style w:type="paragraph" w:styleId="Ttulo">
    <w:name w:val="Title"/>
    <w:basedOn w:val="Normal"/>
    <w:next w:val="Normal"/>
    <w:link w:val="TtuloCar"/>
    <w:uiPriority w:val="10"/>
    <w:qFormat/>
    <w:rsid w:val="00642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9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9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9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94E"/>
    <w:pPr>
      <w:spacing w:before="160"/>
      <w:jc w:val="center"/>
    </w:pPr>
    <w:rPr>
      <w:i/>
      <w:iCs/>
      <w:color w:val="404040" w:themeColor="text1" w:themeTint="BF"/>
    </w:rPr>
  </w:style>
  <w:style w:type="character" w:customStyle="1" w:styleId="CitaCar">
    <w:name w:val="Cita Car"/>
    <w:basedOn w:val="Fuentedeprrafopredeter"/>
    <w:link w:val="Cita"/>
    <w:uiPriority w:val="29"/>
    <w:rsid w:val="0064294E"/>
    <w:rPr>
      <w:i/>
      <w:iCs/>
      <w:color w:val="404040" w:themeColor="text1" w:themeTint="BF"/>
    </w:rPr>
  </w:style>
  <w:style w:type="paragraph" w:styleId="Prrafodelista">
    <w:name w:val="List Paragraph"/>
    <w:basedOn w:val="Normal"/>
    <w:uiPriority w:val="34"/>
    <w:qFormat/>
    <w:rsid w:val="0064294E"/>
    <w:pPr>
      <w:ind w:left="720"/>
      <w:contextualSpacing/>
    </w:pPr>
  </w:style>
  <w:style w:type="character" w:styleId="nfasisintenso">
    <w:name w:val="Intense Emphasis"/>
    <w:basedOn w:val="Fuentedeprrafopredeter"/>
    <w:uiPriority w:val="21"/>
    <w:qFormat/>
    <w:rsid w:val="0064294E"/>
    <w:rPr>
      <w:i/>
      <w:iCs/>
      <w:color w:val="0F4761" w:themeColor="accent1" w:themeShade="BF"/>
    </w:rPr>
  </w:style>
  <w:style w:type="paragraph" w:styleId="Citadestacada">
    <w:name w:val="Intense Quote"/>
    <w:basedOn w:val="Normal"/>
    <w:next w:val="Normal"/>
    <w:link w:val="CitadestacadaCar"/>
    <w:uiPriority w:val="30"/>
    <w:qFormat/>
    <w:rsid w:val="00642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94E"/>
    <w:rPr>
      <w:i/>
      <w:iCs/>
      <w:color w:val="0F4761" w:themeColor="accent1" w:themeShade="BF"/>
    </w:rPr>
  </w:style>
  <w:style w:type="character" w:styleId="Referenciaintensa">
    <w:name w:val="Intense Reference"/>
    <w:basedOn w:val="Fuentedeprrafopredeter"/>
    <w:uiPriority w:val="32"/>
    <w:qFormat/>
    <w:rsid w:val="006429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761</Words>
  <Characters>4447</Characters>
  <Application>Microsoft Office Word</Application>
  <DocSecurity>0</DocSecurity>
  <Lines>79</Lines>
  <Paragraphs>37</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babino</dc:creator>
  <cp:keywords/>
  <dc:description/>
  <cp:lastModifiedBy>luis babino</cp:lastModifiedBy>
  <cp:revision>1</cp:revision>
  <dcterms:created xsi:type="dcterms:W3CDTF">2026-06-28T14:07:00Z</dcterms:created>
  <dcterms:modified xsi:type="dcterms:W3CDTF">2026-06-28T14:08:00Z</dcterms:modified>
</cp:coreProperties>
</file>