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Fichas</w:t>
      </w:r>
      <w:r>
        <w:t xml:space="preserve"> </w:t>
      </w:r>
      <w:r>
        <w:t xml:space="preserve">metodológicas</w:t>
      </w:r>
      <w:r>
        <w:t xml:space="preserve"> </w:t>
      </w:r>
      <w:r>
        <w:t xml:space="preserve">·</w:t>
      </w:r>
      <w:r>
        <w:t xml:space="preserve"> </w:t>
      </w:r>
      <w:r>
        <w:t xml:space="preserve">Cinturón</w:t>
      </w:r>
      <w:r>
        <w:t xml:space="preserve"> </w:t>
      </w:r>
      <w:r>
        <w:t xml:space="preserve">Macroeconomía</w:t>
      </w:r>
    </w:p>
    <w:p>
      <w:pPr>
        <w:pStyle w:val="Subtitle"/>
      </w:pPr>
      <w:r>
        <w:t xml:space="preserve">Informe</w:t>
      </w:r>
      <w:r>
        <w:t xml:space="preserve"> </w:t>
      </w:r>
      <w:r>
        <w:t xml:space="preserve">de</w:t>
      </w:r>
      <w:r>
        <w:t xml:space="preserve"> </w:t>
      </w:r>
      <w:r>
        <w:t xml:space="preserve">Coyuntura</w:t>
      </w:r>
      <w:r>
        <w:t xml:space="preserve"> </w:t>
      </w:r>
      <w:r>
        <w:t xml:space="preserve">·</w:t>
      </w:r>
      <w:r>
        <w:t xml:space="preserve"> </w:t>
      </w:r>
      <w:r>
        <w:t xml:space="preserve">Capa</w:t>
      </w:r>
      <w:r>
        <w:t xml:space="preserve"> </w:t>
      </w:r>
      <w:r>
        <w:t xml:space="preserve">de</w:t>
      </w:r>
      <w:r>
        <w:t xml:space="preserve"> </w:t>
      </w:r>
      <w:r>
        <w:t xml:space="preserve">semáforo</w:t>
      </w:r>
      <w:r>
        <w:t xml:space="preserve"> </w:t>
      </w:r>
      <w:r>
        <w:t xml:space="preserve">(4</w:t>
      </w:r>
      <w:r>
        <w:t xml:space="preserve"> </w:t>
      </w:r>
      <w:r>
        <w:t xml:space="preserve">colores)</w:t>
      </w:r>
    </w:p>
    <w:p>
      <w:pPr>
        <w:pStyle w:val="Author"/>
      </w:pPr>
      <w:r>
        <w:t xml:space="preserve">Fundación</w:t>
      </w:r>
      <w:r>
        <w:t xml:space="preserve"> </w:t>
      </w:r>
      <w:r>
        <w:t xml:space="preserve">CIGOB</w:t>
      </w:r>
    </w:p>
    <w:p>
      <w:pPr>
        <w:pStyle w:val="FirstParagraph"/>
      </w:pPr>
      <w:r>
        <w:rPr>
          <w:bCs/>
          <w:b/>
        </w:rPr>
        <w:t xml:space="preserve">CIGOB · INFORME DE COYUNTURA</w:t>
      </w:r>
    </w:p>
    <w:bookmarkStart w:id="24" w:name="cinturón-macroeconomía-resumen"/>
    <w:p>
      <w:pPr>
        <w:pStyle w:val="Heading1"/>
        <w:keepNext/>
      </w:pPr>
      <w:r>
        <w:t xml:space="preserve">Cinturón Macroeconomía — resumen</w:t>
      </w:r>
    </w:p>
    <w:p>
      <w:pPr>
        <w:pStyle w:val="FirstParagraph"/>
      </w:pPr>
      <w:r>
        <w:t xml:space="preserve">Este documento tiene una ficha por indicador — son 17 en total, y cada una arranca en página nueva. Antes de las fichas, el cinturón completo de un vistazo.</w:t>
      </w:r>
    </w:p>
    <w:bookmarkStart w:id="20" w:name="cómo-se-define-el-color"/>
    <w:p>
      <w:pPr>
        <w:pStyle w:val="Heading2"/>
        <w:keepNext/>
      </w:pPr>
      <w:r>
        <w:t xml:space="preserve">Cómo se define el color</w:t>
      </w:r>
    </w:p>
    <w:p>
      <w:pPr>
        <w:pStyle w:val="FirstParagraph"/>
      </w:pPr>
      <w:r>
        <w:t xml:space="preserve">Todos los colores de este documento —el del índice, el de cada dimensión y el de cada indicador— salen de una sola escala: la</w:t>
      </w:r>
      <w:r>
        <w:t xml:space="preserve"> </w:t>
      </w:r>
      <w:r>
        <w:rPr>
          <w:bCs/>
          <w:b/>
        </w:rPr>
        <w:t xml:space="preserve">tensión de 0 a 10</w:t>
      </w:r>
      <w:r>
        <w:t xml:space="preserve"> </w:t>
      </w:r>
      <w:r>
        <w:t xml:space="preserve">que publica el informe. Se parte en cuatro tramos y esos tramos son los mismos para todo.</w:t>
      </w:r>
    </w:p>
    <w:p>
      <w:pPr>
        <w:pStyle w:val="BodyText"/>
        <w:spacing w:after="160"/>
      </w:pPr>
      <w:r>
        <w:t xml:space="preserve">El puntaje del ITCM y el de cada dimensión van de 0 a 100, donde 100 es la mejor situación. La tensión es su reflejo: (100 − puntaje) ÷ 10.</w:t>
      </w:r>
    </w:p>
    <w:tbl>
      <w:tblPr>
        <w:tblStyle w:val="Table"/>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3178"/>
        <w:gridCol w:w="3740"/>
        <w:gridCol w:w="2154"/>
      </w:tblGrid>
      <w:tr>
        <w:trPr>
          <w:cantSplit/>
          <w:tblHeader/>
        </w:trPr>
        <w:tc>
          <w:tcPr>
            <w:tcW w:w="3178" w:type="dxa"/>
            <w:shd w:val="clear" w:color="auto" w:fill="1F3A34"/>
          </w:tcPr>
          <w:p>
            <w:pPr>
              <w:pStyle w:val="Compact"/>
              <w:jc w:val="left"/>
            </w:pPr>
            <w:r>
              <w:rPr>
                <w:b/>
                <w:sz w:val="18"/>
                <w:color w:val="FFFFFF"/>
              </w:rPr>
              <w:t xml:space="preserve">Tensión</w:t>
            </w:r>
          </w:p>
        </w:tc>
        <w:tc>
          <w:tcPr>
            <w:tcW w:w="3740" w:type="dxa"/>
            <w:shd w:val="clear" w:color="auto" w:fill="1F3A34"/>
          </w:tcPr>
          <w:p>
            <w:pPr>
              <w:pStyle w:val="Compact"/>
              <w:jc w:val="left"/>
            </w:pPr>
            <w:r>
              <w:rPr>
                <w:b/>
                <w:sz w:val="18"/>
                <w:color w:val="FFFFFF"/>
              </w:rPr>
              <w:t xml:space="preserve">Puntaje del ITCM y de sus dimensiones (0 a 100)</w:t>
            </w:r>
          </w:p>
        </w:tc>
        <w:tc>
          <w:tcPr>
            <w:tcW w:w="2154" w:type="dxa"/>
            <w:shd w:val="clear" w:color="auto" w:fill="1F3A34"/>
          </w:tcPr>
          <w:p>
            <w:pPr>
              <w:pStyle w:val="Compact"/>
              <w:jc w:val="left"/>
            </w:pPr>
            <w:r>
              <w:rPr>
                <w:b/>
                <w:sz w:val="18"/>
                <w:color w:val="FFFFFF"/>
              </w:rPr>
              <w:t xml:space="preserve">Color</w:t>
            </w:r>
          </w:p>
        </w:tc>
      </w:tr>
      <w:tr>
        <w:trPr>
          <w:cantSplit/>
        </w:trPr>
        <w:tc>
          <w:tcPr>
            <w:tcW w:w="3178" w:type="dxa"/>
          </w:tcPr>
          <w:p>
            <w:pPr>
              <w:pStyle w:val="Compact"/>
              <w:jc w:val="left"/>
            </w:pPr>
            <w:r>
              <w:rPr>
                <w:sz w:val="18"/>
              </w:rPr>
              <w:t xml:space="preserve">hasta 4</w:t>
            </w:r>
          </w:p>
        </w:tc>
        <w:tc>
          <w:tcPr>
            <w:tcW w:w="3740" w:type="dxa"/>
          </w:tcPr>
          <w:p>
            <w:pPr>
              <w:pStyle w:val="Compact"/>
              <w:jc w:val="left"/>
            </w:pPr>
            <w:r>
              <w:rPr>
                <w:sz w:val="18"/>
              </w:rPr>
              <w:t xml:space="preserve">60 o más</w:t>
            </w:r>
          </w:p>
        </w:tc>
        <w:tc>
          <w:tcPr>
            <w:tcW w:w="2154" w:type="dxa"/>
            <w:shd w:val="clear" w:color="auto" w:fill="DCFCE7"/>
          </w:tcPr>
          <w:p>
            <w:pPr>
              <w:pStyle w:val="Compact"/>
              <w:jc w:val="center"/>
            </w:pPr>
            <w:r>
              <w:rPr>
                <w:b/>
                <w:sz w:val="18"/>
                <w:color w:val="14532D"/>
              </w:rPr>
              <w:t xml:space="preserve">VERDE</w:t>
            </w:r>
          </w:p>
        </w:tc>
      </w:tr>
      <w:tr>
        <w:trPr>
          <w:cantSplit/>
        </w:trPr>
        <w:tc>
          <w:tcPr>
            <w:tcW w:w="3178" w:type="dxa"/>
            <w:shd w:val="clear" w:color="auto" w:fill="F6F8F7"/>
          </w:tcPr>
          <w:p>
            <w:pPr>
              <w:pStyle w:val="Compact"/>
              <w:jc w:val="left"/>
            </w:pPr>
            <w:r>
              <w:rPr>
                <w:sz w:val="18"/>
              </w:rPr>
              <w:t xml:space="preserve">más de 4 y hasta 6</w:t>
            </w:r>
          </w:p>
        </w:tc>
        <w:tc>
          <w:tcPr>
            <w:tcW w:w="3740" w:type="dxa"/>
            <w:shd w:val="clear" w:color="auto" w:fill="F6F8F7"/>
          </w:tcPr>
          <w:p>
            <w:pPr>
              <w:pStyle w:val="Compact"/>
              <w:jc w:val="left"/>
            </w:pPr>
            <w:r>
              <w:rPr>
                <w:sz w:val="18"/>
              </w:rPr>
              <w:t xml:space="preserve">de 40 a 60</w:t>
            </w:r>
          </w:p>
        </w:tc>
        <w:tc>
          <w:tcPr>
            <w:tcW w:w="2154" w:type="dxa"/>
            <w:shd w:val="clear" w:color="auto" w:fill="FEF3C7"/>
          </w:tcPr>
          <w:p>
            <w:pPr>
              <w:pStyle w:val="Compact"/>
              <w:jc w:val="center"/>
            </w:pPr>
            <w:r>
              <w:rPr>
                <w:b/>
                <w:sz w:val="18"/>
                <w:color w:val="713F12"/>
              </w:rPr>
              <w:t xml:space="preserve">AMARILLO</w:t>
            </w:r>
          </w:p>
        </w:tc>
      </w:tr>
      <w:tr>
        <w:trPr>
          <w:cantSplit/>
        </w:trPr>
        <w:tc>
          <w:tcPr>
            <w:tcW w:w="3178" w:type="dxa"/>
          </w:tcPr>
          <w:p>
            <w:pPr>
              <w:pStyle w:val="Compact"/>
              <w:jc w:val="left"/>
            </w:pPr>
            <w:r>
              <w:rPr>
                <w:sz w:val="18"/>
              </w:rPr>
              <w:t xml:space="preserve">más de 6 y hasta 8</w:t>
            </w:r>
          </w:p>
        </w:tc>
        <w:tc>
          <w:tcPr>
            <w:tcW w:w="3740" w:type="dxa"/>
          </w:tcPr>
          <w:p>
            <w:pPr>
              <w:pStyle w:val="Compact"/>
              <w:jc w:val="left"/>
            </w:pPr>
            <w:r>
              <w:rPr>
                <w:sz w:val="18"/>
              </w:rPr>
              <w:t xml:space="preserve">de 20 a 40</w:t>
            </w:r>
          </w:p>
        </w:tc>
        <w:tc>
          <w:tcPr>
            <w:tcW w:w="2154" w:type="dxa"/>
            <w:shd w:val="clear" w:color="auto" w:fill="FFEDD5"/>
          </w:tcPr>
          <w:p>
            <w:pPr>
              <w:pStyle w:val="Compact"/>
              <w:jc w:val="center"/>
            </w:pPr>
            <w:r>
              <w:rPr>
                <w:b/>
                <w:sz w:val="18"/>
                <w:color w:val="7C2D12"/>
              </w:rPr>
              <w:t xml:space="preserve">NARANJA</w:t>
            </w:r>
          </w:p>
        </w:tc>
      </w:tr>
      <w:tr>
        <w:trPr>
          <w:cantSplit/>
        </w:trPr>
        <w:tc>
          <w:tcPr>
            <w:tcW w:w="3178" w:type="dxa"/>
            <w:shd w:val="clear" w:color="auto" w:fill="F6F8F7"/>
          </w:tcPr>
          <w:p>
            <w:pPr>
              <w:pStyle w:val="Compact"/>
              <w:jc w:val="left"/>
            </w:pPr>
            <w:r>
              <w:rPr>
                <w:sz w:val="18"/>
              </w:rPr>
              <w:t xml:space="preserve">más de 8</w:t>
            </w:r>
          </w:p>
        </w:tc>
        <w:tc>
          <w:tcPr>
            <w:tcW w:w="3740" w:type="dxa"/>
            <w:shd w:val="clear" w:color="auto" w:fill="F6F8F7"/>
          </w:tcPr>
          <w:p>
            <w:pPr>
              <w:pStyle w:val="Compact"/>
              <w:jc w:val="left"/>
            </w:pPr>
            <w:r>
              <w:rPr>
                <w:sz w:val="18"/>
              </w:rPr>
              <w:t xml:space="preserve">menos de 20</w:t>
            </w:r>
          </w:p>
        </w:tc>
        <w:tc>
          <w:tcPr>
            <w:tcW w:w="2154" w:type="dxa"/>
            <w:shd w:val="clear" w:color="auto" w:fill="FEE2E2"/>
          </w:tcPr>
          <w:p>
            <w:pPr>
              <w:pStyle w:val="Compact"/>
              <w:jc w:val="center"/>
            </w:pPr>
            <w:r>
              <w:rPr>
                <w:b/>
                <w:sz w:val="18"/>
                <w:color w:val="7F1D1D"/>
              </w:rPr>
              <w:t xml:space="preserve">ROJO</w:t>
            </w:r>
          </w:p>
        </w:tc>
      </w:tr>
    </w:tbl>
    <w:p>
      <w:pPr>
        <w:pStyle w:val="BodyText"/>
        <w:spacing w:before="200"/>
      </w:pPr>
      <w:r>
        <w:rPr>
          <w:bCs/>
          <w:b/>
        </w:rPr>
        <w:t xml:space="preserve">Cada indicador tiene además su propia tabla</w:t>
      </w:r>
      <w:r>
        <w:t xml:space="preserve">, en su unidad de medida —pesos, porcentaje, índice, lo que corresponda—, dentro de su ficha, bajo el título «Semáforo — valores que determinan el color». Ahí no hay ninguna escala intermedia: sólo el dato real y el color que le toca.</w:t>
      </w:r>
    </w:p>
    <w:p>
      <w:r>
        <w:br w:type="page"/>
      </w:r>
    </w:p>
    <w:p>
      <w:pPr>
        <w:pStyle w:val="BodyText"/>
      </w:pPr>
      <w:r>
        <w:rPr>
          <w:bCs/>
          <w:b/>
        </w:rPr>
        <w:t xml:space="preserve">CIGOB · INFORME DE COYUNTURA</w:t>
      </w:r>
    </w:p>
    <w:bookmarkEnd w:id="20"/>
    <w:bookmarkStart w:id="21" w:name="itcm-el-índice-del-cinturón"/>
    <w:p>
      <w:pPr>
        <w:pStyle w:val="Heading2"/>
        <w:keepNext/>
        <w:spacing w:after="160"/>
      </w:pPr>
      <w:r>
        <w:t xml:space="preserve">ITCM — el índice del cinturón</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1701"/>
        <w:gridCol w:w="1100"/>
        <w:gridCol w:w="2482"/>
        <w:gridCol w:w="3789"/>
      </w:tblGrid>
      <w:tr>
        <w:trPr>
          <w:cantSplit/>
        </w:trPr>
        <w:tc>
          <w:tcPr>
            <w:tcW w:w="1701" w:type="dxa"/>
          </w:tcPr>
          <w:p>
            <w:pPr>
              <w:pStyle w:val="Compact"/>
              <w:jc w:val="left"/>
            </w:pPr>
            <w:r>
              <w:rPr>
                <w:bCs/>
                <w:b/>
                <w:sz w:val="18"/>
              </w:rPr>
              <w:t xml:space="preserve">ITCM: 61,6</w:t>
            </w:r>
          </w:p>
        </w:tc>
        <w:tc>
          <w:tcPr>
            <w:tcW w:w="1100" w:type="dxa"/>
            <w:shd w:val="clear" w:color="auto" w:fill="DCFCE7"/>
          </w:tcPr>
          <w:p>
            <w:pPr>
              <w:pStyle w:val="Compact"/>
              <w:jc w:val="center"/>
            </w:pPr>
            <w:r>
              <w:rPr>
                <w:bCs/>
                <w:b/>
                <w:sz w:val="18"/>
                <w:color w:val="14532D"/>
              </w:rPr>
              <w:t xml:space="preserve">VERDE</w:t>
            </w:r>
          </w:p>
        </w:tc>
        <w:tc>
          <w:tcPr>
            <w:tcW w:w="2482" w:type="dxa"/>
          </w:tcPr>
          <w:p>
            <w:pPr>
              <w:pStyle w:val="Compact"/>
              <w:jc w:val="left"/>
            </w:pPr>
            <w:r>
              <w:rPr>
                <w:sz w:val="18"/>
              </w:rPr>
              <w:t xml:space="preserve">Moderadamente aflojado</w:t>
            </w:r>
          </w:p>
        </w:tc>
        <w:tc>
          <w:tcPr>
            <w:tcW w:w="3789" w:type="dxa"/>
          </w:tcPr>
          <w:p>
            <w:pPr>
              <w:pStyle w:val="Compact"/>
              <w:jc w:val="left"/>
            </w:pPr>
            <w:r>
              <w:rPr>
                <w:sz w:val="18"/>
              </w:rPr>
              <w:t xml:space="preserve">17 indicadores: 7 en verde · 7 en amarillo · 3 en naranja</w:t>
            </w:r>
          </w:p>
        </w:tc>
      </w:tr>
    </w:tbl>
    <w:bookmarkEnd w:id="21"/>
    <w:bookmarkStart w:id="22" w:name="dimensiones"/>
    <w:p>
      <w:pPr>
        <w:pStyle w:val="Heading2"/>
        <w:keepNext/>
        <w:spacing w:after="160"/>
      </w:pPr>
      <w:r>
        <w:t xml:space="preserve">Dimensiones</w:t>
      </w:r>
    </w:p>
    <w:tbl>
      <w:tblPr>
        <w:tblStyle w:val="Table"/>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2854"/>
        <w:gridCol w:w="3040"/>
        <w:gridCol w:w="1045"/>
        <w:gridCol w:w="1168"/>
        <w:gridCol w:w="965"/>
      </w:tblGrid>
      <w:tr>
        <w:trPr>
          <w:cantSplit/>
          <w:tblHeader/>
        </w:trPr>
        <w:tc>
          <w:tcPr>
            <w:tcW w:w="2854" w:type="dxa"/>
            <w:shd w:val="clear" w:color="auto" w:fill="1F3A34"/>
          </w:tcPr>
          <w:p>
            <w:pPr>
              <w:pStyle w:val="Compact"/>
              <w:jc w:val="left"/>
            </w:pPr>
            <w:r>
              <w:rPr>
                <w:b/>
                <w:sz w:val="18"/>
                <w:color w:val="FFFFFF"/>
              </w:rPr>
              <w:t xml:space="preserve">Dimensión</w:t>
            </w:r>
          </w:p>
        </w:tc>
        <w:tc>
          <w:tcPr>
            <w:tcW w:w="3040" w:type="dxa"/>
            <w:shd w:val="clear" w:color="auto" w:fill="1F3A34"/>
          </w:tcPr>
          <w:p>
            <w:pPr>
              <w:pStyle w:val="Compact"/>
              <w:jc w:val="left"/>
            </w:pPr>
            <w:r>
              <w:rPr>
                <w:b/>
                <w:sz w:val="18"/>
                <w:color w:val="FFFFFF"/>
              </w:rPr>
              <w:t xml:space="preserve">Qué mide</w:t>
            </w:r>
          </w:p>
        </w:tc>
        <w:tc>
          <w:tcPr>
            <w:tcW w:w="1045" w:type="dxa"/>
            <w:shd w:val="clear" w:color="auto" w:fill="1F3A34"/>
          </w:tcPr>
          <w:p>
            <w:pPr>
              <w:pStyle w:val="Compact"/>
              <w:jc w:val="left"/>
            </w:pPr>
            <w:r>
              <w:rPr>
                <w:b/>
                <w:sz w:val="18"/>
                <w:color w:val="FFFFFF"/>
              </w:rPr>
              <w:t xml:space="preserve">Puntaje</w:t>
            </w:r>
          </w:p>
        </w:tc>
        <w:tc>
          <w:tcPr>
            <w:tcW w:w="1168" w:type="dxa"/>
            <w:shd w:val="clear" w:color="auto" w:fill="1F3A34"/>
          </w:tcPr>
          <w:p>
            <w:pPr>
              <w:pStyle w:val="Compact"/>
              <w:jc w:val="left"/>
            </w:pPr>
            <w:r>
              <w:rPr>
                <w:b/>
                <w:sz w:val="18"/>
                <w:color w:val="FFFFFF"/>
              </w:rPr>
              <w:t xml:space="preserve">Color</w:t>
            </w:r>
          </w:p>
        </w:tc>
        <w:tc>
          <w:tcPr>
            <w:tcW w:w="965" w:type="dxa"/>
            <w:shd w:val="clear" w:color="auto" w:fill="1F3A34"/>
          </w:tcPr>
          <w:p>
            <w:pPr>
              <w:pStyle w:val="Compact"/>
              <w:jc w:val="left"/>
            </w:pPr>
            <w:r>
              <w:rPr>
                <w:b/>
                <w:sz w:val="18"/>
                <w:color w:val="FFFFFF"/>
              </w:rPr>
              <w:t xml:space="preserve">Peso</w:t>
            </w:r>
          </w:p>
        </w:tc>
      </w:tr>
      <w:tr>
        <w:trPr>
          <w:cantSplit/>
        </w:trPr>
        <w:tc>
          <w:tcPr>
            <w:tcW w:w="2854" w:type="dxa"/>
          </w:tcPr>
          <w:p>
            <w:pPr>
              <w:pStyle w:val="Compact"/>
              <w:jc w:val="left"/>
            </w:pPr>
            <w:r>
              <w:rPr>
                <w:sz w:val="18"/>
              </w:rPr>
              <w:t xml:space="preserve">Estabilidad monetaria-inflacionaria</w:t>
            </w:r>
          </w:p>
        </w:tc>
        <w:tc>
          <w:tcPr>
            <w:tcW w:w="3040" w:type="dxa"/>
          </w:tcPr>
          <w:p>
            <w:pPr>
              <w:pStyle w:val="Compact"/>
              <w:jc w:val="left"/>
            </w:pPr>
            <w:r>
              <w:rPr>
                <w:sz w:val="18"/>
              </w:rPr>
              <w:t xml:space="preserve">La estabilidad de la moneda desde cuatro señales complementarias.</w:t>
            </w:r>
          </w:p>
        </w:tc>
        <w:tc>
          <w:tcPr>
            <w:tcW w:w="1045" w:type="dxa"/>
          </w:tcPr>
          <w:p>
            <w:pPr>
              <w:pStyle w:val="Compact"/>
              <w:jc w:val="left"/>
            </w:pPr>
            <w:r>
              <w:rPr>
                <w:sz w:val="18"/>
              </w:rPr>
              <w:t xml:space="preserve">67,1</w:t>
            </w:r>
          </w:p>
        </w:tc>
        <w:tc>
          <w:tcPr>
            <w:tcW w:w="1168" w:type="dxa"/>
            <w:shd w:val="clear" w:color="auto" w:fill="DCFCE7"/>
          </w:tcPr>
          <w:p>
            <w:pPr>
              <w:pStyle w:val="Compact"/>
              <w:jc w:val="center"/>
            </w:pPr>
            <w:r>
              <w:rPr>
                <w:b/>
                <w:sz w:val="18"/>
                <w:color w:val="14532D"/>
              </w:rPr>
              <w:t xml:space="preserve">VERDE</w:t>
            </w:r>
          </w:p>
        </w:tc>
        <w:tc>
          <w:tcPr>
            <w:tcW w:w="965" w:type="dxa"/>
          </w:tcPr>
          <w:p>
            <w:pPr>
              <w:pStyle w:val="Compact"/>
              <w:jc w:val="left"/>
            </w:pPr>
            <w:r>
              <w:rPr>
                <w:sz w:val="18"/>
              </w:rPr>
              <w:t xml:space="preserve">26,0 %</w:t>
            </w:r>
          </w:p>
        </w:tc>
      </w:tr>
      <w:tr>
        <w:trPr>
          <w:cantSplit/>
        </w:trPr>
        <w:tc>
          <w:tcPr>
            <w:tcW w:w="2854" w:type="dxa"/>
            <w:shd w:val="clear" w:color="auto" w:fill="F6F8F7"/>
          </w:tcPr>
          <w:p>
            <w:pPr>
              <w:pStyle w:val="Compact"/>
              <w:jc w:val="left"/>
            </w:pPr>
            <w:r>
              <w:rPr>
                <w:sz w:val="18"/>
              </w:rPr>
              <w:t xml:space="preserve">Viabilidad fiscal-comercial</w:t>
            </w:r>
          </w:p>
        </w:tc>
        <w:tc>
          <w:tcPr>
            <w:tcW w:w="3040" w:type="dxa"/>
            <w:shd w:val="clear" w:color="auto" w:fill="F6F8F7"/>
          </w:tcPr>
          <w:p>
            <w:pPr>
              <w:pStyle w:val="Compact"/>
              <w:jc w:val="left"/>
            </w:pPr>
            <w:r>
              <w:rPr>
                <w:sz w:val="18"/>
              </w:rPr>
              <w:t xml:space="preserve">Si las cuentas cierran: la recaudación real (el sostén del ancla fiscal) y el saldo comercial (los dólares genuinos del intercambio).</w:t>
            </w:r>
          </w:p>
        </w:tc>
        <w:tc>
          <w:tcPr>
            <w:tcW w:w="1045" w:type="dxa"/>
            <w:shd w:val="clear" w:color="auto" w:fill="F6F8F7"/>
          </w:tcPr>
          <w:p>
            <w:pPr>
              <w:pStyle w:val="Compact"/>
              <w:jc w:val="left"/>
            </w:pPr>
            <w:r>
              <w:rPr>
                <w:sz w:val="18"/>
              </w:rPr>
              <w:t xml:space="preserve">71,0</w:t>
            </w:r>
          </w:p>
        </w:tc>
        <w:tc>
          <w:tcPr>
            <w:tcW w:w="1168" w:type="dxa"/>
            <w:shd w:val="clear" w:color="auto" w:fill="DCFCE7"/>
          </w:tcPr>
          <w:p>
            <w:pPr>
              <w:pStyle w:val="Compact"/>
              <w:jc w:val="center"/>
            </w:pPr>
            <w:r>
              <w:rPr>
                <w:b/>
                <w:sz w:val="18"/>
                <w:color w:val="14532D"/>
              </w:rPr>
              <w:t xml:space="preserve">VERDE</w:t>
            </w:r>
          </w:p>
        </w:tc>
        <w:tc>
          <w:tcPr>
            <w:tcW w:w="965" w:type="dxa"/>
            <w:shd w:val="clear" w:color="auto" w:fill="F6F8F7"/>
          </w:tcPr>
          <w:p>
            <w:pPr>
              <w:pStyle w:val="Compact"/>
              <w:jc w:val="left"/>
            </w:pPr>
            <w:r>
              <w:rPr>
                <w:sz w:val="18"/>
              </w:rPr>
              <w:t xml:space="preserve">24,0 %</w:t>
            </w:r>
          </w:p>
        </w:tc>
      </w:tr>
      <w:tr>
        <w:trPr>
          <w:cantSplit/>
        </w:trPr>
        <w:tc>
          <w:tcPr>
            <w:tcW w:w="2854" w:type="dxa"/>
          </w:tcPr>
          <w:p>
            <w:pPr>
              <w:pStyle w:val="Compact"/>
              <w:jc w:val="left"/>
            </w:pPr>
            <w:r>
              <w:rPr>
                <w:sz w:val="18"/>
              </w:rPr>
              <w:t xml:space="preserve">Capacidad y costo del financiamiento</w:t>
            </w:r>
          </w:p>
        </w:tc>
        <w:tc>
          <w:tcPr>
            <w:tcW w:w="3040" w:type="dxa"/>
          </w:tcPr>
          <w:p>
            <w:pPr>
              <w:pStyle w:val="Compact"/>
              <w:jc w:val="left"/>
            </w:pPr>
            <w:r>
              <w:rPr>
                <w:sz w:val="18"/>
              </w:rPr>
              <w:t xml:space="preserve">Si hay combustible para la economía: reservas netas (el respaldo externo), capacidad prestable del sistema financiero (IdC) y crédito real efectivamente otorgado.</w:t>
            </w:r>
          </w:p>
        </w:tc>
        <w:tc>
          <w:tcPr>
            <w:tcW w:w="1045" w:type="dxa"/>
          </w:tcPr>
          <w:p>
            <w:pPr>
              <w:pStyle w:val="Compact"/>
              <w:jc w:val="left"/>
            </w:pPr>
            <w:r>
              <w:rPr>
                <w:sz w:val="18"/>
              </w:rPr>
              <w:t xml:space="preserve">54,8</w:t>
            </w:r>
          </w:p>
        </w:tc>
        <w:tc>
          <w:tcPr>
            <w:tcW w:w="1168" w:type="dxa"/>
            <w:shd w:val="clear" w:color="auto" w:fill="FEF3C7"/>
          </w:tcPr>
          <w:p>
            <w:pPr>
              <w:pStyle w:val="Compact"/>
              <w:jc w:val="center"/>
            </w:pPr>
            <w:r>
              <w:rPr>
                <w:b/>
                <w:sz w:val="18"/>
                <w:color w:val="713F12"/>
              </w:rPr>
              <w:t xml:space="preserve">AMARILLO</w:t>
            </w:r>
          </w:p>
        </w:tc>
        <w:tc>
          <w:tcPr>
            <w:tcW w:w="965" w:type="dxa"/>
          </w:tcPr>
          <w:p>
            <w:pPr>
              <w:pStyle w:val="Compact"/>
              <w:jc w:val="left"/>
            </w:pPr>
            <w:r>
              <w:rPr>
                <w:sz w:val="18"/>
              </w:rPr>
              <w:t xml:space="preserve">16,0 %</w:t>
            </w:r>
          </w:p>
        </w:tc>
      </w:tr>
      <w:tr>
        <w:trPr>
          <w:cantSplit/>
        </w:trPr>
        <w:tc>
          <w:tcPr>
            <w:tcW w:w="2854" w:type="dxa"/>
            <w:shd w:val="clear" w:color="auto" w:fill="F6F8F7"/>
          </w:tcPr>
          <w:p>
            <w:pPr>
              <w:pStyle w:val="Compact"/>
              <w:jc w:val="left"/>
            </w:pPr>
            <w:r>
              <w:rPr>
                <w:sz w:val="18"/>
              </w:rPr>
              <w:t xml:space="preserve">Inversión</w:t>
            </w:r>
          </w:p>
        </w:tc>
        <w:tc>
          <w:tcPr>
            <w:tcW w:w="3040" w:type="dxa"/>
            <w:shd w:val="clear" w:color="auto" w:fill="F6F8F7"/>
          </w:tcPr>
          <w:p>
            <w:pPr>
              <w:pStyle w:val="Compact"/>
              <w:jc w:val="left"/>
            </w:pPr>
            <w:r>
              <w:rPr>
                <w:sz w:val="18"/>
              </w:rPr>
              <w:t xml:space="preserve">Si alguien está apostando al futuro: inversión física (construcción, bienes de capital) y capitalización digital e intangible.</w:t>
            </w:r>
          </w:p>
        </w:tc>
        <w:tc>
          <w:tcPr>
            <w:tcW w:w="1045" w:type="dxa"/>
            <w:shd w:val="clear" w:color="auto" w:fill="F6F8F7"/>
          </w:tcPr>
          <w:p>
            <w:pPr>
              <w:pStyle w:val="Compact"/>
              <w:jc w:val="left"/>
            </w:pPr>
            <w:r>
              <w:rPr>
                <w:sz w:val="18"/>
              </w:rPr>
              <w:t xml:space="preserve">64,9</w:t>
            </w:r>
          </w:p>
        </w:tc>
        <w:tc>
          <w:tcPr>
            <w:tcW w:w="1168" w:type="dxa"/>
            <w:shd w:val="clear" w:color="auto" w:fill="DCFCE7"/>
          </w:tcPr>
          <w:p>
            <w:pPr>
              <w:pStyle w:val="Compact"/>
              <w:jc w:val="center"/>
            </w:pPr>
            <w:r>
              <w:rPr>
                <w:b/>
                <w:sz w:val="18"/>
                <w:color w:val="14532D"/>
              </w:rPr>
              <w:t xml:space="preserve">VERDE</w:t>
            </w:r>
          </w:p>
        </w:tc>
        <w:tc>
          <w:tcPr>
            <w:tcW w:w="965" w:type="dxa"/>
            <w:shd w:val="clear" w:color="auto" w:fill="F6F8F7"/>
          </w:tcPr>
          <w:p>
            <w:pPr>
              <w:pStyle w:val="Compact"/>
              <w:jc w:val="left"/>
            </w:pPr>
            <w:r>
              <w:rPr>
                <w:sz w:val="18"/>
              </w:rPr>
              <w:t xml:space="preserve">12,0 %</w:t>
            </w:r>
          </w:p>
        </w:tc>
      </w:tr>
      <w:tr>
        <w:trPr>
          <w:cantSplit/>
        </w:trPr>
        <w:tc>
          <w:tcPr>
            <w:tcW w:w="2854" w:type="dxa"/>
          </w:tcPr>
          <w:p>
            <w:pPr>
              <w:pStyle w:val="Compact"/>
              <w:jc w:val="left"/>
            </w:pPr>
            <w:r>
              <w:rPr>
                <w:sz w:val="18"/>
              </w:rPr>
              <w:t xml:space="preserve">Actividad económica</w:t>
            </w:r>
          </w:p>
        </w:tc>
        <w:tc>
          <w:tcPr>
            <w:tcW w:w="3040" w:type="dxa"/>
          </w:tcPr>
          <w:p>
            <w:pPr>
              <w:pStyle w:val="Compact"/>
              <w:jc w:val="left"/>
            </w:pPr>
            <w:r>
              <w:rPr>
                <w:sz w:val="18"/>
              </w:rPr>
              <w:t xml:space="preserve">Si la economía crece o se contrae: el EMAE interanual como pulso general de la actividad.</w:t>
            </w:r>
          </w:p>
        </w:tc>
        <w:tc>
          <w:tcPr>
            <w:tcW w:w="1045" w:type="dxa"/>
          </w:tcPr>
          <w:p>
            <w:pPr>
              <w:pStyle w:val="Compact"/>
              <w:jc w:val="left"/>
            </w:pPr>
            <w:r>
              <w:rPr>
                <w:sz w:val="18"/>
              </w:rPr>
              <w:t xml:space="preserve">46,7</w:t>
            </w:r>
          </w:p>
        </w:tc>
        <w:tc>
          <w:tcPr>
            <w:tcW w:w="1168" w:type="dxa"/>
            <w:shd w:val="clear" w:color="auto" w:fill="FEF3C7"/>
          </w:tcPr>
          <w:p>
            <w:pPr>
              <w:pStyle w:val="Compact"/>
              <w:jc w:val="center"/>
            </w:pPr>
            <w:r>
              <w:rPr>
                <w:b/>
                <w:sz w:val="18"/>
                <w:color w:val="713F12"/>
              </w:rPr>
              <w:t xml:space="preserve">AMARILLO</w:t>
            </w:r>
          </w:p>
        </w:tc>
        <w:tc>
          <w:tcPr>
            <w:tcW w:w="965" w:type="dxa"/>
          </w:tcPr>
          <w:p>
            <w:pPr>
              <w:pStyle w:val="Compact"/>
              <w:jc w:val="left"/>
            </w:pPr>
            <w:r>
              <w:rPr>
                <w:sz w:val="18"/>
              </w:rPr>
              <w:t xml:space="preserve">11,0 %</w:t>
            </w:r>
          </w:p>
        </w:tc>
      </w:tr>
      <w:tr>
        <w:trPr>
          <w:cantSplit/>
        </w:trPr>
        <w:tc>
          <w:tcPr>
            <w:tcW w:w="2854" w:type="dxa"/>
            <w:shd w:val="clear" w:color="auto" w:fill="F6F8F7"/>
          </w:tcPr>
          <w:p>
            <w:pPr>
              <w:pStyle w:val="Compact"/>
              <w:jc w:val="left"/>
            </w:pPr>
            <w:r>
              <w:rPr>
                <w:sz w:val="18"/>
              </w:rPr>
              <w:t xml:space="preserve">Competitividad externa</w:t>
            </w:r>
          </w:p>
        </w:tc>
        <w:tc>
          <w:tcPr>
            <w:tcW w:w="3040" w:type="dxa"/>
            <w:shd w:val="clear" w:color="auto" w:fill="F6F8F7"/>
          </w:tcPr>
          <w:p>
            <w:pPr>
              <w:pStyle w:val="Compact"/>
              <w:jc w:val="left"/>
            </w:pPr>
            <w:r>
              <w:rPr>
                <w:sz w:val="18"/>
              </w:rPr>
              <w:t xml:space="preserve">Si el tipo de cambio real alcanza para competir: el ITCRM oficial del BCRA contra su propia historia.</w:t>
            </w:r>
          </w:p>
        </w:tc>
        <w:tc>
          <w:tcPr>
            <w:tcW w:w="1045" w:type="dxa"/>
            <w:shd w:val="clear" w:color="auto" w:fill="F6F8F7"/>
          </w:tcPr>
          <w:p>
            <w:pPr>
              <w:pStyle w:val="Compact"/>
              <w:jc w:val="left"/>
            </w:pPr>
            <w:r>
              <w:rPr>
                <w:sz w:val="18"/>
              </w:rPr>
              <w:t xml:space="preserve">49,5</w:t>
            </w:r>
          </w:p>
        </w:tc>
        <w:tc>
          <w:tcPr>
            <w:tcW w:w="1168" w:type="dxa"/>
            <w:shd w:val="clear" w:color="auto" w:fill="FEF3C7"/>
          </w:tcPr>
          <w:p>
            <w:pPr>
              <w:pStyle w:val="Compact"/>
              <w:jc w:val="center"/>
            </w:pPr>
            <w:r>
              <w:rPr>
                <w:b/>
                <w:sz w:val="18"/>
                <w:color w:val="713F12"/>
              </w:rPr>
              <w:t xml:space="preserve">AMARILLO</w:t>
            </w:r>
          </w:p>
        </w:tc>
        <w:tc>
          <w:tcPr>
            <w:tcW w:w="965" w:type="dxa"/>
            <w:shd w:val="clear" w:color="auto" w:fill="F6F8F7"/>
          </w:tcPr>
          <w:p>
            <w:pPr>
              <w:pStyle w:val="Compact"/>
              <w:jc w:val="left"/>
            </w:pPr>
            <w:r>
              <w:rPr>
                <w:sz w:val="18"/>
              </w:rPr>
              <w:t xml:space="preserve">11,0 %</w:t>
            </w:r>
          </w:p>
        </w:tc>
      </w:tr>
    </w:tbl>
    <w:p>
      <w:pPr>
        <w:spacing w:before="200"/>
      </w:pPr>
      <w:r>
        <w:br w:type="page"/>
      </w:r>
    </w:p>
    <w:p>
      <w:pPr>
        <w:pStyle w:val="BodyText"/>
      </w:pPr>
      <w:r>
        <w:rPr>
          <w:bCs/>
          <w:b/>
        </w:rPr>
        <w:t xml:space="preserve">CIGOB · INFORME DE COYUNTURA</w:t>
      </w:r>
    </w:p>
    <w:bookmarkEnd w:id="22"/>
    <w:bookmarkStart w:id="23" w:name="todos-los-indicadores"/>
    <w:p>
      <w:pPr>
        <w:pStyle w:val="Heading2"/>
        <w:keepNext/>
      </w:pPr>
      <w:r>
        <w:t xml:space="preserve">Todos los indicadores</w:t>
      </w:r>
    </w:p>
    <w:p>
      <w:pPr>
        <w:pStyle w:val="FirstParagraph"/>
        <w:spacing w:after="160"/>
      </w:pPr>
      <w:r>
        <w:t xml:space="preserve">Agrupados por dimensión. La columna de peso dice cuánto mueve cada indicador el índice del cinturón; el color es el del semáforo de este mes.</w:t>
      </w:r>
    </w:p>
    <w:tbl>
      <w:tblPr>
        <w:tblStyle w:val="Table"/>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2887"/>
        <w:gridCol w:w="2321"/>
        <w:gridCol w:w="1780"/>
        <w:gridCol w:w="1145"/>
        <w:gridCol w:w="939"/>
      </w:tblGrid>
      <w:tr>
        <w:trPr>
          <w:cantSplit/>
          <w:tblHeader/>
        </w:trPr>
        <w:tc>
          <w:tcPr>
            <w:tcW w:w="2887" w:type="dxa"/>
            <w:shd w:val="clear" w:color="auto" w:fill="1F3A34"/>
          </w:tcPr>
          <w:p>
            <w:pPr>
              <w:pStyle w:val="Compact"/>
              <w:jc w:val="left"/>
            </w:pPr>
            <w:r>
              <w:rPr>
                <w:b/>
                <w:sz w:val="18"/>
                <w:color w:val="FFFFFF"/>
              </w:rPr>
              <w:t xml:space="preserve">Indicador</w:t>
            </w:r>
          </w:p>
        </w:tc>
        <w:tc>
          <w:tcPr>
            <w:tcW w:w="2321" w:type="dxa"/>
            <w:shd w:val="clear" w:color="auto" w:fill="1F3A34"/>
          </w:tcPr>
          <w:p>
            <w:pPr>
              <w:pStyle w:val="Compact"/>
              <w:jc w:val="left"/>
            </w:pPr>
            <w:r>
              <w:rPr>
                <w:b/>
                <w:sz w:val="18"/>
                <w:color w:val="FFFFFF"/>
              </w:rPr>
              <w:t xml:space="preserve">Qué mide</w:t>
            </w:r>
          </w:p>
        </w:tc>
        <w:tc>
          <w:tcPr>
            <w:tcW w:w="1780" w:type="dxa"/>
            <w:shd w:val="clear" w:color="auto" w:fill="1F3A34"/>
          </w:tcPr>
          <w:p>
            <w:pPr>
              <w:pStyle w:val="Compact"/>
              <w:jc w:val="left"/>
            </w:pPr>
            <w:r>
              <w:rPr>
                <w:b/>
                <w:sz w:val="18"/>
                <w:color w:val="FFFFFF"/>
              </w:rPr>
              <w:t xml:space="preserve">Hoy</w:t>
            </w:r>
          </w:p>
        </w:tc>
        <w:tc>
          <w:tcPr>
            <w:tcW w:w="1145" w:type="dxa"/>
            <w:shd w:val="clear" w:color="auto" w:fill="1F3A34"/>
          </w:tcPr>
          <w:p>
            <w:pPr>
              <w:pStyle w:val="Compact"/>
              <w:jc w:val="left"/>
            </w:pPr>
            <w:r>
              <w:rPr>
                <w:b/>
                <w:sz w:val="18"/>
                <w:color w:val="FFFFFF"/>
              </w:rPr>
              <w:t xml:space="preserve">Color</w:t>
            </w:r>
          </w:p>
        </w:tc>
        <w:tc>
          <w:tcPr>
            <w:tcW w:w="939" w:type="dxa"/>
            <w:shd w:val="clear" w:color="auto" w:fill="1F3A34"/>
          </w:tcPr>
          <w:p>
            <w:pPr>
              <w:pStyle w:val="Compact"/>
              <w:jc w:val="left"/>
            </w:pPr>
            <w:r>
              <w:rPr>
                <w:b/>
                <w:sz w:val="18"/>
                <w:color w:val="FFFFFF"/>
              </w:rPr>
              <w:t xml:space="preserve">Peso en el ITCM</w:t>
            </w:r>
          </w:p>
        </w:tc>
      </w:tr>
      <w:tr>
        <w:trPr>
          <w:cantSplit/>
        </w:trPr>
        <w:tc>
          <w:tcPr>
            <w:tcW w:w="9072" w:type="dxa"/>
            <w:gridSpan w:val="5"/>
            <w:shd w:val="clear" w:color="auto" w:fill="E8EDEB"/>
          </w:tcPr>
          <w:p>
            <w:pPr>
              <w:pStyle w:val="Compact"/>
              <w:jc w:val="left"/>
              <w:keepNext/>
            </w:pPr>
            <w:r>
              <w:rPr>
                <w:b/>
                <w:sz w:val="18"/>
              </w:rPr>
              <w:t>Estabilidad monetaria-inflacionaria</w:t>
            </w:r>
          </w:p>
        </w:tc>
      </w:tr>
      <w:tr>
        <w:trPr>
          <w:cantSplit/>
        </w:trPr>
        <w:tc>
          <w:tcPr>
            <w:tcW w:w="2887" w:type="dxa"/>
            <w:shd w:val="clear" w:color="auto" w:fill="F6F8F7"/>
          </w:tcPr>
          <w:p>
            <w:pPr>
              <w:pStyle w:val="Compact"/>
              <w:jc w:val="left"/>
            </w:pPr>
            <w:r>
              <w:rPr>
                <w:sz w:val="18"/>
              </w:rPr>
              <w:t xml:space="preserve">Inflación mensual (IPC)</w:t>
            </w:r>
          </w:p>
        </w:tc>
        <w:tc>
          <w:tcPr>
            <w:tcW w:w="2321" w:type="dxa"/>
            <w:shd w:val="clear" w:color="auto" w:fill="F6F8F7"/>
          </w:tcPr>
          <w:p>
            <w:pPr>
              <w:pStyle w:val="Compact"/>
              <w:jc w:val="left"/>
            </w:pPr>
            <w:r>
              <w:rPr>
                <w:sz w:val="18"/>
              </w:rPr>
              <w:t xml:space="preserve">Cuánto suben en el mes los precios al consumidor en general.</w:t>
            </w:r>
          </w:p>
        </w:tc>
        <w:tc>
          <w:tcPr>
            <w:tcW w:w="1780" w:type="dxa"/>
            <w:shd w:val="clear" w:color="auto" w:fill="F6F8F7"/>
          </w:tcPr>
          <w:p>
            <w:pPr>
              <w:pStyle w:val="Compact"/>
              <w:jc w:val="left"/>
            </w:pPr>
            <w:r>
              <w:rPr>
                <w:sz w:val="18"/>
              </w:rPr>
              <w:t xml:space="preserve">1,89 % mensual</w:t>
            </w:r>
          </w:p>
        </w:tc>
        <w:tc>
          <w:tcPr>
            <w:tcW w:w="1145" w:type="dxa"/>
            <w:shd w:val="clear" w:color="auto" w:fill="DCFCE7"/>
          </w:tcPr>
          <w:p>
            <w:pPr>
              <w:pStyle w:val="Compact"/>
              <w:jc w:val="center"/>
            </w:pPr>
            <w:r>
              <w:rPr>
                <w:b/>
                <w:sz w:val="18"/>
                <w:color w:val="14532D"/>
              </w:rPr>
              <w:t xml:space="preserve">VERDE</w:t>
            </w:r>
          </w:p>
        </w:tc>
        <w:tc>
          <w:tcPr>
            <w:tcW w:w="939" w:type="dxa"/>
            <w:shd w:val="clear" w:color="auto" w:fill="F6F8F7"/>
          </w:tcPr>
          <w:p>
            <w:pPr>
              <w:pStyle w:val="Compact"/>
              <w:jc w:val="left"/>
            </w:pPr>
            <w:r>
              <w:rPr>
                <w:sz w:val="18"/>
              </w:rPr>
              <w:t xml:space="preserve">10,4 %</w:t>
            </w:r>
          </w:p>
        </w:tc>
      </w:tr>
      <w:tr>
        <w:trPr>
          <w:cantSplit/>
        </w:trPr>
        <w:tc>
          <w:tcPr>
            <w:tcW w:w="2887" w:type="dxa"/>
          </w:tcPr>
          <w:p>
            <w:pPr>
              <w:pStyle w:val="Compact"/>
              <w:jc w:val="left"/>
            </w:pPr>
            <w:r>
              <w:rPr>
                <w:sz w:val="18"/>
              </w:rPr>
              <w:t xml:space="preserve">Expectativas inflación (REM 12m)</w:t>
            </w:r>
          </w:p>
        </w:tc>
        <w:tc>
          <w:tcPr>
            <w:tcW w:w="2321" w:type="dxa"/>
          </w:tcPr>
          <w:p>
            <w:pPr>
              <w:pStyle w:val="Compact"/>
              <w:jc w:val="left"/>
            </w:pPr>
            <w:r>
              <w:rPr>
                <w:sz w:val="18"/>
              </w:rPr>
              <w:t xml:space="preserve">La inflación que el mercado espera para los próximos 12 meses.</w:t>
            </w:r>
          </w:p>
        </w:tc>
        <w:tc>
          <w:tcPr>
            <w:tcW w:w="1780" w:type="dxa"/>
          </w:tcPr>
          <w:p>
            <w:pPr>
              <w:pStyle w:val="Compact"/>
              <w:jc w:val="left"/>
            </w:pPr>
            <w:r>
              <w:rPr>
                <w:sz w:val="18"/>
              </w:rPr>
              <w:t xml:space="preserve">21,8 % anual esperado</w:t>
            </w:r>
          </w:p>
        </w:tc>
        <w:tc>
          <w:tcPr>
            <w:tcW w:w="1145" w:type="dxa"/>
            <w:shd w:val="clear" w:color="auto" w:fill="DCFCE7"/>
          </w:tcPr>
          <w:p>
            <w:pPr>
              <w:pStyle w:val="Compact"/>
              <w:jc w:val="center"/>
            </w:pPr>
            <w:r>
              <w:rPr>
                <w:b/>
                <w:sz w:val="18"/>
                <w:color w:val="14532D"/>
              </w:rPr>
              <w:t xml:space="preserve">VERDE</w:t>
            </w:r>
          </w:p>
        </w:tc>
        <w:tc>
          <w:tcPr>
            <w:tcW w:w="939" w:type="dxa"/>
          </w:tcPr>
          <w:p>
            <w:pPr>
              <w:pStyle w:val="Compact"/>
              <w:jc w:val="left"/>
            </w:pPr>
            <w:r>
              <w:rPr>
                <w:sz w:val="18"/>
              </w:rPr>
              <w:t xml:space="preserve">6,5 %</w:t>
            </w:r>
          </w:p>
        </w:tc>
      </w:tr>
      <w:tr>
        <w:trPr>
          <w:cantSplit/>
        </w:trPr>
        <w:tc>
          <w:tcPr>
            <w:tcW w:w="2887" w:type="dxa"/>
            <w:shd w:val="clear" w:color="auto" w:fill="F6F8F7"/>
          </w:tcPr>
          <w:p>
            <w:pPr>
              <w:pStyle w:val="Compact"/>
              <w:jc w:val="left"/>
            </w:pPr>
            <w:r>
              <w:rPr>
                <w:sz w:val="18"/>
              </w:rPr>
              <w:t xml:space="preserve">Desequilibrio monetario (IDM)</w:t>
            </w:r>
          </w:p>
        </w:tc>
        <w:tc>
          <w:tcPr>
            <w:tcW w:w="2321" w:type="dxa"/>
            <w:shd w:val="clear" w:color="auto" w:fill="F6F8F7"/>
          </w:tcPr>
          <w:p>
            <w:pPr>
              <w:pStyle w:val="Compact"/>
              <w:jc w:val="left"/>
            </w:pPr>
            <w:r>
              <w:rPr>
                <w:sz w:val="18"/>
              </w:rPr>
              <w:t xml:space="preserve">Índice de Desequilibrio Monetario.</w:t>
            </w:r>
          </w:p>
        </w:tc>
        <w:tc>
          <w:tcPr>
            <w:tcW w:w="1780" w:type="dxa"/>
            <w:shd w:val="clear" w:color="auto" w:fill="F6F8F7"/>
          </w:tcPr>
          <w:p>
            <w:pPr>
              <w:pStyle w:val="Compact"/>
              <w:jc w:val="left"/>
            </w:pPr>
            <w:r>
              <w:rPr>
                <w:sz w:val="18"/>
              </w:rPr>
              <w:t xml:space="preserve">6,24 pp (brecha i.a. real)</w:t>
            </w:r>
          </w:p>
        </w:tc>
        <w:tc>
          <w:tcPr>
            <w:tcW w:w="1145" w:type="dxa"/>
            <w:shd w:val="clear" w:color="auto" w:fill="FFEDD5"/>
          </w:tcPr>
          <w:p>
            <w:pPr>
              <w:pStyle w:val="Compact"/>
              <w:jc w:val="center"/>
            </w:pPr>
            <w:r>
              <w:rPr>
                <w:b/>
                <w:sz w:val="18"/>
                <w:color w:val="7C2D12"/>
              </w:rPr>
              <w:t xml:space="preserve">NARANJA</w:t>
            </w:r>
          </w:p>
        </w:tc>
        <w:tc>
          <w:tcPr>
            <w:tcW w:w="939" w:type="dxa"/>
            <w:shd w:val="clear" w:color="auto" w:fill="F6F8F7"/>
          </w:tcPr>
          <w:p>
            <w:pPr>
              <w:pStyle w:val="Compact"/>
              <w:jc w:val="left"/>
            </w:pPr>
            <w:r>
              <w:rPr>
                <w:sz w:val="18"/>
              </w:rPr>
              <w:t xml:space="preserve">6,5 %</w:t>
            </w:r>
          </w:p>
        </w:tc>
      </w:tr>
      <w:tr>
        <w:trPr>
          <w:cantSplit/>
        </w:trPr>
        <w:tc>
          <w:tcPr>
            <w:tcW w:w="2887" w:type="dxa"/>
          </w:tcPr>
          <w:p>
            <w:pPr>
              <w:pStyle w:val="Compact"/>
              <w:jc w:val="left"/>
            </w:pPr>
            <w:r>
              <w:rPr>
                <w:sz w:val="18"/>
              </w:rPr>
              <w:t xml:space="preserve">Presión de dolarización de carteras</w:t>
            </w:r>
          </w:p>
        </w:tc>
        <w:tc>
          <w:tcPr>
            <w:tcW w:w="2321" w:type="dxa"/>
          </w:tcPr>
          <w:p>
            <w:pPr>
              <w:pStyle w:val="Compact"/>
              <w:jc w:val="left"/>
            </w:pPr>
            <w:r>
              <w:rPr>
                <w:sz w:val="18"/>
              </w:rPr>
              <w:t xml:space="preserve">Una medida de 0 a 100 de la presión por salir del peso.</w:t>
            </w:r>
          </w:p>
        </w:tc>
        <w:tc>
          <w:tcPr>
            <w:tcW w:w="1780" w:type="dxa"/>
          </w:tcPr>
          <w:p>
            <w:pPr>
              <w:pStyle w:val="Compact"/>
              <w:jc w:val="left"/>
            </w:pPr>
            <w:r>
              <w:rPr>
                <w:sz w:val="18"/>
              </w:rPr>
              <w:t xml:space="preserve">45,53 pts (0-100)</w:t>
            </w:r>
          </w:p>
        </w:tc>
        <w:tc>
          <w:tcPr>
            <w:tcW w:w="1145" w:type="dxa"/>
            <w:shd w:val="clear" w:color="auto" w:fill="DCFCE7"/>
          </w:tcPr>
          <w:p>
            <w:pPr>
              <w:pStyle w:val="Compact"/>
              <w:jc w:val="center"/>
            </w:pPr>
            <w:r>
              <w:rPr>
                <w:b/>
                <w:sz w:val="18"/>
                <w:color w:val="14532D"/>
              </w:rPr>
              <w:t xml:space="preserve">VERDE</w:t>
            </w:r>
          </w:p>
        </w:tc>
        <w:tc>
          <w:tcPr>
            <w:tcW w:w="939" w:type="dxa"/>
          </w:tcPr>
          <w:p>
            <w:pPr>
              <w:pStyle w:val="Compact"/>
              <w:jc w:val="left"/>
            </w:pPr>
            <w:r>
              <w:rPr>
                <w:sz w:val="18"/>
              </w:rPr>
              <w:t xml:space="preserve">2,6 %</w:t>
            </w:r>
          </w:p>
        </w:tc>
      </w:tr>
      <w:tr>
        <w:trPr>
          <w:cantSplit/>
        </w:trPr>
        <w:tc>
          <w:tcPr>
            <w:tcW w:w="9072" w:type="dxa"/>
            <w:gridSpan w:val="5"/>
            <w:shd w:val="clear" w:color="auto" w:fill="E8EDEB"/>
          </w:tcPr>
          <w:p>
            <w:pPr>
              <w:pStyle w:val="Compact"/>
              <w:jc w:val="left"/>
              <w:keepNext/>
            </w:pPr>
            <w:r>
              <w:rPr>
                <w:b/>
                <w:sz w:val="18"/>
              </w:rPr>
              <w:t>Viabilidad fiscal-comercial</w:t>
            </w:r>
          </w:p>
        </w:tc>
      </w:tr>
      <w:tr>
        <w:trPr>
          <w:cantSplit/>
        </w:trPr>
        <w:tc>
          <w:tcPr>
            <w:tcW w:w="2887" w:type="dxa"/>
          </w:tcPr>
          <w:p>
            <w:pPr>
              <w:pStyle w:val="Compact"/>
              <w:jc w:val="left"/>
            </w:pPr>
            <w:r>
              <w:rPr>
                <w:sz w:val="18"/>
              </w:rPr>
              <w:t xml:space="preserve">Saldo comercial 12m</w:t>
            </w:r>
          </w:p>
        </w:tc>
        <w:tc>
          <w:tcPr>
            <w:tcW w:w="2321" w:type="dxa"/>
          </w:tcPr>
          <w:p>
            <w:pPr>
              <w:pStyle w:val="Compact"/>
              <w:jc w:val="left"/>
            </w:pPr>
            <w:r>
              <w:rPr>
                <w:sz w:val="18"/>
              </w:rPr>
              <w:t xml:space="preserve">El balance entre lo que el país exporta y lo que importa, acumulado en los últimos 12 meses.</w:t>
            </w:r>
          </w:p>
        </w:tc>
        <w:tc>
          <w:tcPr>
            <w:tcW w:w="1780" w:type="dxa"/>
          </w:tcPr>
          <w:p>
            <w:pPr>
              <w:pStyle w:val="Compact"/>
              <w:jc w:val="left"/>
            </w:pPr>
            <w:r>
              <w:rPr>
                <w:sz w:val="18"/>
              </w:rPr>
              <w:t xml:space="preserve">22.481 Millones de USD (acum. 12 meses)</w:t>
            </w:r>
          </w:p>
        </w:tc>
        <w:tc>
          <w:tcPr>
            <w:tcW w:w="1145" w:type="dxa"/>
            <w:shd w:val="clear" w:color="auto" w:fill="DCFCE7"/>
          </w:tcPr>
          <w:p>
            <w:pPr>
              <w:pStyle w:val="Compact"/>
              <w:jc w:val="center"/>
            </w:pPr>
            <w:r>
              <w:rPr>
                <w:b/>
                <w:sz w:val="18"/>
                <w:color w:val="14532D"/>
              </w:rPr>
              <w:t xml:space="preserve">VERDE</w:t>
            </w:r>
          </w:p>
        </w:tc>
        <w:tc>
          <w:tcPr>
            <w:tcW w:w="939" w:type="dxa"/>
          </w:tcPr>
          <w:p>
            <w:pPr>
              <w:pStyle w:val="Compact"/>
              <w:jc w:val="left"/>
            </w:pPr>
            <w:r>
              <w:rPr>
                <w:sz w:val="18"/>
              </w:rPr>
              <w:t xml:space="preserve">4,8 %</w:t>
            </w:r>
          </w:p>
        </w:tc>
      </w:tr>
      <w:tr>
        <w:trPr>
          <w:cantSplit/>
        </w:trPr>
        <w:tc>
          <w:tcPr>
            <w:tcW w:w="2887" w:type="dxa"/>
            <w:shd w:val="clear" w:color="auto" w:fill="F6F8F7"/>
          </w:tcPr>
          <w:p>
            <w:pPr>
              <w:pStyle w:val="Compact"/>
              <w:jc w:val="left"/>
            </w:pPr>
            <w:r>
              <w:rPr>
                <w:sz w:val="18"/>
              </w:rPr>
              <w:t xml:space="preserve">Base imponible real (nación + provincias)</w:t>
            </w:r>
          </w:p>
        </w:tc>
        <w:tc>
          <w:tcPr>
            <w:tcW w:w="2321" w:type="dxa"/>
            <w:shd w:val="clear" w:color="auto" w:fill="F6F8F7"/>
          </w:tcPr>
          <w:p>
            <w:pPr>
              <w:pStyle w:val="Compact"/>
              <w:jc w:val="left"/>
            </w:pPr>
            <w:r>
              <w:rPr>
                <w:sz w:val="18"/>
              </w:rPr>
              <w:t xml:space="preserve">Cuánta economía formal hay para gravar, medida en pesos constantes y comparada contra el cuarto trimestre de 2023, que…</w:t>
            </w:r>
          </w:p>
        </w:tc>
        <w:tc>
          <w:tcPr>
            <w:tcW w:w="1780" w:type="dxa"/>
            <w:shd w:val="clear" w:color="auto" w:fill="F6F8F7"/>
          </w:tcPr>
          <w:p>
            <w:pPr>
              <w:pStyle w:val="Compact"/>
              <w:jc w:val="left"/>
            </w:pPr>
            <w:r>
              <w:rPr>
                <w:sz w:val="18"/>
              </w:rPr>
              <w:t xml:space="preserve">88,2 índice (100 = 4T-2023)</w:t>
            </w:r>
          </w:p>
        </w:tc>
        <w:tc>
          <w:tcPr>
            <w:tcW w:w="1145" w:type="dxa"/>
            <w:shd w:val="clear" w:color="auto" w:fill="FEF3C7"/>
          </w:tcPr>
          <w:p>
            <w:pPr>
              <w:pStyle w:val="Compact"/>
              <w:jc w:val="center"/>
            </w:pPr>
            <w:r>
              <w:rPr>
                <w:b/>
                <w:sz w:val="18"/>
                <w:color w:val="713F12"/>
              </w:rPr>
              <w:t xml:space="preserve">AMARILLO</w:t>
            </w:r>
          </w:p>
        </w:tc>
        <w:tc>
          <w:tcPr>
            <w:tcW w:w="939" w:type="dxa"/>
            <w:shd w:val="clear" w:color="auto" w:fill="F6F8F7"/>
          </w:tcPr>
          <w:p>
            <w:pPr>
              <w:pStyle w:val="Compact"/>
              <w:jc w:val="left"/>
            </w:pPr>
            <w:r>
              <w:rPr>
                <w:sz w:val="18"/>
              </w:rPr>
              <w:t xml:space="preserve">7,2 %</w:t>
            </w:r>
          </w:p>
        </w:tc>
      </w:tr>
      <w:tr>
        <w:trPr>
          <w:cantSplit/>
        </w:trPr>
        <w:tc>
          <w:tcPr>
            <w:tcW w:w="2887" w:type="dxa"/>
          </w:tcPr>
          <w:p>
            <w:pPr>
              <w:pStyle w:val="Compact"/>
              <w:jc w:val="left"/>
            </w:pPr>
            <w:r>
              <w:rPr>
                <w:sz w:val="18"/>
              </w:rPr>
              <w:t xml:space="preserve">Resultado primario del Estado nacional</w:t>
            </w:r>
          </w:p>
        </w:tc>
        <w:tc>
          <w:tcPr>
            <w:tcW w:w="2321" w:type="dxa"/>
          </w:tcPr>
          <w:p>
            <w:pPr>
              <w:pStyle w:val="Compact"/>
              <w:jc w:val="left"/>
            </w:pPr>
            <w:r>
              <w:rPr>
                <w:sz w:val="18"/>
              </w:rPr>
              <w:t xml:space="preserve">Cuánto le sobra (o le falta) al Estado nacional después de pagar todo su gasto, antes de los intereses de la deuda…</w:t>
            </w:r>
          </w:p>
        </w:tc>
        <w:tc>
          <w:tcPr>
            <w:tcW w:w="1780" w:type="dxa"/>
          </w:tcPr>
          <w:p>
            <w:pPr>
              <w:pStyle w:val="Compact"/>
              <w:jc w:val="left"/>
            </w:pPr>
            <w:r>
              <w:rPr>
                <w:sz w:val="18"/>
              </w:rPr>
              <w:t xml:space="preserve">5,55 % de la recaudación (acum. 12 meses)</w:t>
            </w:r>
          </w:p>
        </w:tc>
        <w:tc>
          <w:tcPr>
            <w:tcW w:w="1145" w:type="dxa"/>
            <w:shd w:val="clear" w:color="auto" w:fill="DCFCE7"/>
          </w:tcPr>
          <w:p>
            <w:pPr>
              <w:pStyle w:val="Compact"/>
              <w:jc w:val="center"/>
            </w:pPr>
            <w:r>
              <w:rPr>
                <w:b/>
                <w:sz w:val="18"/>
                <w:color w:val="14532D"/>
              </w:rPr>
              <w:t xml:space="preserve">VERDE</w:t>
            </w:r>
          </w:p>
        </w:tc>
        <w:tc>
          <w:tcPr>
            <w:tcW w:w="939" w:type="dxa"/>
          </w:tcPr>
          <w:p>
            <w:pPr>
              <w:pStyle w:val="Compact"/>
              <w:jc w:val="left"/>
            </w:pPr>
            <w:r>
              <w:rPr>
                <w:sz w:val="18"/>
              </w:rPr>
              <w:t xml:space="preserve">12,0 %</w:t>
            </w:r>
          </w:p>
        </w:tc>
      </w:tr>
      <w:tr>
        <w:trPr>
          <w:cantSplit/>
        </w:trPr>
        <w:tc>
          <w:tcPr>
            <w:tcW w:w="9072" w:type="dxa"/>
            <w:gridSpan w:val="5"/>
            <w:shd w:val="clear" w:color="auto" w:fill="E8EDEB"/>
          </w:tcPr>
          <w:p>
            <w:pPr>
              <w:pStyle w:val="Compact"/>
              <w:jc w:val="left"/>
              <w:keepNext/>
            </w:pPr>
            <w:r>
              <w:rPr>
                <w:b/>
                <w:sz w:val="18"/>
              </w:rPr>
              <w:t>Capacidad y costo del financiamiento</w:t>
            </w:r>
          </w:p>
        </w:tc>
      </w:tr>
      <w:tr>
        <w:trPr>
          <w:cantSplit/>
        </w:trPr>
        <w:tc>
          <w:tcPr>
            <w:tcW w:w="2887" w:type="dxa"/>
          </w:tcPr>
          <w:p>
            <w:pPr>
              <w:pStyle w:val="Compact"/>
              <w:jc w:val="left"/>
            </w:pPr>
            <w:r>
              <w:rPr>
                <w:sz w:val="18"/>
              </w:rPr>
              <w:t xml:space="preserve">Reservas netas</w:t>
            </w:r>
          </w:p>
        </w:tc>
        <w:tc>
          <w:tcPr>
            <w:tcW w:w="2321" w:type="dxa"/>
          </w:tcPr>
          <w:p>
            <w:pPr>
              <w:pStyle w:val="Compact"/>
              <w:jc w:val="left"/>
            </w:pPr>
            <w:r>
              <w:rPr>
                <w:sz w:val="18"/>
              </w:rPr>
              <w:t xml:space="preserve">Los dólares de libre disponibilidad del Banco Central.</w:t>
            </w:r>
          </w:p>
        </w:tc>
        <w:tc>
          <w:tcPr>
            <w:tcW w:w="1780" w:type="dxa"/>
          </w:tcPr>
          <w:p>
            <w:pPr>
              <w:pStyle w:val="Compact"/>
              <w:jc w:val="left"/>
            </w:pPr>
            <w:r>
              <w:rPr>
                <w:sz w:val="18"/>
              </w:rPr>
              <w:t xml:space="preserve">4.885 Millones de USD</w:t>
            </w:r>
          </w:p>
        </w:tc>
        <w:tc>
          <w:tcPr>
            <w:tcW w:w="1145" w:type="dxa"/>
            <w:shd w:val="clear" w:color="auto" w:fill="FFEDD5"/>
          </w:tcPr>
          <w:p>
            <w:pPr>
              <w:pStyle w:val="Compact"/>
              <w:jc w:val="center"/>
            </w:pPr>
            <w:r>
              <w:rPr>
                <w:b/>
                <w:sz w:val="18"/>
                <w:color w:val="7C2D12"/>
              </w:rPr>
              <w:t xml:space="preserve">NARANJA</w:t>
            </w:r>
          </w:p>
        </w:tc>
        <w:tc>
          <w:tcPr>
            <w:tcW w:w="939" w:type="dxa"/>
          </w:tcPr>
          <w:p>
            <w:pPr>
              <w:pStyle w:val="Compact"/>
              <w:jc w:val="left"/>
            </w:pPr>
            <w:r>
              <w:rPr>
                <w:sz w:val="18"/>
              </w:rPr>
              <w:t xml:space="preserve">5,4 %</w:t>
            </w:r>
          </w:p>
        </w:tc>
      </w:tr>
      <w:tr>
        <w:trPr>
          <w:cantSplit/>
        </w:trPr>
        <w:tc>
          <w:tcPr>
            <w:tcW w:w="2887" w:type="dxa"/>
            <w:shd w:val="clear" w:color="auto" w:fill="F6F8F7"/>
          </w:tcPr>
          <w:p>
            <w:pPr>
              <w:pStyle w:val="Compact"/>
              <w:jc w:val="left"/>
            </w:pPr>
            <w:r>
              <w:rPr>
                <w:sz w:val="18"/>
              </w:rPr>
              <w:t xml:space="preserve">Capacidad prestable (IdC)</w:t>
            </w:r>
          </w:p>
        </w:tc>
        <w:tc>
          <w:tcPr>
            <w:tcW w:w="2321" w:type="dxa"/>
            <w:shd w:val="clear" w:color="auto" w:fill="F6F8F7"/>
          </w:tcPr>
          <w:p>
            <w:pPr>
              <w:pStyle w:val="Compact"/>
              <w:jc w:val="left"/>
            </w:pPr>
            <w:r>
              <w:rPr>
                <w:sz w:val="18"/>
              </w:rPr>
              <w:t xml:space="preserve">Índice de Capacidad Prestable.</w:t>
            </w:r>
          </w:p>
        </w:tc>
        <w:tc>
          <w:tcPr>
            <w:tcW w:w="1780" w:type="dxa"/>
            <w:shd w:val="clear" w:color="auto" w:fill="F6F8F7"/>
          </w:tcPr>
          <w:p>
            <w:pPr>
              <w:pStyle w:val="Compact"/>
              <w:jc w:val="left"/>
            </w:pPr>
            <w:r>
              <w:rPr>
                <w:sz w:val="18"/>
              </w:rPr>
              <w:t xml:space="preserve">−0,25 σ vs. su historia</w:t>
            </w:r>
          </w:p>
        </w:tc>
        <w:tc>
          <w:tcPr>
            <w:tcW w:w="1145" w:type="dxa"/>
            <w:shd w:val="clear" w:color="auto" w:fill="FEF3C7"/>
          </w:tcPr>
          <w:p>
            <w:pPr>
              <w:pStyle w:val="Compact"/>
              <w:jc w:val="center"/>
            </w:pPr>
            <w:r>
              <w:rPr>
                <w:b/>
                <w:sz w:val="18"/>
                <w:color w:val="713F12"/>
              </w:rPr>
              <w:t xml:space="preserve">AMARILLO</w:t>
            </w:r>
          </w:p>
        </w:tc>
        <w:tc>
          <w:tcPr>
            <w:tcW w:w="939" w:type="dxa"/>
            <w:shd w:val="clear" w:color="auto" w:fill="F6F8F7"/>
          </w:tcPr>
          <w:p>
            <w:pPr>
              <w:pStyle w:val="Compact"/>
              <w:jc w:val="left"/>
            </w:pPr>
            <w:r>
              <w:rPr>
                <w:sz w:val="18"/>
              </w:rPr>
              <w:t xml:space="preserve">3,4 %</w:t>
            </w:r>
          </w:p>
        </w:tc>
      </w:tr>
      <w:tr>
        <w:trPr>
          <w:cantSplit/>
        </w:trPr>
        <w:tc>
          <w:tcPr>
            <w:tcW w:w="2887" w:type="dxa"/>
          </w:tcPr>
          <w:p>
            <w:pPr>
              <w:pStyle w:val="Compact"/>
              <w:jc w:val="left"/>
            </w:pPr>
            <w:r>
              <w:rPr>
                <w:sz w:val="18"/>
              </w:rPr>
              <w:t xml:space="preserve">Crédito privado real</w:t>
            </w:r>
          </w:p>
        </w:tc>
        <w:tc>
          <w:tcPr>
            <w:tcW w:w="2321" w:type="dxa"/>
          </w:tcPr>
          <w:p>
            <w:pPr>
              <w:pStyle w:val="Compact"/>
              <w:jc w:val="left"/>
            </w:pPr>
            <w:r>
              <w:rPr>
                <w:sz w:val="18"/>
              </w:rPr>
              <w:t xml:space="preserve">Cuánto crece el crédito al sector privado en términos reales (variación interanual de los préstamos, deflactada por el…</w:t>
            </w:r>
          </w:p>
        </w:tc>
        <w:tc>
          <w:tcPr>
            <w:tcW w:w="1780" w:type="dxa"/>
          </w:tcPr>
          <w:p>
            <w:pPr>
              <w:pStyle w:val="Compact"/>
              <w:jc w:val="left"/>
            </w:pPr>
            <w:r>
              <w:rPr>
                <w:sz w:val="18"/>
              </w:rPr>
              <w:t xml:space="preserve">8,5 % i.a. real</w:t>
            </w:r>
          </w:p>
        </w:tc>
        <w:tc>
          <w:tcPr>
            <w:tcW w:w="1145" w:type="dxa"/>
            <w:shd w:val="clear" w:color="auto" w:fill="FEF3C7"/>
          </w:tcPr>
          <w:p>
            <w:pPr>
              <w:pStyle w:val="Compact"/>
              <w:jc w:val="center"/>
            </w:pPr>
            <w:r>
              <w:rPr>
                <w:b/>
                <w:sz w:val="18"/>
                <w:color w:val="713F12"/>
              </w:rPr>
              <w:t xml:space="preserve">AMARILLO</w:t>
            </w:r>
          </w:p>
        </w:tc>
        <w:tc>
          <w:tcPr>
            <w:tcW w:w="939" w:type="dxa"/>
          </w:tcPr>
          <w:p>
            <w:pPr>
              <w:pStyle w:val="Compact"/>
              <w:jc w:val="left"/>
            </w:pPr>
            <w:r>
              <w:rPr>
                <w:sz w:val="18"/>
              </w:rPr>
              <w:t xml:space="preserve">3,2 %</w:t>
            </w:r>
          </w:p>
        </w:tc>
      </w:tr>
      <w:tr>
        <w:trPr>
          <w:cantSplit/>
        </w:trPr>
        <w:tc>
          <w:tcPr>
            <w:tcW w:w="2887" w:type="dxa"/>
            <w:shd w:val="clear" w:color="auto" w:fill="F6F8F7"/>
          </w:tcPr>
          <w:p>
            <w:pPr>
              <w:pStyle w:val="Compact"/>
              <w:jc w:val="left"/>
            </w:pPr>
            <w:r>
              <w:rPr>
                <w:sz w:val="18"/>
              </w:rPr>
              <w:t xml:space="preserve">Costo real del financiamiento del Tesoro</w:t>
            </w:r>
          </w:p>
        </w:tc>
        <w:tc>
          <w:tcPr>
            <w:tcW w:w="2321" w:type="dxa"/>
            <w:shd w:val="clear" w:color="auto" w:fill="F6F8F7"/>
          </w:tcPr>
          <w:p>
            <w:pPr>
              <w:pStyle w:val="Compact"/>
              <w:jc w:val="left"/>
            </w:pPr>
            <w:r>
              <w:rPr>
                <w:sz w:val="18"/>
              </w:rPr>
              <w:t xml:space="preserve">Qué tasa de interés real paga el Tesoro para renovar su deuda en pesos.</w:t>
            </w:r>
          </w:p>
        </w:tc>
        <w:tc>
          <w:tcPr>
            <w:tcW w:w="1780" w:type="dxa"/>
            <w:shd w:val="clear" w:color="auto" w:fill="F6F8F7"/>
          </w:tcPr>
          <w:p>
            <w:pPr>
              <w:pStyle w:val="Compact"/>
              <w:jc w:val="left"/>
            </w:pPr>
            <w:r>
              <w:rPr>
                <w:sz w:val="18"/>
              </w:rPr>
              <w:t xml:space="preserve">8,07 % real anual (TIREA vs. inflación esperada REM)</w:t>
            </w:r>
          </w:p>
        </w:tc>
        <w:tc>
          <w:tcPr>
            <w:tcW w:w="1145" w:type="dxa"/>
            <w:shd w:val="clear" w:color="auto" w:fill="DCFCE7"/>
          </w:tcPr>
          <w:p>
            <w:pPr>
              <w:pStyle w:val="Compact"/>
              <w:jc w:val="center"/>
            </w:pPr>
            <w:r>
              <w:rPr>
                <w:b/>
                <w:sz w:val="18"/>
                <w:color w:val="14532D"/>
              </w:rPr>
              <w:t xml:space="preserve">VERDE</w:t>
            </w:r>
          </w:p>
        </w:tc>
        <w:tc>
          <w:tcPr>
            <w:tcW w:w="939" w:type="dxa"/>
            <w:shd w:val="clear" w:color="auto" w:fill="F6F8F7"/>
          </w:tcPr>
          <w:p>
            <w:pPr>
              <w:pStyle w:val="Compact"/>
              <w:jc w:val="left"/>
            </w:pPr>
            <w:r>
              <w:rPr>
                <w:sz w:val="18"/>
              </w:rPr>
              <w:t xml:space="preserve">4,0 %</w:t>
            </w:r>
          </w:p>
        </w:tc>
      </w:tr>
      <w:tr>
        <w:trPr>
          <w:cantSplit/>
        </w:trPr>
        <w:tc>
          <w:tcPr>
            <w:tcW w:w="9072" w:type="dxa"/>
            <w:gridSpan w:val="5"/>
            <w:shd w:val="clear" w:color="auto" w:fill="E8EDEB"/>
          </w:tcPr>
          <w:p>
            <w:pPr>
              <w:pStyle w:val="Compact"/>
              <w:jc w:val="left"/>
              <w:keepNext/>
            </w:pPr>
            <w:r>
              <w:rPr>
                <w:b/>
                <w:sz w:val="18"/>
              </w:rPr>
              <w:t>Inversión</w:t>
            </w:r>
          </w:p>
        </w:tc>
      </w:tr>
      <w:tr>
        <w:trPr>
          <w:cantSplit/>
        </w:trPr>
        <w:tc>
          <w:tcPr>
            <w:tcW w:w="2887" w:type="dxa"/>
            <w:shd w:val="clear" w:color="auto" w:fill="F6F8F7"/>
          </w:tcPr>
          <w:p>
            <w:pPr>
              <w:pStyle w:val="Compact"/>
              <w:jc w:val="left"/>
            </w:pPr>
            <w:r>
              <w:rPr>
                <w:sz w:val="18"/>
              </w:rPr>
              <w:t xml:space="preserve">Inversión física (IAI)</w:t>
            </w:r>
          </w:p>
        </w:tc>
        <w:tc>
          <w:tcPr>
            <w:tcW w:w="2321" w:type="dxa"/>
            <w:shd w:val="clear" w:color="auto" w:fill="F6F8F7"/>
          </w:tcPr>
          <w:p>
            <w:pPr>
              <w:pStyle w:val="Compact"/>
              <w:jc w:val="left"/>
            </w:pPr>
            <w:r>
              <w:rPr>
                <w:sz w:val="18"/>
              </w:rPr>
              <w:t xml:space="preserve">Índice Anticipador de Inversión.</w:t>
            </w:r>
          </w:p>
        </w:tc>
        <w:tc>
          <w:tcPr>
            <w:tcW w:w="1780" w:type="dxa"/>
            <w:shd w:val="clear" w:color="auto" w:fill="F6F8F7"/>
          </w:tcPr>
          <w:p>
            <w:pPr>
              <w:pStyle w:val="Compact"/>
              <w:jc w:val="left"/>
            </w:pPr>
            <w:r>
              <w:rPr>
                <w:sz w:val="18"/>
              </w:rPr>
              <w:t xml:space="preserve">−0,18 % i.a. ponderado</w:t>
            </w:r>
          </w:p>
        </w:tc>
        <w:tc>
          <w:tcPr>
            <w:tcW w:w="1145" w:type="dxa"/>
            <w:shd w:val="clear" w:color="auto" w:fill="FEF3C7"/>
          </w:tcPr>
          <w:p>
            <w:pPr>
              <w:pStyle w:val="Compact"/>
              <w:jc w:val="center"/>
            </w:pPr>
            <w:r>
              <w:rPr>
                <w:b/>
                <w:sz w:val="18"/>
                <w:color w:val="713F12"/>
              </w:rPr>
              <w:t xml:space="preserve">AMARILLO</w:t>
            </w:r>
          </w:p>
        </w:tc>
        <w:tc>
          <w:tcPr>
            <w:tcW w:w="939" w:type="dxa"/>
            <w:shd w:val="clear" w:color="auto" w:fill="F6F8F7"/>
          </w:tcPr>
          <w:p>
            <w:pPr>
              <w:pStyle w:val="Compact"/>
              <w:jc w:val="left"/>
            </w:pPr>
            <w:r>
              <w:rPr>
                <w:sz w:val="18"/>
              </w:rPr>
              <w:t xml:space="preserve">7,2 %</w:t>
            </w:r>
          </w:p>
        </w:tc>
      </w:tr>
      <w:tr>
        <w:trPr>
          <w:cantSplit/>
        </w:trPr>
        <w:tc>
          <w:tcPr>
            <w:tcW w:w="2887" w:type="dxa"/>
          </w:tcPr>
          <w:p>
            <w:pPr>
              <w:pStyle w:val="Compact"/>
              <w:jc w:val="left"/>
            </w:pPr>
            <w:r>
              <w:rPr>
                <w:sz w:val="18"/>
              </w:rPr>
              <w:t xml:space="preserve">Capitalización digital (ICIP)</w:t>
            </w:r>
          </w:p>
        </w:tc>
        <w:tc>
          <w:tcPr>
            <w:tcW w:w="2321" w:type="dxa"/>
          </w:tcPr>
          <w:p>
            <w:pPr>
              <w:pStyle w:val="Compact"/>
              <w:jc w:val="left"/>
            </w:pPr>
            <w:r>
              <w:rPr>
                <w:sz w:val="18"/>
              </w:rPr>
              <w:t xml:space="preserve">Índice de Capitalización Inteligente y Productividad.</w:t>
            </w:r>
          </w:p>
        </w:tc>
        <w:tc>
          <w:tcPr>
            <w:tcW w:w="1780" w:type="dxa"/>
          </w:tcPr>
          <w:p>
            <w:pPr>
              <w:pStyle w:val="Compact"/>
              <w:jc w:val="left"/>
            </w:pPr>
            <w:r>
              <w:rPr>
                <w:sz w:val="18"/>
              </w:rPr>
              <w:t xml:space="preserve">8,36 % i.a. ponderado</w:t>
            </w:r>
          </w:p>
        </w:tc>
        <w:tc>
          <w:tcPr>
            <w:tcW w:w="1145" w:type="dxa"/>
            <w:shd w:val="clear" w:color="auto" w:fill="DCFCE7"/>
          </w:tcPr>
          <w:p>
            <w:pPr>
              <w:pStyle w:val="Compact"/>
              <w:jc w:val="center"/>
            </w:pPr>
            <w:r>
              <w:rPr>
                <w:b/>
                <w:sz w:val="18"/>
                <w:color w:val="14532D"/>
              </w:rPr>
              <w:t xml:space="preserve">VERDE</w:t>
            </w:r>
          </w:p>
        </w:tc>
        <w:tc>
          <w:tcPr>
            <w:tcW w:w="939" w:type="dxa"/>
          </w:tcPr>
          <w:p>
            <w:pPr>
              <w:pStyle w:val="Compact"/>
              <w:jc w:val="left"/>
            </w:pPr>
            <w:r>
              <w:rPr>
                <w:sz w:val="18"/>
              </w:rPr>
              <w:t xml:space="preserve">4,8 %</w:t>
            </w:r>
          </w:p>
        </w:tc>
      </w:tr>
      <w:tr>
        <w:trPr>
          <w:cantSplit/>
        </w:trPr>
        <w:tc>
          <w:tcPr>
            <w:tcW w:w="9072" w:type="dxa"/>
            <w:gridSpan w:val="5"/>
            <w:shd w:val="clear" w:color="auto" w:fill="E8EDEB"/>
          </w:tcPr>
          <w:p>
            <w:pPr>
              <w:pStyle w:val="Compact"/>
              <w:jc w:val="left"/>
              <w:keepNext/>
            </w:pPr>
            <w:r>
              <w:rPr>
                <w:b/>
                <w:sz w:val="18"/>
              </w:rPr>
              <w:t>Actividad económica</w:t>
            </w:r>
          </w:p>
        </w:tc>
      </w:tr>
      <w:tr>
        <w:trPr>
          <w:cantSplit/>
        </w:trPr>
        <w:tc>
          <w:tcPr>
            <w:tcW w:w="2887" w:type="dxa"/>
          </w:tcPr>
          <w:p>
            <w:pPr>
              <w:pStyle w:val="Compact"/>
              <w:jc w:val="left"/>
            </w:pPr>
            <w:r>
              <w:rPr>
                <w:sz w:val="18"/>
              </w:rPr>
              <w:t xml:space="preserve">Actividad económica (EMAE i.a.)</w:t>
            </w:r>
          </w:p>
        </w:tc>
        <w:tc>
          <w:tcPr>
            <w:tcW w:w="2321" w:type="dxa"/>
          </w:tcPr>
          <w:p>
            <w:pPr>
              <w:pStyle w:val="Compact"/>
              <w:jc w:val="left"/>
            </w:pPr>
            <w:r>
              <w:rPr>
                <w:sz w:val="18"/>
              </w:rPr>
              <w:t xml:space="preserve">El pulso mensual de la actividad económica: cuánto creció o cayó respecto de un año atrás.</w:t>
            </w:r>
          </w:p>
        </w:tc>
        <w:tc>
          <w:tcPr>
            <w:tcW w:w="1780" w:type="dxa"/>
          </w:tcPr>
          <w:p>
            <w:pPr>
              <w:pStyle w:val="Compact"/>
              <w:jc w:val="left"/>
            </w:pPr>
            <w:r>
              <w:rPr>
                <w:sz w:val="18"/>
              </w:rPr>
              <w:t xml:space="preserve">0,24 % i.a.</w:t>
            </w:r>
          </w:p>
        </w:tc>
        <w:tc>
          <w:tcPr>
            <w:tcW w:w="1145" w:type="dxa"/>
            <w:shd w:val="clear" w:color="auto" w:fill="FEF3C7"/>
          </w:tcPr>
          <w:p>
            <w:pPr>
              <w:pStyle w:val="Compact"/>
              <w:jc w:val="center"/>
            </w:pPr>
            <w:r>
              <w:rPr>
                <w:b/>
                <w:sz w:val="18"/>
                <w:color w:val="713F12"/>
              </w:rPr>
              <w:t xml:space="preserve">AMARILLO</w:t>
            </w:r>
          </w:p>
        </w:tc>
        <w:tc>
          <w:tcPr>
            <w:tcW w:w="939" w:type="dxa"/>
          </w:tcPr>
          <w:p>
            <w:pPr>
              <w:pStyle w:val="Compact"/>
              <w:jc w:val="left"/>
            </w:pPr>
            <w:r>
              <w:rPr>
                <w:sz w:val="18"/>
              </w:rPr>
              <w:t xml:space="preserve">6,6 %</w:t>
            </w:r>
          </w:p>
        </w:tc>
      </w:tr>
      <w:tr>
        <w:trPr>
          <w:cantSplit/>
        </w:trPr>
        <w:tc>
          <w:tcPr>
            <w:tcW w:w="2887" w:type="dxa"/>
            <w:shd w:val="clear" w:color="auto" w:fill="F6F8F7"/>
          </w:tcPr>
          <w:p>
            <w:pPr>
              <w:pStyle w:val="Compact"/>
              <w:jc w:val="left"/>
            </w:pPr>
            <w:r>
              <w:rPr>
                <w:sz w:val="18"/>
              </w:rPr>
              <w:t xml:space="preserve">Amplitud del crecimiento (sectores en alza)</w:t>
            </w:r>
          </w:p>
        </w:tc>
        <w:tc>
          <w:tcPr>
            <w:tcW w:w="2321" w:type="dxa"/>
            <w:shd w:val="clear" w:color="auto" w:fill="F6F8F7"/>
          </w:tcPr>
          <w:p>
            <w:pPr>
              <w:pStyle w:val="Compact"/>
              <w:jc w:val="left"/>
            </w:pPr>
            <w:r>
              <w:rPr>
                <w:sz w:val="18"/>
              </w:rPr>
              <w:t xml:space="preserve">De los quince sectores en que el INDEC divide la actividad económica, cuántos crecen respecto de un año atrás.</w:t>
            </w:r>
          </w:p>
        </w:tc>
        <w:tc>
          <w:tcPr>
            <w:tcW w:w="1780" w:type="dxa"/>
            <w:shd w:val="clear" w:color="auto" w:fill="F6F8F7"/>
          </w:tcPr>
          <w:p>
            <w:pPr>
              <w:pStyle w:val="Compact"/>
              <w:jc w:val="left"/>
            </w:pPr>
            <w:r>
              <w:rPr>
                <w:sz w:val="18"/>
              </w:rPr>
              <w:t xml:space="preserve">53,33 % de sectores en crecimiento i.a.</w:t>
            </w:r>
          </w:p>
        </w:tc>
        <w:tc>
          <w:tcPr>
            <w:tcW w:w="1145" w:type="dxa"/>
            <w:shd w:val="clear" w:color="auto" w:fill="FEF3C7"/>
          </w:tcPr>
          <w:p>
            <w:pPr>
              <w:pStyle w:val="Compact"/>
              <w:jc w:val="center"/>
            </w:pPr>
            <w:r>
              <w:rPr>
                <w:b/>
                <w:sz w:val="18"/>
                <w:color w:val="713F12"/>
              </w:rPr>
              <w:t xml:space="preserve">AMARILLO</w:t>
            </w:r>
          </w:p>
        </w:tc>
        <w:tc>
          <w:tcPr>
            <w:tcW w:w="939" w:type="dxa"/>
            <w:shd w:val="clear" w:color="auto" w:fill="F6F8F7"/>
          </w:tcPr>
          <w:p>
            <w:pPr>
              <w:pStyle w:val="Compact"/>
              <w:jc w:val="left"/>
            </w:pPr>
            <w:r>
              <w:rPr>
                <w:sz w:val="18"/>
              </w:rPr>
              <w:t xml:space="preserve">2,2 %</w:t>
            </w:r>
          </w:p>
        </w:tc>
      </w:tr>
      <w:tr>
        <w:trPr>
          <w:cantSplit/>
        </w:trPr>
        <w:tc>
          <w:tcPr>
            <w:tcW w:w="2887" w:type="dxa"/>
          </w:tcPr>
          <w:p>
            <w:pPr>
              <w:pStyle w:val="Compact"/>
              <w:jc w:val="left"/>
            </w:pPr>
            <w:r>
              <w:rPr>
                <w:sz w:val="18"/>
              </w:rPr>
              <w:t xml:space="preserve">Producción industrial (IPI i.a.)</w:t>
            </w:r>
          </w:p>
        </w:tc>
        <w:tc>
          <w:tcPr>
            <w:tcW w:w="2321" w:type="dxa"/>
          </w:tcPr>
          <w:p>
            <w:pPr>
              <w:pStyle w:val="Compact"/>
              <w:jc w:val="left"/>
            </w:pPr>
            <w:r>
              <w:rPr>
                <w:sz w:val="18"/>
              </w:rPr>
              <w:t xml:space="preserve">Cuánto produce la industria manufacturera respecto de un año atrás, promediado en tres meses.</w:t>
            </w:r>
          </w:p>
        </w:tc>
        <w:tc>
          <w:tcPr>
            <w:tcW w:w="1780" w:type="dxa"/>
          </w:tcPr>
          <w:p>
            <w:pPr>
              <w:pStyle w:val="Compact"/>
              <w:jc w:val="left"/>
            </w:pPr>
            <w:r>
              <w:rPr>
                <w:sz w:val="18"/>
              </w:rPr>
              <w:t xml:space="preserve">−2 % i.a. (promedio 3 meses)</w:t>
            </w:r>
          </w:p>
        </w:tc>
        <w:tc>
          <w:tcPr>
            <w:tcW w:w="1145" w:type="dxa"/>
            <w:shd w:val="clear" w:color="auto" w:fill="FFEDD5"/>
          </w:tcPr>
          <w:p>
            <w:pPr>
              <w:pStyle w:val="Compact"/>
              <w:jc w:val="center"/>
            </w:pPr>
            <w:r>
              <w:rPr>
                <w:b/>
                <w:sz w:val="18"/>
                <w:color w:val="7C2D12"/>
              </w:rPr>
              <w:t xml:space="preserve">NARANJA</w:t>
            </w:r>
          </w:p>
        </w:tc>
        <w:tc>
          <w:tcPr>
            <w:tcW w:w="939" w:type="dxa"/>
          </w:tcPr>
          <w:p>
            <w:pPr>
              <w:pStyle w:val="Compact"/>
              <w:jc w:val="left"/>
            </w:pPr>
            <w:r>
              <w:rPr>
                <w:sz w:val="18"/>
              </w:rPr>
              <w:t xml:space="preserve">2,2 %</w:t>
            </w:r>
          </w:p>
        </w:tc>
      </w:tr>
      <w:tr>
        <w:trPr>
          <w:cantSplit/>
        </w:trPr>
        <w:tc>
          <w:tcPr>
            <w:tcW w:w="9072" w:type="dxa"/>
            <w:gridSpan w:val="5"/>
            <w:shd w:val="clear" w:color="auto" w:fill="E8EDEB"/>
          </w:tcPr>
          <w:p>
            <w:pPr>
              <w:pStyle w:val="Compact"/>
              <w:jc w:val="left"/>
              <w:keepNext/>
            </w:pPr>
            <w:r>
              <w:rPr>
                <w:b/>
                <w:sz w:val="18"/>
              </w:rPr>
              <w:t>Competitividad externa</w:t>
            </w:r>
          </w:p>
        </w:tc>
      </w:tr>
      <w:tr>
        <w:trPr>
          <w:cantSplit/>
        </w:trPr>
        <w:tc>
          <w:tcPr>
            <w:tcW w:w="2887" w:type="dxa"/>
          </w:tcPr>
          <w:p>
            <w:pPr>
              <w:pStyle w:val="Compact"/>
              <w:jc w:val="left"/>
            </w:pPr>
            <w:r>
              <w:rPr>
                <w:sz w:val="18"/>
              </w:rPr>
              <w:t xml:space="preserve">Tipo de cambio real (TCRM)</w:t>
            </w:r>
          </w:p>
        </w:tc>
        <w:tc>
          <w:tcPr>
            <w:tcW w:w="2321" w:type="dxa"/>
          </w:tcPr>
          <w:p>
            <w:pPr>
              <w:pStyle w:val="Compact"/>
              <w:jc w:val="left"/>
            </w:pPr>
            <w:r>
              <w:rPr>
                <w:sz w:val="18"/>
              </w:rPr>
              <w:t xml:space="preserve">Si el peso está caro o barato frente a los socios comerciales, en términos reales (competitividad cambiaria).</w:t>
            </w:r>
          </w:p>
        </w:tc>
        <w:tc>
          <w:tcPr>
            <w:tcW w:w="1780" w:type="dxa"/>
          </w:tcPr>
          <w:p>
            <w:pPr>
              <w:pStyle w:val="Compact"/>
              <w:jc w:val="left"/>
            </w:pPr>
            <w:r>
              <w:rPr>
                <w:sz w:val="18"/>
              </w:rPr>
              <w:t xml:space="preserve">85,82 Índice (base dic-2015=100)</w:t>
            </w:r>
          </w:p>
        </w:tc>
        <w:tc>
          <w:tcPr>
            <w:tcW w:w="1145" w:type="dxa"/>
            <w:shd w:val="clear" w:color="auto" w:fill="FEF3C7"/>
          </w:tcPr>
          <w:p>
            <w:pPr>
              <w:pStyle w:val="Compact"/>
              <w:jc w:val="center"/>
            </w:pPr>
            <w:r>
              <w:rPr>
                <w:b/>
                <w:sz w:val="18"/>
                <w:color w:val="713F12"/>
              </w:rPr>
              <w:t xml:space="preserve">AMARILLO</w:t>
            </w:r>
          </w:p>
        </w:tc>
        <w:tc>
          <w:tcPr>
            <w:tcW w:w="939" w:type="dxa"/>
          </w:tcPr>
          <w:p>
            <w:pPr>
              <w:pStyle w:val="Compact"/>
              <w:jc w:val="left"/>
            </w:pPr>
            <w:r>
              <w:rPr>
                <w:sz w:val="18"/>
              </w:rPr>
              <w:t xml:space="preserve">11,0 %</w:t>
            </w:r>
          </w:p>
        </w:tc>
      </w:tr>
    </w:tbl>
    <w:p>
      <w:pPr>
        <w:pStyle w:val="BodyText"/>
        <w:spacing w:before="200"/>
      </w:pPr>
      <w:r>
        <w:rPr>
          <w:iCs/>
          <w:i/>
        </w:rPr>
        <w:t xml:space="preserve">Datos al 2026-08-09.</w:t>
      </w:r>
    </w:p>
    <w:p>
      <w:r>
        <w:br w:type="page"/>
      </w:r>
    </w:p>
    <w:p>
      <w:pPr>
        <w:pStyle w:val="BodyText"/>
      </w:pPr>
      <w:r>
        <w:rPr>
          <w:bCs/>
          <w:b/>
        </w:rPr>
        <w:t xml:space="preserve">CIGOB · INFORME DE COYUNTURA</w:t>
      </w:r>
    </w:p>
    <w:p>
      <w:pPr>
        <w:pStyle w:val="BodyText"/>
      </w:pPr>
      <w:r>
        <w:rPr>
          <w:iCs/>
          <w:i/>
        </w:rPr>
        <w:t xml:space="preserve">Ficha metodológica · Cinturón Macroeconomía · Capa de semáforo (4 colores)</w:t>
      </w:r>
    </w:p>
    <w:bookmarkEnd w:id="23"/>
    <w:bookmarkEnd w:id="24"/>
    <w:bookmarkStart w:id="34" w:name="inflación-mensual-ipc"/>
    <w:p>
      <w:pPr>
        <w:pStyle w:val="Heading1"/>
        <w:keepNext/>
      </w:pPr>
      <w:r>
        <w:t xml:space="preserve">Inflación mensual (IPC)</w:t>
      </w:r>
    </w:p>
    <w:p>
      <w:pPr>
        <w:pStyle w:val="FirstParagraph"/>
        <w:spacing w:after="160"/>
      </w:pPr>
      <w:r>
        <w:t xml:space="preserve">Cuánto suben en el mes los precios al consumidor en general.</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2649"/>
        <w:gridCol w:w="1174"/>
        <w:gridCol w:w="2549"/>
        <w:gridCol w:w="2700"/>
      </w:tblGrid>
      <w:tr>
        <w:trPr>
          <w:cantSplit/>
        </w:trPr>
        <w:tc>
          <w:tcPr>
            <w:tcW w:w="2649" w:type="dxa"/>
          </w:tcPr>
          <w:p>
            <w:pPr>
              <w:pStyle w:val="Compact"/>
              <w:jc w:val="left"/>
            </w:pPr>
            <w:r>
              <w:rPr>
                <w:bCs/>
                <w:b/>
                <w:sz w:val="18"/>
              </w:rPr>
              <w:t xml:space="preserve">Hoy: 1,89 % mensual</w:t>
            </w:r>
            <w:r>
              <w:rPr>
                <w:sz w:val="18"/>
              </w:rPr>
              <w:t xml:space="preserve"> </w:t>
            </w:r>
            <w:r>
              <w:rPr>
                <w:sz w:val="18"/>
              </w:rPr>
              <w:t xml:space="preserve">(2026-06)</w:t>
            </w:r>
          </w:p>
        </w:tc>
        <w:tc>
          <w:tcPr>
            <w:tcW w:w="1174" w:type="dxa"/>
            <w:shd w:val="clear" w:color="auto" w:fill="DCFCE7"/>
          </w:tcPr>
          <w:p>
            <w:pPr>
              <w:pStyle w:val="Compact"/>
              <w:jc w:val="center"/>
            </w:pPr>
            <w:r>
              <w:rPr>
                <w:bCs/>
                <w:b/>
                <w:sz w:val="18"/>
                <w:color w:val="14532D"/>
              </w:rPr>
              <w:t xml:space="preserve">VERDE</w:t>
            </w:r>
          </w:p>
        </w:tc>
        <w:tc>
          <w:tcPr>
            <w:tcW w:w="2549" w:type="dxa"/>
          </w:tcPr>
          <w:p>
            <w:pPr>
              <w:pStyle w:val="Compact"/>
              <w:jc w:val="left"/>
            </w:pPr>
            <w:r>
              <w:rPr>
                <w:sz w:val="18"/>
              </w:rPr>
              <w:t xml:space="preserve">Peso efectivo 10,4 % del ITCM</w:t>
            </w:r>
          </w:p>
        </w:tc>
        <w:tc>
          <w:tcPr>
            <w:tcW w:w="2700" w:type="dxa"/>
          </w:tcPr>
          <w:p>
            <w:pPr>
              <w:pStyle w:val="Compact"/>
              <w:jc w:val="left"/>
            </w:pPr>
            <w:r>
              <w:rPr>
                <w:sz w:val="18"/>
              </w:rPr>
              <w:t xml:space="preserve">Cinturón Macroeconomía</w:t>
            </w:r>
          </w:p>
        </w:tc>
      </w:tr>
    </w:tbl>
    <w:bookmarkStart w:id="25" w:name="identificación"/>
    <w:p>
      <w:pPr>
        <w:pStyle w:val="Heading2"/>
        <w:keepNext/>
        <w:spacing w:after="160"/>
      </w:pPr>
      <w:r>
        <w:t xml:space="preserve">Identificación</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1800"/>
        <w:gridCol w:w="3012"/>
        <w:gridCol w:w="1812"/>
        <w:gridCol w:w="2448"/>
      </w:tblGrid>
      <w:tr>
        <w:trPr>
          <w:cantSplit/>
        </w:trPr>
        <w:tc>
          <w:tcPr>
            <w:tcW w:w="1800" w:type="dxa"/>
          </w:tcPr>
          <w:p>
            <w:pPr>
              <w:pStyle w:val="Compact"/>
              <w:jc w:val="left"/>
            </w:pPr>
            <w:r>
              <w:rPr>
                <w:bCs/>
                <w:b/>
                <w:sz w:val="18"/>
              </w:rPr>
              <w:t xml:space="preserve">IDENTIFICADOR TÉCNICO</w:t>
            </w:r>
          </w:p>
        </w:tc>
        <w:tc>
          <w:tcPr>
            <w:tcW w:w="3012" w:type="dxa"/>
          </w:tcPr>
          <w:p>
            <w:pPr>
              <w:pStyle w:val="Compact"/>
              <w:jc w:val="left"/>
            </w:pPr>
            <w:r>
              <w:rPr>
                <w:sz w:val="18"/>
              </w:rPr>
              <w:t xml:space="preserve">ipc_total</w:t>
            </w:r>
          </w:p>
        </w:tc>
        <w:tc>
          <w:tcPr>
            <w:tcW w:w="1812" w:type="dxa"/>
          </w:tcPr>
          <w:p>
            <w:pPr>
              <w:pStyle w:val="Compact"/>
              <w:jc w:val="left"/>
            </w:pPr>
            <w:r>
              <w:rPr>
                <w:bCs/>
                <w:b/>
                <w:sz w:val="18"/>
              </w:rPr>
              <w:t xml:space="preserve">CINTURÓN</w:t>
            </w:r>
          </w:p>
        </w:tc>
        <w:tc>
          <w:tcPr>
            <w:tcW w:w="2448" w:type="dxa"/>
          </w:tcPr>
          <w:p>
            <w:pPr>
              <w:pStyle w:val="Compact"/>
              <w:jc w:val="left"/>
            </w:pPr>
            <w:r>
              <w:rPr>
                <w:sz w:val="18"/>
              </w:rPr>
              <w:t xml:space="preserve">Macroeconomía</w:t>
            </w:r>
          </w:p>
        </w:tc>
      </w:tr>
      <w:tr>
        <w:trPr>
          <w:cantSplit/>
        </w:trPr>
        <w:tc>
          <w:tcPr>
            <w:tcW w:w="1800" w:type="dxa"/>
          </w:tcPr>
          <w:p>
            <w:pPr>
              <w:pStyle w:val="Compact"/>
              <w:jc w:val="left"/>
            </w:pPr>
            <w:r>
              <w:rPr>
                <w:bCs/>
                <w:b/>
                <w:sz w:val="18"/>
              </w:rPr>
              <w:t xml:space="preserve">DIMENSIÓN EN EL ITCM</w:t>
            </w:r>
          </w:p>
        </w:tc>
        <w:tc>
          <w:tcPr>
            <w:tcW w:w="3012" w:type="dxa"/>
          </w:tcPr>
          <w:p>
            <w:pPr>
              <w:pStyle w:val="Compact"/>
              <w:jc w:val="left"/>
            </w:pPr>
            <w:r>
              <w:rPr>
                <w:sz w:val="18"/>
              </w:rPr>
              <w:t xml:space="preserve">Estabilidad monetaria-inflacionaria</w:t>
            </w:r>
          </w:p>
        </w:tc>
        <w:tc>
          <w:tcPr>
            <w:tcW w:w="1812" w:type="dxa"/>
          </w:tcPr>
          <w:p>
            <w:pPr>
              <w:pStyle w:val="Compact"/>
              <w:jc w:val="left"/>
            </w:pPr>
            <w:r>
              <w:rPr>
                <w:bCs/>
                <w:b/>
                <w:sz w:val="18"/>
              </w:rPr>
              <w:t xml:space="preserve">UNIDAD DE MEDIDA</w:t>
            </w:r>
          </w:p>
        </w:tc>
        <w:tc>
          <w:tcPr>
            <w:tcW w:w="2448" w:type="dxa"/>
          </w:tcPr>
          <w:p>
            <w:pPr>
              <w:pStyle w:val="Compact"/>
              <w:jc w:val="left"/>
            </w:pPr>
            <w:r>
              <w:rPr>
                <w:sz w:val="18"/>
              </w:rPr>
              <w:t xml:space="preserve">% mensual</w:t>
            </w:r>
          </w:p>
        </w:tc>
      </w:tr>
      <w:tr>
        <w:trPr>
          <w:cantSplit/>
        </w:trPr>
        <w:tc>
          <w:tcPr>
            <w:tcW w:w="1800" w:type="dxa"/>
          </w:tcPr>
          <w:p>
            <w:pPr>
              <w:pStyle w:val="Compact"/>
              <w:jc w:val="left"/>
            </w:pPr>
            <w:r>
              <w:rPr>
                <w:bCs/>
                <w:b/>
                <w:sz w:val="18"/>
              </w:rPr>
              <w:t xml:space="preserve">SERIE DISPONIBLE</w:t>
            </w:r>
          </w:p>
        </w:tc>
        <w:tc>
          <w:tcPr>
            <w:tcW w:w="3012" w:type="dxa"/>
          </w:tcPr>
          <w:p>
            <w:pPr>
              <w:pStyle w:val="Compact"/>
              <w:jc w:val="left"/>
            </w:pPr>
            <w:r>
              <w:rPr>
                <w:sz w:val="18"/>
              </w:rPr>
              <w:t xml:space="preserve">2021-08 → 2026-06 (59 puntos)</w:t>
            </w:r>
          </w:p>
        </w:tc>
        <w:tc>
          <w:tcPr>
            <w:tcW w:w="1812" w:type="dxa"/>
          </w:tcPr>
          <w:p>
            <w:pPr>
              <w:pStyle w:val="Compact"/>
              <w:jc w:val="left"/>
            </w:pPr>
            <w:r>
              <w:rPr>
                <w:bCs/>
                <w:b/>
                <w:sz w:val="18"/>
              </w:rPr>
              <w:t xml:space="preserve">REZAGO DE PUBLICACIÓN</w:t>
            </w:r>
          </w:p>
        </w:tc>
        <w:tc>
          <w:tcPr>
            <w:tcW w:w="2448" w:type="dxa"/>
          </w:tcPr>
          <w:p>
            <w:pPr>
              <w:pStyle w:val="Compact"/>
              <w:jc w:val="left"/>
            </w:pPr>
            <w:r>
              <w:rPr>
                <w:sz w:val="18"/>
              </w:rPr>
              <w:t xml:space="preserve">El INDEC difunde el IPC de cada mes a mediados del mes siguiente, según su calendario oficial. El informe lo incorpora en forma automática el mismo día de la publicación.</w:t>
            </w:r>
          </w:p>
        </w:tc>
      </w:tr>
      <w:tr>
        <w:trPr>
          <w:cantSplit/>
        </w:trPr>
        <w:tc>
          <w:tcPr>
            <w:tcW w:w="1800" w:type="dxa"/>
          </w:tcPr>
          <w:p>
            <w:pPr>
              <w:pStyle w:val="Compact"/>
              <w:jc w:val="left"/>
            </w:pPr>
            <w:r>
              <w:rPr>
                <w:bCs/>
                <w:b/>
                <w:sz w:val="18"/>
              </w:rPr>
              <w:t xml:space="preserve">PRODUCTOR DEL DATO</w:t>
            </w:r>
          </w:p>
        </w:tc>
        <w:tc>
          <w:tcPr>
            <w:tcW w:w="3012" w:type="dxa"/>
          </w:tcPr>
          <w:p>
            <w:pPr>
              <w:pStyle w:val="Compact"/>
              <w:jc w:val="left"/>
            </w:pPr>
            <w:r>
              <w:rPr>
                <w:sz w:val="18"/>
              </w:rPr>
              <w:t xml:space="preserve">INDEC</w:t>
            </w:r>
          </w:p>
        </w:tc>
        <w:tc>
          <w:tcPr>
            <w:tcW w:w="1812" w:type="dxa"/>
          </w:tcPr>
          <w:p>
            <w:pPr>
              <w:pStyle w:val="Compact"/>
              <w:jc w:val="left"/>
            </w:pPr>
            <w:r>
              <w:rPr>
                <w:bCs/>
                <w:b/>
                <w:sz w:val="18"/>
              </w:rPr>
              <w:t xml:space="preserve">OPERACIÓN ESTADÍSTICA</w:t>
            </w:r>
          </w:p>
        </w:tc>
        <w:tc>
          <w:tcPr>
            <w:tcW w:w="2448" w:type="dxa"/>
          </w:tcPr>
          <w:p>
            <w:pPr>
              <w:pStyle w:val="Compact"/>
              <w:jc w:val="left"/>
            </w:pPr>
            <w:r>
              <w:rPr>
                <w:sz w:val="18"/>
              </w:rPr>
              <w:t xml:space="preserve">Índice de Precios al Consumidor (IPC) — cobertura nacional, nivel general, variación mensual</w:t>
            </w:r>
          </w:p>
        </w:tc>
      </w:tr>
      <w:tr>
        <w:trPr>
          <w:cantSplit/>
        </w:trPr>
        <w:tc>
          <w:tcPr>
            <w:tcW w:w="1800" w:type="dxa"/>
          </w:tcPr>
          <w:p>
            <w:pPr>
              <w:pStyle w:val="Compact"/>
              <w:jc w:val="left"/>
            </w:pPr>
            <w:r>
              <w:rPr>
                <w:bCs/>
                <w:b/>
                <w:sz w:val="18"/>
              </w:rPr>
              <w:t xml:space="preserve">MODO DE ACCESO</w:t>
            </w:r>
          </w:p>
        </w:tc>
        <w:tc>
          <w:tcPr>
            <w:tcW w:w="3012" w:type="dxa"/>
          </w:tcPr>
          <w:p>
            <w:pPr>
              <w:pStyle w:val="Compact"/>
              <w:jc w:val="left"/>
            </w:pPr>
            <w:r>
              <w:rPr>
                <w:sz w:val="18"/>
              </w:rPr>
              <w:t xml:space="preserve">Automático: el dato se extrae de la API pública y se publica sin intervención manual.</w:t>
            </w:r>
          </w:p>
        </w:tc>
        <w:tc>
          <w:tcPr>
            <w:tcW w:w="1812" w:type="dxa"/>
          </w:tcPr>
          <w:p>
            <w:pPr>
              <w:pStyle w:val="Compact"/>
              <w:jc w:val="left"/>
            </w:pPr>
            <w:r>
              <w:rPr>
                <w:bCs/>
                <w:b/>
                <w:sz w:val="18"/>
              </w:rPr>
              <w:t xml:space="preserve">ÚLTIMA ACTUALIZACIÓN</w:t>
            </w:r>
          </w:p>
        </w:tc>
        <w:tc>
          <w:tcPr>
            <w:tcW w:w="2448" w:type="dxa"/>
          </w:tcPr>
          <w:p>
            <w:pPr>
              <w:pStyle w:val="Compact"/>
              <w:jc w:val="left"/>
            </w:pPr>
            <w:r>
              <w:rPr>
                <w:sz w:val="18"/>
              </w:rPr>
              <w:t xml:space="preserve">Dato a 2026-06 · informe generado el 2026-08-09</w:t>
            </w:r>
          </w:p>
        </w:tc>
      </w:tr>
    </w:tbl>
    <w:bookmarkEnd w:id="25"/>
    <w:bookmarkStart w:id="26" w:name="definición-qué-mide-y-por-qué-importa"/>
    <w:p>
      <w:pPr>
        <w:pStyle w:val="Heading2"/>
        <w:keepNext/>
      </w:pPr>
      <w:r>
        <w:t xml:space="preserve">Definición — qué mide y por qué importa</w:t>
      </w:r>
    </w:p>
    <w:p>
      <w:pPr>
        <w:pStyle w:val="FirstParagraph"/>
      </w:pPr>
      <w:r>
        <w:t xml:space="preserve">Cuánto suben en el mes los precios al consumidor en general.</w:t>
      </w:r>
    </w:p>
    <w:p>
      <w:pPr>
        <w:pStyle w:val="BodyText"/>
      </w:pPr>
      <w:r>
        <w:t xml:space="preserve">Es el termómetro central de la estabilización: marca si el programa antiinflacionario avanza o se estanca.</w:t>
      </w:r>
    </w:p>
    <w:p>
      <w:pPr>
        <w:pStyle w:val="BodyText"/>
      </w:pPr>
      <w:r>
        <w:rPr>
          <w:bCs/>
          <w:b/>
        </w:rPr>
        <w:t xml:space="preserve">Dimensión que integra — Estabilidad monetaria-inflacionaria.</w:t>
      </w:r>
      <w:r>
        <w:t xml:space="preserve"> </w:t>
      </w:r>
      <w:r>
        <w:t xml:space="preserve">La estabilidad de la moneda desde cuatro señales complementarias: la inflación actual (IPC), la esperada por el mercado (REM), el desequilibrio entre oferta y demanda transaccional de pesos (IDM) y la presión por salir del peso, observada según el régimen cambiario vigente.</w:t>
      </w:r>
    </w:p>
    <w:bookmarkEnd w:id="26"/>
    <w:bookmarkStart w:id="27" w:name="método-de-cómputo"/>
    <w:p>
      <w:pPr>
        <w:pStyle w:val="Heading2"/>
        <w:keepNext/>
      </w:pPr>
      <w:r>
        <w:t xml:space="preserve">Método de cómputo</w:t>
      </w:r>
    </w:p>
    <w:p>
      <w:pPr>
        <w:numPr>
          <w:ilvl w:val="0"/>
          <w:numId w:val="1001"/>
        </w:numPr>
        <w:pStyle w:val="Compact"/>
      </w:pPr>
      <w:r>
        <w:t xml:space="preserve">Variación porcentual del índice de nivel general contra el mes anterior, tal como la publica el INDEC.</w:t>
      </w:r>
    </w:p>
    <w:p>
      <w:pPr>
        <w:numPr>
          <w:ilvl w:val="0"/>
          <w:numId w:val="1001"/>
        </w:numPr>
        <w:pStyle w:val="Compact"/>
      </w:pPr>
      <w:r>
        <w:t xml:space="preserve">No se aplican ajustes propios: ni desestacionalización, ni promedios, ni recortes.</w:t>
      </w:r>
    </w:p>
    <w:bookmarkEnd w:id="27"/>
    <w:bookmarkStart w:id="28" w:name="semáforo-valores-que-determinan-el-color"/>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spacing w:after="160"/>
      </w:pPr>
      <w:r>
        <w:rPr>
          <w:bCs/>
          <w:b/>
        </w:rPr>
        <w:t xml:space="preserve">Valores que definen cada color</w:t>
      </w:r>
    </w:p>
    <w:tbl>
      <w:tblPr>
        <w:tblStyle w:val="Table"/>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4933"/>
        <w:gridCol w:w="4139"/>
      </w:tblGrid>
      <w:tr>
        <w:trPr>
          <w:cantSplit/>
          <w:tblHeader/>
        </w:trPr>
        <w:tc>
          <w:tcPr>
            <w:tcW w:w="4933" w:type="dxa"/>
            <w:shd w:val="clear" w:color="auto" w:fill="1F3A34"/>
          </w:tcPr>
          <w:p>
            <w:pPr>
              <w:pStyle w:val="Compact"/>
              <w:jc w:val="left"/>
            </w:pPr>
            <w:r>
              <w:rPr>
                <w:b/>
                <w:sz w:val="18"/>
                <w:color w:val="FFFFFF"/>
              </w:rPr>
              <w:t xml:space="preserve">Rango (% mensual)</w:t>
            </w:r>
          </w:p>
        </w:tc>
        <w:tc>
          <w:tcPr>
            <w:tcW w:w="4139" w:type="dxa"/>
            <w:shd w:val="clear" w:color="auto" w:fill="1F3A34"/>
          </w:tcPr>
          <w:p>
            <w:pPr>
              <w:pStyle w:val="Compact"/>
              <w:jc w:val="left"/>
            </w:pPr>
            <w:r>
              <w:rPr>
                <w:b/>
                <w:sz w:val="18"/>
                <w:color w:val="FFFFFF"/>
              </w:rPr>
              <w:t xml:space="preserve">Color</w:t>
            </w:r>
          </w:p>
        </w:tc>
      </w:tr>
      <w:tr>
        <w:trPr>
          <w:cantSplit/>
        </w:trPr>
        <w:tc>
          <w:tcPr>
            <w:tcW w:w="4933" w:type="dxa"/>
          </w:tcPr>
          <w:p>
            <w:pPr>
              <w:pStyle w:val="Compact"/>
              <w:jc w:val="left"/>
            </w:pPr>
            <w:r>
              <w:rPr>
                <w:sz w:val="18"/>
              </w:rPr>
              <w:t xml:space="preserve">≤ 2,8</w:t>
            </w:r>
          </w:p>
        </w:tc>
        <w:tc>
          <w:tcPr>
            <w:tcW w:w="4139" w:type="dxa"/>
            <w:shd w:val="clear" w:color="auto" w:fill="DCFCE7"/>
          </w:tcPr>
          <w:p>
            <w:pPr>
              <w:pStyle w:val="Compact"/>
              <w:jc w:val="center"/>
            </w:pPr>
            <w:r>
              <w:rPr>
                <w:b/>
                <w:sz w:val="18"/>
                <w:color w:val="14532D"/>
              </w:rPr>
              <w:t xml:space="preserve">VERDE</w:t>
            </w:r>
          </w:p>
        </w:tc>
      </w:tr>
      <w:tr>
        <w:trPr>
          <w:cantSplit/>
        </w:trPr>
        <w:tc>
          <w:tcPr>
            <w:tcW w:w="4933" w:type="dxa"/>
            <w:shd w:val="clear" w:color="auto" w:fill="F6F8F7"/>
          </w:tcPr>
          <w:p>
            <w:pPr>
              <w:pStyle w:val="Compact"/>
              <w:jc w:val="left"/>
            </w:pPr>
            <w:r>
              <w:rPr>
                <w:sz w:val="18"/>
              </w:rPr>
              <w:t xml:space="preserve">2,8 – 4</w:t>
            </w:r>
          </w:p>
        </w:tc>
        <w:tc>
          <w:tcPr>
            <w:tcW w:w="4139" w:type="dxa"/>
            <w:shd w:val="clear" w:color="auto" w:fill="FEF3C7"/>
          </w:tcPr>
          <w:p>
            <w:pPr>
              <w:pStyle w:val="Compact"/>
              <w:jc w:val="center"/>
            </w:pPr>
            <w:r>
              <w:rPr>
                <w:b/>
                <w:sz w:val="18"/>
                <w:color w:val="713F12"/>
              </w:rPr>
              <w:t xml:space="preserve">AMARILLO</w:t>
            </w:r>
          </w:p>
        </w:tc>
      </w:tr>
      <w:tr>
        <w:trPr>
          <w:cantSplit/>
        </w:trPr>
        <w:tc>
          <w:tcPr>
            <w:tcW w:w="4933" w:type="dxa"/>
          </w:tcPr>
          <w:p>
            <w:pPr>
              <w:pStyle w:val="Compact"/>
              <w:jc w:val="left"/>
            </w:pPr>
            <w:r>
              <w:rPr>
                <w:sz w:val="18"/>
              </w:rPr>
              <w:t xml:space="preserve">4 – 4,67</w:t>
            </w:r>
          </w:p>
        </w:tc>
        <w:tc>
          <w:tcPr>
            <w:tcW w:w="4139" w:type="dxa"/>
            <w:shd w:val="clear" w:color="auto" w:fill="FFEDD5"/>
          </w:tcPr>
          <w:p>
            <w:pPr>
              <w:pStyle w:val="Compact"/>
              <w:jc w:val="center"/>
            </w:pPr>
            <w:r>
              <w:rPr>
                <w:b/>
                <w:sz w:val="18"/>
                <w:color w:val="7C2D12"/>
              </w:rPr>
              <w:t xml:space="preserve">NARANJA</w:t>
            </w:r>
          </w:p>
        </w:tc>
      </w:tr>
      <w:tr>
        <w:trPr>
          <w:cantSplit/>
        </w:trPr>
        <w:tc>
          <w:tcPr>
            <w:tcW w:w="4933" w:type="dxa"/>
            <w:shd w:val="clear" w:color="auto" w:fill="F6F8F7"/>
          </w:tcPr>
          <w:p>
            <w:pPr>
              <w:pStyle w:val="Compact"/>
              <w:jc w:val="left"/>
            </w:pPr>
            <w:r>
              <w:rPr>
                <w:sz w:val="18"/>
              </w:rPr>
              <w:t xml:space="preserve">≥ 4,67</w:t>
            </w:r>
          </w:p>
        </w:tc>
        <w:tc>
          <w:tcPr>
            <w:tcW w:w="4139" w:type="dxa"/>
            <w:shd w:val="clear" w:color="auto" w:fill="FEE2E2"/>
          </w:tcPr>
          <w:p>
            <w:pPr>
              <w:pStyle w:val="Compact"/>
              <w:jc w:val="center"/>
            </w:pPr>
            <w:r>
              <w:rPr>
                <w:b/>
                <w:sz w:val="18"/>
                <w:color w:val="7F1D1D"/>
              </w:rPr>
              <w:t xml:space="preserve">ROJO</w:t>
            </w:r>
          </w:p>
        </w:tc>
      </w:tr>
    </w:tbl>
    <w:bookmarkEnd w:id="28"/>
    <w:bookmarkStart w:id="29" w:name="datos-concretos-detrás-del-valor"/>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02"/>
        </w:numPr>
        <w:pStyle w:val="Compact"/>
      </w:pPr>
      <w:r>
        <w:t xml:space="preserve">El informe publica el valor (1,89 % mensual) pero no los números que lo componen: la fuente entrega la serie ya calculada. Para auditar el dato hay que ir a la operación estadística citada más arriba.</w:t>
      </w:r>
    </w:p>
    <w:bookmarkEnd w:id="29"/>
    <w:bookmarkStart w:id="30" w:name="color-vigente-y-por-qué"/>
    <w:p>
      <w:pPr>
        <w:pStyle w:val="Heading2"/>
        <w:keepNext/>
      </w:pPr>
      <w:r>
        <w:t xml:space="preserve">Color vigente y por qué</w:t>
      </w:r>
    </w:p>
    <w:p>
      <w:pPr>
        <w:pStyle w:val="FirstParagraph"/>
      </w:pPr>
      <w:r>
        <w:t xml:space="preserve">Dato vigente: 1,89 % mensual (2026-06).</w:t>
      </w:r>
    </w:p>
    <w:p>
      <w:pPr>
        <w:pStyle w:val="BodyText"/>
      </w:pPr>
      <w:r>
        <w:t xml:space="preserve">1,89 % mensual cae en el tramo que corresponde a Verde, a 0,91 del corte más cercano.</w:t>
      </w:r>
    </w:p>
    <w:p>
      <w:pPr>
        <w:pStyle w:val="BodyText"/>
      </w:pPr>
      <w:r>
        <w:rPr>
          <w:bCs/>
          <w:b/>
        </w:rPr>
        <w:t xml:space="preserve">Color vigente: VERDE</w:t>
      </w:r>
    </w:p>
    <w:p>
      <w:pPr>
        <w:pStyle w:val="BodyText"/>
      </w:pPr>
      <w:r>
        <w:t xml:space="preserve">Ponderación vigente en el ITCM: 10,4 % efectivo. El color es una lectura adicional — no reemplaza ni cambia esta ponderación.</w:t>
      </w:r>
    </w:p>
    <w:p>
      <w:pPr>
        <w:numPr>
          <w:ilvl w:val="0"/>
          <w:numId w:val="1003"/>
        </w:numPr>
        <w:pStyle w:val="Compact"/>
      </w:pPr>
      <w:r>
        <w:rPr>
          <w:bCs/>
          <w:b/>
        </w:rPr>
        <w:t xml:space="preserve">Participación en otros indicadores.</w:t>
      </w:r>
      <w:r>
        <w:t xml:space="preserve"> </w:t>
      </w:r>
      <w:r>
        <w:t xml:space="preserve">El IPC participa además como deflactor de otros componentes del sistema: la recaudación real, el crédito privado real, el IDM y la tasa real del IdC. Un error de medición de la fuente se propagaría a esos indicadores.</w:t>
      </w:r>
    </w:p>
    <w:bookmarkEnd w:id="30"/>
    <w:bookmarkStart w:id="31" w:name="transparencia-limitaciones-declaradas"/>
    <w:p>
      <w:pPr>
        <w:pStyle w:val="Heading2"/>
        <w:keepNext/>
      </w:pPr>
      <w:r>
        <w:t xml:space="preserve">Transparencia — limitaciones declaradas</w:t>
      </w:r>
    </w:p>
    <w:p>
      <w:pPr>
        <w:numPr>
          <w:ilvl w:val="0"/>
          <w:numId w:val="1004"/>
        </w:numPr>
        <w:pStyle w:val="Compact"/>
      </w:pPr>
      <w:r>
        <w:t xml:space="preserve">Mide el promedio nacional del nivel general: no distingue núcleo, regulados y estacionales, ni las diferencias regionales que el propio INDEC publica por separado.</w:t>
      </w:r>
    </w:p>
    <w:p>
      <w:pPr>
        <w:numPr>
          <w:ilvl w:val="0"/>
          <w:numId w:val="1004"/>
        </w:numPr>
        <w:pStyle w:val="Compact"/>
      </w:pPr>
      <w:r>
        <w:t xml:space="preserve">Llega con rezago: al momento de cada informe, el último dato disponible puede tener entre dos y seis semanas de antigüedad. Las expectativas del REM, dentro de la misma dimensión, cubren parcialmente ese hueco.</w:t>
      </w:r>
    </w:p>
    <w:p>
      <w:pPr>
        <w:numPr>
          <w:ilvl w:val="0"/>
          <w:numId w:val="1004"/>
        </w:numPr>
        <w:pStyle w:val="Compact"/>
      </w:pPr>
      <w:r>
        <w:t xml:space="preserve">La variación de un solo mes es sensible a factores puntuales (correcciones tarifarias, estacionalidad de rubros) que no permiten distinguir el dato suelto de la tendencia.</w:t>
      </w:r>
    </w:p>
    <w:p>
      <w:pPr>
        <w:numPr>
          <w:ilvl w:val="0"/>
          <w:numId w:val="1004"/>
        </w:numPr>
        <w:pStyle w:val="Compact"/>
      </w:pPr>
      <w:r>
        <w:t xml:space="preserve">El IPC es además el deflactor de otros tres indicadores del cinturón (recaudación, crédito y tasa real del clima financiero): su peso real en el índice es mayor que su peso nominal, porque un error de medición se propagaría también a ellos. Se documenta como riesgo sistémico en la metodología general del índice.</w:t>
      </w:r>
    </w:p>
    <w:bookmarkEnd w:id="31"/>
    <w:bookmarkStart w:id="32" w:name="si-falta-el-dato-política-de-revisiones"/>
    <w:p>
      <w:pPr>
        <w:pStyle w:val="Heading2"/>
        <w:keepNext/>
      </w:pPr>
      <w:r>
        <w:t xml:space="preserve">Si falta el dato / Política de revisiones</w:t>
      </w:r>
    </w:p>
    <w:p>
      <w:pPr>
        <w:numPr>
          <w:ilvl w:val="0"/>
          <w:numId w:val="1005"/>
        </w:numPr>
      </w:pPr>
      <w:r>
        <w:rPr>
          <w:bCs/>
          <w:b/>
        </w:rPr>
        <w:t xml:space="preserve">Si falta el dato:</w:t>
      </w:r>
      <w:r>
        <w:t xml:space="preserve"> </w:t>
      </w:r>
      <w:r>
        <w:t xml:space="preserve">Si al calcular el índice el dato del mes no está publicado, el indicador queda fuera de esa actualización y los pesos de su dimensión se renormalizan entre los presentes: la ausencia no puntúa ni a favor ni en contra.</w:t>
      </w:r>
    </w:p>
    <w:p>
      <w:pPr>
        <w:numPr>
          <w:ilvl w:val="0"/>
          <w:numId w:val="1005"/>
        </w:numPr>
      </w:pPr>
      <w:r>
        <w:rPr>
          <w:bCs/>
          <w:b/>
        </w:rPr>
        <w:t xml:space="preserve">Política de revisiones:</w:t>
      </w:r>
      <w:r>
        <w:t xml:space="preserve"> </w:t>
      </w:r>
      <w:r>
        <w:t xml:space="preserve">El INDEC no revisa retroactivamente el IPC publicado: la serie de la fuente es definitiva. Del lado del informe, la serie se reconstruyó hacia atrás hasta julio de 2021 y todo cambio de método propio queda asentado en el historial de cambios (abajo).</w:t>
      </w:r>
    </w:p>
    <w:bookmarkEnd w:id="32"/>
    <w:bookmarkStart w:id="33" w:name="Xa4c99cad3d412932a0237e958bf70f8f0cdbe7e"/>
    <w:p>
      <w:pPr>
        <w:pStyle w:val="Heading2"/>
        <w:keepNext/>
      </w:pPr>
      <w:r>
        <w:t xml:space="preserve">Historial — cambios metodológicos documentados</w:t>
      </w:r>
    </w:p>
    <w:p>
      <w:pPr>
        <w:pStyle w:val="FirstParagraph"/>
      </w:pPr>
      <w:r>
        <w:rPr>
          <w:bCs/>
          <w:b/>
        </w:rPr>
        <w:t xml:space="preserve">2026-06</w:t>
      </w:r>
      <w:r>
        <w:t xml:space="preserve"> </w:t>
      </w:r>
      <w:r>
        <w:t xml:space="preserve">— El indicador deja de promediarse directamente como tensión 0–10 y pasa a puntuar dentro del ITCM según los umbrales institucionales de la paramétrica CIGOB (documento de mayo de 2026).</w:t>
      </w:r>
    </w:p>
    <w:p>
      <w:pPr>
        <w:pStyle w:val="BodyText"/>
      </w:pPr>
      <w:r>
        <w:rPr>
          <w:bCs/>
          <w:b/>
        </w:rPr>
        <w:t xml:space="preserve">2026-07-03</w:t>
      </w:r>
      <w:r>
        <w:t xml:space="preserve"> </w:t>
      </w:r>
      <w:r>
        <w:t xml:space="preserve">— El puntaje escalonado por banda se reemplaza por interpolación lineal entre anclas: se eliminan los saltos de 15–25 puntos entre valores casi iguales a ambos lados de un umbral. Los umbrales institucionales no cambian.</w:t>
      </w:r>
    </w:p>
    <w:p>
      <w:r>
        <w:br w:type="page"/>
      </w:r>
    </w:p>
    <w:p>
      <w:pPr>
        <w:pStyle w:val="BodyText"/>
      </w:pPr>
      <w:r>
        <w:rPr>
          <w:bCs/>
          <w:b/>
        </w:rPr>
        <w:t xml:space="preserve">CIGOB · INFORME DE COYUNTURA</w:t>
      </w:r>
    </w:p>
    <w:p>
      <w:pPr>
        <w:pStyle w:val="BodyText"/>
      </w:pPr>
      <w:r>
        <w:rPr>
          <w:iCs/>
          <w:i/>
        </w:rPr>
        <w:t xml:space="preserve">Ficha metodológica · Cinturón Macroeconomía · Capa de semáforo (4 colores)</w:t>
      </w:r>
    </w:p>
    <w:bookmarkEnd w:id="33"/>
    <w:bookmarkEnd w:id="34"/>
    <w:bookmarkStart w:id="44" w:name="reservas-netas"/>
    <w:p>
      <w:pPr>
        <w:pStyle w:val="Heading1"/>
        <w:keepNext/>
      </w:pPr>
      <w:r>
        <w:t xml:space="preserve">Reservas netas</w:t>
      </w:r>
    </w:p>
    <w:p>
      <w:pPr>
        <w:pStyle w:val="FirstParagraph"/>
        <w:spacing w:after="160"/>
      </w:pPr>
      <w:r>
        <w:t xml:space="preserve">Los dólares de libre disponibilidad del Banco Central: lo que realmente posee, descontada la deuda en moneda extranjera de corto plazo. Más exigente que las brutas.</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2806"/>
        <w:gridCol w:w="1334"/>
        <w:gridCol w:w="2349"/>
        <w:gridCol w:w="2583"/>
      </w:tblGrid>
      <w:tr>
        <w:trPr>
          <w:cantSplit/>
        </w:trPr>
        <w:tc>
          <w:tcPr>
            <w:tcW w:w="2806" w:type="dxa"/>
          </w:tcPr>
          <w:p>
            <w:pPr>
              <w:pStyle w:val="Compact"/>
              <w:jc w:val="left"/>
            </w:pPr>
            <w:r>
              <w:rPr>
                <w:bCs/>
                <w:b/>
                <w:sz w:val="18"/>
              </w:rPr>
              <w:t xml:space="preserve">Hoy: 4.885 Millones de USD</w:t>
            </w:r>
            <w:r>
              <w:rPr>
                <w:sz w:val="18"/>
              </w:rPr>
              <w:t xml:space="preserve"> </w:t>
            </w:r>
            <w:r>
              <w:rPr>
                <w:sz w:val="18"/>
              </w:rPr>
              <w:t xml:space="preserve">(2026-06)</w:t>
            </w:r>
          </w:p>
        </w:tc>
        <w:tc>
          <w:tcPr>
            <w:tcW w:w="1334" w:type="dxa"/>
            <w:shd w:val="clear" w:color="auto" w:fill="FFEDD5"/>
          </w:tcPr>
          <w:p>
            <w:pPr>
              <w:pStyle w:val="Compact"/>
              <w:jc w:val="center"/>
            </w:pPr>
            <w:r>
              <w:rPr>
                <w:bCs/>
                <w:b/>
                <w:sz w:val="18"/>
                <w:color w:val="7C2D12"/>
              </w:rPr>
              <w:t xml:space="preserve">NARANJA</w:t>
            </w:r>
          </w:p>
        </w:tc>
        <w:tc>
          <w:tcPr>
            <w:tcW w:w="2349" w:type="dxa"/>
          </w:tcPr>
          <w:p>
            <w:pPr>
              <w:pStyle w:val="Compact"/>
              <w:jc w:val="left"/>
            </w:pPr>
            <w:r>
              <w:rPr>
                <w:sz w:val="18"/>
              </w:rPr>
              <w:t xml:space="preserve">Peso efectivo 5,4 % del ITCM</w:t>
            </w:r>
          </w:p>
        </w:tc>
        <w:tc>
          <w:tcPr>
            <w:tcW w:w="2583" w:type="dxa"/>
          </w:tcPr>
          <w:p>
            <w:pPr>
              <w:pStyle w:val="Compact"/>
              <w:jc w:val="left"/>
            </w:pPr>
            <w:r>
              <w:rPr>
                <w:sz w:val="18"/>
              </w:rPr>
              <w:t xml:space="preserve">Cinturón Macroeconomía</w:t>
            </w:r>
          </w:p>
        </w:tc>
      </w:tr>
    </w:tbl>
    <w:bookmarkStart w:id="35" w:name="identificación-1"/>
    <w:p>
      <w:pPr>
        <w:pStyle w:val="Heading2"/>
        <w:keepNext/>
        <w:spacing w:after="160"/>
      </w:pPr>
      <w:r>
        <w:t xml:space="preserve">Identificación</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1837"/>
        <w:gridCol w:w="2396"/>
        <w:gridCol w:w="1852"/>
        <w:gridCol w:w="2987"/>
      </w:tblGrid>
      <w:tr>
        <w:trPr>
          <w:cantSplit/>
        </w:trPr>
        <w:tc>
          <w:tcPr>
            <w:tcW w:w="1837" w:type="dxa"/>
          </w:tcPr>
          <w:p>
            <w:pPr>
              <w:pStyle w:val="Compact"/>
              <w:jc w:val="left"/>
            </w:pPr>
            <w:r>
              <w:rPr>
                <w:bCs/>
                <w:b/>
                <w:sz w:val="18"/>
              </w:rPr>
              <w:t xml:space="preserve">IDENTIFICADOR TÉCNICO</w:t>
            </w:r>
          </w:p>
        </w:tc>
        <w:tc>
          <w:tcPr>
            <w:tcW w:w="2396" w:type="dxa"/>
          </w:tcPr>
          <w:p>
            <w:pPr>
              <w:pStyle w:val="Compact"/>
              <w:jc w:val="left"/>
            </w:pPr>
            <w:r>
              <w:rPr>
                <w:sz w:val="18"/>
              </w:rPr>
              <w:t xml:space="preserve">reservas_bcra</w:t>
            </w:r>
          </w:p>
        </w:tc>
        <w:tc>
          <w:tcPr>
            <w:tcW w:w="1852" w:type="dxa"/>
          </w:tcPr>
          <w:p>
            <w:pPr>
              <w:pStyle w:val="Compact"/>
              <w:jc w:val="left"/>
            </w:pPr>
            <w:r>
              <w:rPr>
                <w:bCs/>
                <w:b/>
                <w:sz w:val="18"/>
              </w:rPr>
              <w:t xml:space="preserve">CINTURÓN</w:t>
            </w:r>
          </w:p>
        </w:tc>
        <w:tc>
          <w:tcPr>
            <w:tcW w:w="2987" w:type="dxa"/>
          </w:tcPr>
          <w:p>
            <w:pPr>
              <w:pStyle w:val="Compact"/>
              <w:jc w:val="left"/>
            </w:pPr>
            <w:r>
              <w:rPr>
                <w:sz w:val="18"/>
              </w:rPr>
              <w:t xml:space="preserve">Macroeconomía</w:t>
            </w:r>
          </w:p>
        </w:tc>
      </w:tr>
      <w:tr>
        <w:trPr>
          <w:cantSplit/>
        </w:trPr>
        <w:tc>
          <w:tcPr>
            <w:tcW w:w="1837" w:type="dxa"/>
          </w:tcPr>
          <w:p>
            <w:pPr>
              <w:pStyle w:val="Compact"/>
              <w:jc w:val="left"/>
            </w:pPr>
            <w:r>
              <w:rPr>
                <w:bCs/>
                <w:b/>
                <w:sz w:val="18"/>
              </w:rPr>
              <w:t xml:space="preserve">DIMENSIÓN EN EL ITCM</w:t>
            </w:r>
          </w:p>
        </w:tc>
        <w:tc>
          <w:tcPr>
            <w:tcW w:w="2396" w:type="dxa"/>
          </w:tcPr>
          <w:p>
            <w:pPr>
              <w:pStyle w:val="Compact"/>
              <w:jc w:val="left"/>
            </w:pPr>
            <w:r>
              <w:rPr>
                <w:sz w:val="18"/>
              </w:rPr>
              <w:t xml:space="preserve">Capacidad y costo del financiamiento</w:t>
            </w:r>
          </w:p>
        </w:tc>
        <w:tc>
          <w:tcPr>
            <w:tcW w:w="1852" w:type="dxa"/>
          </w:tcPr>
          <w:p>
            <w:pPr>
              <w:pStyle w:val="Compact"/>
              <w:jc w:val="left"/>
            </w:pPr>
            <w:r>
              <w:rPr>
                <w:bCs/>
                <w:b/>
                <w:sz w:val="18"/>
              </w:rPr>
              <w:t xml:space="preserve">UNIDAD DE MEDIDA</w:t>
            </w:r>
          </w:p>
        </w:tc>
        <w:tc>
          <w:tcPr>
            <w:tcW w:w="2987" w:type="dxa"/>
          </w:tcPr>
          <w:p>
            <w:pPr>
              <w:pStyle w:val="Compact"/>
              <w:jc w:val="left"/>
            </w:pPr>
            <w:r>
              <w:rPr>
                <w:sz w:val="18"/>
              </w:rPr>
              <w:t xml:space="preserve">Millones de USD</w:t>
            </w:r>
          </w:p>
        </w:tc>
      </w:tr>
      <w:tr>
        <w:trPr>
          <w:cantSplit/>
        </w:trPr>
        <w:tc>
          <w:tcPr>
            <w:tcW w:w="1837" w:type="dxa"/>
          </w:tcPr>
          <w:p>
            <w:pPr>
              <w:pStyle w:val="Compact"/>
              <w:jc w:val="left"/>
            </w:pPr>
            <w:r>
              <w:rPr>
                <w:bCs/>
                <w:b/>
                <w:sz w:val="18"/>
              </w:rPr>
              <w:t xml:space="preserve">SERIE DISPONIBLE</w:t>
            </w:r>
          </w:p>
        </w:tc>
        <w:tc>
          <w:tcPr>
            <w:tcW w:w="2396" w:type="dxa"/>
          </w:tcPr>
          <w:p>
            <w:pPr>
              <w:pStyle w:val="Compact"/>
              <w:jc w:val="left"/>
            </w:pPr>
            <w:r>
              <w:rPr>
                <w:sz w:val="18"/>
              </w:rPr>
              <w:t xml:space="preserve">2024-06 → 2026-06 (25 puntos)</w:t>
            </w:r>
          </w:p>
        </w:tc>
        <w:tc>
          <w:tcPr>
            <w:tcW w:w="1852" w:type="dxa"/>
          </w:tcPr>
          <w:p>
            <w:pPr>
              <w:pStyle w:val="Compact"/>
              <w:jc w:val="left"/>
            </w:pPr>
            <w:r>
              <w:rPr>
                <w:bCs/>
                <w:b/>
                <w:sz w:val="18"/>
              </w:rPr>
              <w:t xml:space="preserve">REZAGO DE PUBLICACIÓN</w:t>
            </w:r>
          </w:p>
        </w:tc>
        <w:tc>
          <w:tcPr>
            <w:tcW w:w="2987" w:type="dxa"/>
          </w:tcPr>
          <w:p>
            <w:pPr>
              <w:pStyle w:val="Compact"/>
              <w:jc w:val="left"/>
            </w:pPr>
            <w:r>
              <w:rPr>
                <w:sz w:val="18"/>
              </w:rPr>
              <w:t xml:space="preserve">La planilla de reservas y liquidez del BCRA se publica unas tres semanas después del cierre de cada mes; el informe la incorpora automáticamente.</w:t>
            </w:r>
          </w:p>
        </w:tc>
      </w:tr>
      <w:tr>
        <w:trPr>
          <w:cantSplit/>
        </w:trPr>
        <w:tc>
          <w:tcPr>
            <w:tcW w:w="1837" w:type="dxa"/>
          </w:tcPr>
          <w:p>
            <w:pPr>
              <w:pStyle w:val="Compact"/>
              <w:jc w:val="left"/>
            </w:pPr>
            <w:r>
              <w:rPr>
                <w:bCs/>
                <w:b/>
                <w:sz w:val="18"/>
              </w:rPr>
              <w:t xml:space="preserve">PRODUCTOR DEL DATO</w:t>
            </w:r>
          </w:p>
        </w:tc>
        <w:tc>
          <w:tcPr>
            <w:tcW w:w="2396" w:type="dxa"/>
          </w:tcPr>
          <w:p>
            <w:pPr>
              <w:pStyle w:val="Compact"/>
              <w:jc w:val="left"/>
            </w:pPr>
            <w:r>
              <w:rPr>
                <w:sz w:val="18"/>
              </w:rPr>
              <w:t xml:space="preserve">BCRA</w:t>
            </w:r>
          </w:p>
        </w:tc>
        <w:tc>
          <w:tcPr>
            <w:tcW w:w="1852" w:type="dxa"/>
          </w:tcPr>
          <w:p>
            <w:pPr>
              <w:pStyle w:val="Compact"/>
              <w:jc w:val="left"/>
            </w:pPr>
            <w:r>
              <w:rPr>
                <w:bCs/>
                <w:b/>
                <w:sz w:val="18"/>
              </w:rPr>
              <w:t xml:space="preserve">OPERACIÓN ESTADÍSTICA</w:t>
            </w:r>
          </w:p>
        </w:tc>
        <w:tc>
          <w:tcPr>
            <w:tcW w:w="2987" w:type="dxa"/>
          </w:tcPr>
          <w:p>
            <w:pPr>
              <w:pStyle w:val="Compact"/>
              <w:jc w:val="left"/>
            </w:pPr>
            <w:r>
              <w:rPr>
                <w:sz w:val="18"/>
              </w:rPr>
              <w:t xml:space="preserve">Planilla SDDS «Reservas internacionales y liquidez en moneda extranjera» + Balance Consolidado del BCRA (depósitos del Tesoro en dólares)</w:t>
            </w:r>
          </w:p>
        </w:tc>
      </w:tr>
      <w:tr>
        <w:trPr>
          <w:cantSplit/>
        </w:trPr>
        <w:tc>
          <w:tcPr>
            <w:tcW w:w="1837" w:type="dxa"/>
          </w:tcPr>
          <w:p>
            <w:pPr>
              <w:pStyle w:val="Compact"/>
              <w:jc w:val="left"/>
            </w:pPr>
            <w:r>
              <w:rPr>
                <w:bCs/>
                <w:b/>
                <w:sz w:val="18"/>
              </w:rPr>
              <w:t xml:space="preserve">MODO DE ACCESO</w:t>
            </w:r>
          </w:p>
        </w:tc>
        <w:tc>
          <w:tcPr>
            <w:tcW w:w="2396" w:type="dxa"/>
          </w:tcPr>
          <w:p>
            <w:pPr>
              <w:pStyle w:val="Compact"/>
              <w:jc w:val="left"/>
            </w:pPr>
            <w:r>
              <w:rPr>
                <w:sz w:val="18"/>
              </w:rPr>
              <w:t xml:space="preserve">Automático: se leen la planilla oficial del mes y el Balance Consolidado; el resultado se valida contra las reservas brutas de la API de estadísticas.</w:t>
            </w:r>
          </w:p>
        </w:tc>
        <w:tc>
          <w:tcPr>
            <w:tcW w:w="1852" w:type="dxa"/>
          </w:tcPr>
          <w:p>
            <w:pPr>
              <w:pStyle w:val="Compact"/>
              <w:jc w:val="left"/>
            </w:pPr>
            <w:r>
              <w:rPr>
                <w:bCs/>
                <w:b/>
                <w:sz w:val="18"/>
              </w:rPr>
              <w:t xml:space="preserve">ÚLTIMA ACTUALIZACIÓN</w:t>
            </w:r>
          </w:p>
        </w:tc>
        <w:tc>
          <w:tcPr>
            <w:tcW w:w="2987" w:type="dxa"/>
          </w:tcPr>
          <w:p>
            <w:pPr>
              <w:pStyle w:val="Compact"/>
              <w:jc w:val="left"/>
            </w:pPr>
            <w:r>
              <w:rPr>
                <w:sz w:val="18"/>
              </w:rPr>
              <w:t xml:space="preserve">Dato a 2026-06 · informe generado el 2026-08-09</w:t>
            </w:r>
          </w:p>
        </w:tc>
      </w:tr>
    </w:tbl>
    <w:bookmarkEnd w:id="35"/>
    <w:bookmarkStart w:id="36" w:name="definición-qué-mide-y-por-qué-importa-1"/>
    <w:p>
      <w:pPr>
        <w:pStyle w:val="Heading2"/>
        <w:keepNext/>
      </w:pPr>
      <w:r>
        <w:t xml:space="preserve">Definición — qué mide y por qué importa</w:t>
      </w:r>
    </w:p>
    <w:p>
      <w:pPr>
        <w:pStyle w:val="FirstParagraph"/>
      </w:pPr>
      <w:r>
        <w:t xml:space="preserve">Los dólares de libre disponibilidad del Banco Central: lo que realmente posee, descontada la deuda en moneda extranjera de corto plazo. Más exigente que las brutas.</w:t>
      </w:r>
    </w:p>
    <w:p>
      <w:pPr>
        <w:pStyle w:val="BodyText"/>
      </w:pPr>
      <w:r>
        <w:t xml:space="preserve">Es el termómetro real de la solvencia externa: con netas bajas o negativas, cualquier shock obliga a devaluar o a frenar importaciones. Las brutas pueden lucir altas y ocultar esa fragilidad.</w:t>
      </w:r>
    </w:p>
    <w:p>
      <w:pPr>
        <w:pStyle w:val="BodyText"/>
      </w:pPr>
      <w:r>
        <w:rPr>
          <w:bCs/>
          <w:b/>
        </w:rPr>
        <w:t xml:space="preserve">Dimensión que integra — Capacidad y costo del financiamiento.</w:t>
      </w:r>
      <w:r>
        <w:t xml:space="preserve"> </w:t>
      </w:r>
      <w:r>
        <w:t xml:space="preserve">Si hay combustible para la economía: reservas netas (el respaldo externo), capacidad prestable del sistema financiero (IdC) y crédito real efectivamente otorgado.</w:t>
      </w:r>
    </w:p>
    <w:bookmarkEnd w:id="36"/>
    <w:bookmarkStart w:id="37" w:name="método-de-cómputo-1"/>
    <w:p>
      <w:pPr>
        <w:pStyle w:val="Heading2"/>
        <w:keepNext/>
      </w:pPr>
      <w:r>
        <w:t xml:space="preserve">Método de cómputo</w:t>
      </w:r>
    </w:p>
    <w:p>
      <w:pPr>
        <w:numPr>
          <w:ilvl w:val="0"/>
          <w:numId w:val="1006"/>
        </w:numPr>
        <w:pStyle w:val="Compact"/>
      </w:pPr>
      <w:r>
        <w:t xml:space="preserve">Reservas netas «a secas», el número que sigue el mercado: activos de reserva menos los fondos comprometidos (préstamos y depósitos en divisa, operaciones a término y pases).</w:t>
      </w:r>
    </w:p>
    <w:p>
      <w:pPr>
        <w:numPr>
          <w:ilvl w:val="0"/>
          <w:numId w:val="1006"/>
        </w:numPr>
        <w:pStyle w:val="Compact"/>
      </w:pPr>
      <w:r>
        <w:t xml:space="preserve">Se suman de vuelta los depósitos del Tesoro en dólares y los vencimientos de deuda en divisa a 12 meses, que figuran como pasivos pero no son pasivos del Banco Central para defender el tipo de cambio.</w:t>
      </w:r>
    </w:p>
    <w:p>
      <w:pPr>
        <w:numPr>
          <w:ilvl w:val="0"/>
          <w:numId w:val="1006"/>
        </w:numPr>
        <w:pStyle w:val="Compact"/>
      </w:pPr>
      <w:r>
        <w:t xml:space="preserve">Los tres términos salen de fuentes oficiales: no hay constantes cargadas a mano.</w:t>
      </w:r>
    </w:p>
    <w:bookmarkEnd w:id="37"/>
    <w:bookmarkStart w:id="38" w:name="Xb12ddc46376972206f8477b880174f9cd0b3196"/>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spacing w:after="160"/>
      </w:pPr>
      <w:r>
        <w:rPr>
          <w:bCs/>
          <w:b/>
        </w:rPr>
        <w:t xml:space="preserve">Valores que definen cada color</w:t>
      </w:r>
    </w:p>
    <w:tbl>
      <w:tblPr>
        <w:tblStyle w:val="Table"/>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5497"/>
        <w:gridCol w:w="3575"/>
      </w:tblGrid>
      <w:tr>
        <w:trPr>
          <w:cantSplit/>
          <w:tblHeader/>
        </w:trPr>
        <w:tc>
          <w:tcPr>
            <w:tcW w:w="5497" w:type="dxa"/>
            <w:shd w:val="clear" w:color="auto" w:fill="1F3A34"/>
          </w:tcPr>
          <w:p>
            <w:pPr>
              <w:pStyle w:val="Compact"/>
              <w:jc w:val="left"/>
            </w:pPr>
            <w:r>
              <w:rPr>
                <w:b/>
                <w:sz w:val="18"/>
                <w:color w:val="FFFFFF"/>
              </w:rPr>
              <w:t xml:space="preserve">Rango (Millones de USD)</w:t>
            </w:r>
          </w:p>
        </w:tc>
        <w:tc>
          <w:tcPr>
            <w:tcW w:w="3575" w:type="dxa"/>
            <w:shd w:val="clear" w:color="auto" w:fill="1F3A34"/>
          </w:tcPr>
          <w:p>
            <w:pPr>
              <w:pStyle w:val="Compact"/>
              <w:jc w:val="left"/>
            </w:pPr>
            <w:r>
              <w:rPr>
                <w:b/>
                <w:sz w:val="18"/>
                <w:color w:val="FFFFFF"/>
              </w:rPr>
              <w:t xml:space="preserve">Color</w:t>
            </w:r>
          </w:p>
        </w:tc>
      </w:tr>
      <w:tr>
        <w:trPr>
          <w:cantSplit/>
        </w:trPr>
        <w:tc>
          <w:tcPr>
            <w:tcW w:w="5497" w:type="dxa"/>
          </w:tcPr>
          <w:p>
            <w:pPr>
              <w:pStyle w:val="Compact"/>
              <w:jc w:val="left"/>
            </w:pPr>
            <w:r>
              <w:rPr>
                <w:sz w:val="18"/>
              </w:rPr>
              <w:t xml:space="preserve">≥ 10.000</w:t>
            </w:r>
          </w:p>
        </w:tc>
        <w:tc>
          <w:tcPr>
            <w:tcW w:w="3575" w:type="dxa"/>
            <w:shd w:val="clear" w:color="auto" w:fill="DCFCE7"/>
          </w:tcPr>
          <w:p>
            <w:pPr>
              <w:pStyle w:val="Compact"/>
              <w:jc w:val="center"/>
            </w:pPr>
            <w:r>
              <w:rPr>
                <w:b/>
                <w:sz w:val="18"/>
                <w:color w:val="14532D"/>
              </w:rPr>
              <w:t xml:space="preserve">VERDE</w:t>
            </w:r>
          </w:p>
        </w:tc>
      </w:tr>
      <w:tr>
        <w:trPr>
          <w:cantSplit/>
        </w:trPr>
        <w:tc>
          <w:tcPr>
            <w:tcW w:w="5497" w:type="dxa"/>
            <w:shd w:val="clear" w:color="auto" w:fill="F6F8F7"/>
          </w:tcPr>
          <w:p>
            <w:pPr>
              <w:pStyle w:val="Compact"/>
              <w:jc w:val="left"/>
            </w:pPr>
            <w:r>
              <w:rPr>
                <w:sz w:val="18"/>
              </w:rPr>
              <w:t xml:space="preserve">5.000 – 10.000</w:t>
            </w:r>
          </w:p>
        </w:tc>
        <w:tc>
          <w:tcPr>
            <w:tcW w:w="3575" w:type="dxa"/>
            <w:shd w:val="clear" w:color="auto" w:fill="FEF3C7"/>
          </w:tcPr>
          <w:p>
            <w:pPr>
              <w:pStyle w:val="Compact"/>
              <w:jc w:val="center"/>
            </w:pPr>
            <w:r>
              <w:rPr>
                <w:b/>
                <w:sz w:val="18"/>
                <w:color w:val="713F12"/>
              </w:rPr>
              <w:t xml:space="preserve">AMARILLO</w:t>
            </w:r>
          </w:p>
        </w:tc>
      </w:tr>
      <w:tr>
        <w:trPr>
          <w:cantSplit/>
        </w:trPr>
        <w:tc>
          <w:tcPr>
            <w:tcW w:w="5497" w:type="dxa"/>
          </w:tcPr>
          <w:p>
            <w:pPr>
              <w:pStyle w:val="Compact"/>
              <w:jc w:val="left"/>
            </w:pPr>
            <w:r>
              <w:rPr>
                <w:sz w:val="18"/>
              </w:rPr>
              <w:t xml:space="preserve">≤ 5.000</w:t>
            </w:r>
          </w:p>
        </w:tc>
        <w:tc>
          <w:tcPr>
            <w:tcW w:w="3575" w:type="dxa"/>
            <w:shd w:val="clear" w:color="auto" w:fill="FFEDD5"/>
          </w:tcPr>
          <w:p>
            <w:pPr>
              <w:pStyle w:val="Compact"/>
              <w:jc w:val="center"/>
            </w:pPr>
            <w:r>
              <w:rPr>
                <w:b/>
                <w:sz w:val="18"/>
                <w:color w:val="7C2D12"/>
              </w:rPr>
              <w:t xml:space="preserve">NARANJA</w:t>
            </w:r>
          </w:p>
        </w:tc>
      </w:tr>
    </w:tbl>
    <w:bookmarkEnd w:id="38"/>
    <w:bookmarkStart w:id="39" w:name="datos-concretos-detrás-del-valor-1"/>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07"/>
        </w:numPr>
        <w:pStyle w:val="Compact"/>
      </w:pPr>
      <w:r>
        <w:t xml:space="preserve">netas 4885 = SDDS estricto -1704 + Tesoro 3920 + Bopreal 2670 (M USD)</w:t>
      </w:r>
    </w:p>
    <w:bookmarkEnd w:id="39"/>
    <w:bookmarkStart w:id="40" w:name="color-vigente-y-por-qué-1"/>
    <w:p>
      <w:pPr>
        <w:pStyle w:val="Heading2"/>
        <w:keepNext/>
      </w:pPr>
      <w:r>
        <w:t xml:space="preserve">Color vigente y por qué</w:t>
      </w:r>
    </w:p>
    <w:p>
      <w:pPr>
        <w:pStyle w:val="FirstParagraph"/>
      </w:pPr>
      <w:r>
        <w:t xml:space="preserve">Dato vigente: 4.885 Millones de USD (2026-06).</w:t>
      </w:r>
    </w:p>
    <w:p>
      <w:pPr>
        <w:pStyle w:val="BodyText"/>
      </w:pPr>
      <w:r>
        <w:t xml:space="preserve">4885,0 Millones de USD cae en el tramo que corresponde a Naranja, a 115,0 del corte más cercano.</w:t>
      </w:r>
    </w:p>
    <w:p>
      <w:pPr>
        <w:pStyle w:val="BodyText"/>
      </w:pPr>
      <w:r>
        <w:rPr>
          <w:bCs/>
          <w:b/>
        </w:rPr>
        <w:t xml:space="preserve">Color vigente: NARANJA</w:t>
      </w:r>
    </w:p>
    <w:p>
      <w:pPr>
        <w:pStyle w:val="BodyText"/>
      </w:pPr>
      <w:r>
        <w:t xml:space="preserve">Ponderación vigente en el ITCM: 5,4 % efectivo. El color es una lectura adicional — no reemplaza ni cambia esta ponderación.</w:t>
      </w:r>
    </w:p>
    <w:bookmarkEnd w:id="40"/>
    <w:bookmarkStart w:id="41" w:name="transparencia-limitaciones-declaradas-1"/>
    <w:p>
      <w:pPr>
        <w:pStyle w:val="Heading2"/>
        <w:keepNext/>
      </w:pPr>
      <w:r>
        <w:t xml:space="preserve">Transparencia — limitaciones declaradas</w:t>
      </w:r>
    </w:p>
    <w:p>
      <w:pPr>
        <w:numPr>
          <w:ilvl w:val="0"/>
          <w:numId w:val="1008"/>
        </w:numPr>
        <w:pStyle w:val="Compact"/>
      </w:pPr>
      <w:r>
        <w:t xml:space="preserve">«Reservas netas» no es un número único: es un espectro según qué pasivos se descuentan. Otras mediciones más exigentes (o la del FMI) pueden diferir en miles de millones por criterio, no por error.</w:t>
      </w:r>
    </w:p>
    <w:p>
      <w:pPr>
        <w:numPr>
          <w:ilvl w:val="0"/>
          <w:numId w:val="1008"/>
        </w:numPr>
        <w:pStyle w:val="Compact"/>
      </w:pPr>
      <w:r>
        <w:t xml:space="preserve">El dato es a cierre de mes; el número diario que circula en el mercado puede diferir en algunos cientos de millones por la fecha de corte.</w:t>
      </w:r>
    </w:p>
    <w:p>
      <w:pPr>
        <w:numPr>
          <w:ilvl w:val="0"/>
          <w:numId w:val="1008"/>
        </w:numPr>
        <w:pStyle w:val="Compact"/>
      </w:pPr>
      <w:r>
        <w:t xml:space="preserve">El BCRA retira las planillas viejas de su sitio: la serie histórica propia solo llega hasta mediados de 2024 hacia atrás.</w:t>
      </w:r>
    </w:p>
    <w:bookmarkEnd w:id="41"/>
    <w:bookmarkStart w:id="42" w:name="X5bd7fb7e3de0539204b5af8f15d14927966600e"/>
    <w:p>
      <w:pPr>
        <w:pStyle w:val="Heading2"/>
        <w:keepNext/>
      </w:pPr>
      <w:r>
        <w:t xml:space="preserve">Si falta el dato / Política de revisiones</w:t>
      </w:r>
    </w:p>
    <w:p>
      <w:pPr>
        <w:numPr>
          <w:ilvl w:val="0"/>
          <w:numId w:val="1009"/>
        </w:numPr>
      </w:pPr>
      <w:r>
        <w:rPr>
          <w:bCs/>
          <w:b/>
        </w:rPr>
        <w:t xml:space="preserve">Si falta el dato:</w:t>
      </w:r>
      <w:r>
        <w:t xml:space="preserve"> </w:t>
      </w:r>
      <w:r>
        <w:t xml:space="preserve">Si la planilla no está disponible, el cálculo cae a las reservas brutas de la API menos los últimos drenajes conocidos; si todo falla, se mantiene el último valor disponible, señalado como desactualizado y los pesos del índice se renormalizan.</w:t>
      </w:r>
    </w:p>
    <w:p>
      <w:pPr>
        <w:numPr>
          <w:ilvl w:val="0"/>
          <w:numId w:val="1009"/>
        </w:numPr>
      </w:pPr>
      <w:r>
        <w:rPr>
          <w:bCs/>
          <w:b/>
        </w:rPr>
        <w:t xml:space="preserve">Política de revisiones:</w:t>
      </w:r>
      <w:r>
        <w:t xml:space="preserve"> </w:t>
      </w:r>
      <w:r>
        <w:t xml:space="preserve">La planilla publicada no se revisa; el informe reconstruye la serie completa releyendo todas las planillas disponibles en cada actualización.</w:t>
      </w:r>
    </w:p>
    <w:bookmarkEnd w:id="42"/>
    <w:bookmarkStart w:id="43" w:name="X96d65d75de98372a532c7c1fba300d7558b9e4c"/>
    <w:p>
      <w:pPr>
        <w:pStyle w:val="Heading2"/>
        <w:keepNext/>
      </w:pPr>
      <w:r>
        <w:t xml:space="preserve">Historial — cambios metodológicos documentados</w:t>
      </w:r>
    </w:p>
    <w:p>
      <w:pPr>
        <w:pStyle w:val="FirstParagraph"/>
      </w:pPr>
      <w:r>
        <w:rPr>
          <w:bCs/>
          <w:b/>
        </w:rPr>
        <w:t xml:space="preserve">2026-06-26</w:t>
      </w:r>
      <w:r>
        <w:t xml:space="preserve"> </w:t>
      </w:r>
      <w:r>
        <w:t xml:space="preserve">— El indicador deja las reservas brutas del documento original y pasa a las netas «a secas», con los tres términos calculados de fuentes oficiales y escala propia.</w:t>
      </w:r>
    </w:p>
    <w:p>
      <w:pPr>
        <w:pStyle w:val="BodyText"/>
      </w:pPr>
      <w:r>
        <w:rPr>
          <w:bCs/>
          <w:b/>
        </w:rPr>
        <w:t xml:space="preserve">2026-07-03</w:t>
      </w:r>
      <w:r>
        <w:t xml:space="preserve"> </w:t>
      </w:r>
      <w:r>
        <w:t xml:space="preserve">— Puntaje interpolado entre anclas en lugar de escalones por banda.</w:t>
      </w:r>
    </w:p>
    <w:p>
      <w:r>
        <w:br w:type="page"/>
      </w:r>
    </w:p>
    <w:p>
      <w:pPr>
        <w:pStyle w:val="BodyText"/>
      </w:pPr>
      <w:r>
        <w:rPr>
          <w:bCs/>
          <w:b/>
        </w:rPr>
        <w:t xml:space="preserve">CIGOB · INFORME DE COYUNTURA</w:t>
      </w:r>
    </w:p>
    <w:p>
      <w:pPr>
        <w:pStyle w:val="BodyText"/>
      </w:pPr>
      <w:r>
        <w:rPr>
          <w:iCs/>
          <w:i/>
        </w:rPr>
        <w:t xml:space="preserve">Ficha metodológica · Cinturón Macroeconomía · Capa de semáforo (4 colores)</w:t>
      </w:r>
    </w:p>
    <w:bookmarkEnd w:id="43"/>
    <w:bookmarkEnd w:id="44"/>
    <w:bookmarkStart w:id="54" w:name="capacidad-prestable-idc"/>
    <w:p>
      <w:pPr>
        <w:pStyle w:val="Heading1"/>
        <w:keepNext/>
      </w:pPr>
      <w:r>
        <w:t xml:space="preserve">Capacidad prestable (IdC)</w:t>
      </w:r>
    </w:p>
    <w:p>
      <w:pPr>
        <w:pStyle w:val="FirstParagraph"/>
        <w:spacing w:after="160"/>
      </w:pPr>
      <w:r>
        <w:t xml:space="preserve">Índice de Capacidad Prestable: mide si el sistema financiero tiene fondos y margen para prestar, comparando tres niveles contra su propia historia — la tasa real que reciben los depositantes (precio), el crecimiento interanual real de los depósitos privados (volumen) y la holgura entre depósitos y préstamos (asignación).</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2811"/>
        <w:gridCol w:w="1439"/>
        <w:gridCol w:w="2287"/>
        <w:gridCol w:w="2535"/>
      </w:tblGrid>
      <w:tr>
        <w:trPr>
          <w:cantSplit/>
        </w:trPr>
        <w:tc>
          <w:tcPr>
            <w:tcW w:w="2811" w:type="dxa"/>
          </w:tcPr>
          <w:p>
            <w:pPr>
              <w:pStyle w:val="Compact"/>
              <w:jc w:val="left"/>
            </w:pPr>
            <w:r>
              <w:rPr>
                <w:bCs/>
                <w:b/>
                <w:sz w:val="18"/>
              </w:rPr>
              <w:t xml:space="preserve">Hoy: −0,25 σ vs. su historia</w:t>
            </w:r>
            <w:r>
              <w:rPr>
                <w:sz w:val="18"/>
              </w:rPr>
              <w:t xml:space="preserve"> </w:t>
            </w:r>
            <w:r>
              <w:rPr>
                <w:sz w:val="18"/>
              </w:rPr>
              <w:t xml:space="preserve">(2026-06)</w:t>
            </w:r>
          </w:p>
        </w:tc>
        <w:tc>
          <w:tcPr>
            <w:tcW w:w="1439" w:type="dxa"/>
            <w:shd w:val="clear" w:color="auto" w:fill="FEF3C7"/>
          </w:tcPr>
          <w:p>
            <w:pPr>
              <w:pStyle w:val="Compact"/>
              <w:jc w:val="center"/>
            </w:pPr>
            <w:r>
              <w:rPr>
                <w:bCs/>
                <w:b/>
                <w:sz w:val="18"/>
                <w:color w:val="713F12"/>
              </w:rPr>
              <w:t xml:space="preserve">AMARILLO</w:t>
            </w:r>
          </w:p>
        </w:tc>
        <w:tc>
          <w:tcPr>
            <w:tcW w:w="2287" w:type="dxa"/>
          </w:tcPr>
          <w:p>
            <w:pPr>
              <w:pStyle w:val="Compact"/>
              <w:jc w:val="left"/>
            </w:pPr>
            <w:r>
              <w:rPr>
                <w:sz w:val="18"/>
              </w:rPr>
              <w:t xml:space="preserve">Peso efectivo 3,4 % del ITCM</w:t>
            </w:r>
          </w:p>
        </w:tc>
        <w:tc>
          <w:tcPr>
            <w:tcW w:w="2535" w:type="dxa"/>
          </w:tcPr>
          <w:p>
            <w:pPr>
              <w:pStyle w:val="Compact"/>
              <w:jc w:val="left"/>
            </w:pPr>
            <w:r>
              <w:rPr>
                <w:sz w:val="18"/>
              </w:rPr>
              <w:t xml:space="preserve">Cinturón Macroeconomía</w:t>
            </w:r>
          </w:p>
        </w:tc>
      </w:tr>
    </w:tbl>
    <w:bookmarkStart w:id="45" w:name="identificación-2"/>
    <w:p>
      <w:pPr>
        <w:pStyle w:val="Heading2"/>
        <w:keepNext/>
        <w:spacing w:after="160"/>
      </w:pPr>
      <w:r>
        <w:t xml:space="preserve">Identificación</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1863"/>
        <w:gridCol w:w="2574"/>
        <w:gridCol w:w="1880"/>
        <w:gridCol w:w="2755"/>
      </w:tblGrid>
      <w:tr>
        <w:trPr>
          <w:cantSplit/>
        </w:trPr>
        <w:tc>
          <w:tcPr>
            <w:tcW w:w="1863" w:type="dxa"/>
          </w:tcPr>
          <w:p>
            <w:pPr>
              <w:pStyle w:val="Compact"/>
              <w:jc w:val="left"/>
            </w:pPr>
            <w:r>
              <w:rPr>
                <w:bCs/>
                <w:b/>
                <w:sz w:val="18"/>
              </w:rPr>
              <w:t xml:space="preserve">IDENTIFICADOR TÉCNICO</w:t>
            </w:r>
          </w:p>
        </w:tc>
        <w:tc>
          <w:tcPr>
            <w:tcW w:w="2574" w:type="dxa"/>
          </w:tcPr>
          <w:p>
            <w:pPr>
              <w:pStyle w:val="Compact"/>
              <w:jc w:val="left"/>
            </w:pPr>
            <w:r>
              <w:rPr>
                <w:sz w:val="18"/>
              </w:rPr>
              <w:t xml:space="preserve">idc</w:t>
            </w:r>
          </w:p>
        </w:tc>
        <w:tc>
          <w:tcPr>
            <w:tcW w:w="1880" w:type="dxa"/>
          </w:tcPr>
          <w:p>
            <w:pPr>
              <w:pStyle w:val="Compact"/>
              <w:jc w:val="left"/>
            </w:pPr>
            <w:r>
              <w:rPr>
                <w:bCs/>
                <w:b/>
                <w:sz w:val="18"/>
              </w:rPr>
              <w:t xml:space="preserve">CINTURÓN</w:t>
            </w:r>
          </w:p>
        </w:tc>
        <w:tc>
          <w:tcPr>
            <w:tcW w:w="2755" w:type="dxa"/>
          </w:tcPr>
          <w:p>
            <w:pPr>
              <w:pStyle w:val="Compact"/>
              <w:jc w:val="left"/>
            </w:pPr>
            <w:r>
              <w:rPr>
                <w:sz w:val="18"/>
              </w:rPr>
              <w:t xml:space="preserve">Macroeconomía</w:t>
            </w:r>
          </w:p>
        </w:tc>
      </w:tr>
      <w:tr>
        <w:trPr>
          <w:cantSplit/>
        </w:trPr>
        <w:tc>
          <w:tcPr>
            <w:tcW w:w="1863" w:type="dxa"/>
          </w:tcPr>
          <w:p>
            <w:pPr>
              <w:pStyle w:val="Compact"/>
              <w:jc w:val="left"/>
            </w:pPr>
            <w:r>
              <w:rPr>
                <w:bCs/>
                <w:b/>
                <w:sz w:val="18"/>
              </w:rPr>
              <w:t xml:space="preserve">DIMENSIÓN EN EL ITCM</w:t>
            </w:r>
          </w:p>
        </w:tc>
        <w:tc>
          <w:tcPr>
            <w:tcW w:w="2574" w:type="dxa"/>
          </w:tcPr>
          <w:p>
            <w:pPr>
              <w:pStyle w:val="Compact"/>
              <w:jc w:val="left"/>
            </w:pPr>
            <w:r>
              <w:rPr>
                <w:sz w:val="18"/>
              </w:rPr>
              <w:t xml:space="preserve">Capacidad y costo del financiamiento</w:t>
            </w:r>
          </w:p>
        </w:tc>
        <w:tc>
          <w:tcPr>
            <w:tcW w:w="1880" w:type="dxa"/>
          </w:tcPr>
          <w:p>
            <w:pPr>
              <w:pStyle w:val="Compact"/>
              <w:jc w:val="left"/>
            </w:pPr>
            <w:r>
              <w:rPr>
                <w:bCs/>
                <w:b/>
                <w:sz w:val="18"/>
              </w:rPr>
              <w:t xml:space="preserve">UNIDAD DE MEDIDA</w:t>
            </w:r>
          </w:p>
        </w:tc>
        <w:tc>
          <w:tcPr>
            <w:tcW w:w="2755" w:type="dxa"/>
          </w:tcPr>
          <w:p>
            <w:pPr>
              <w:pStyle w:val="Compact"/>
              <w:jc w:val="left"/>
            </w:pPr>
            <w:r>
              <w:rPr>
                <w:sz w:val="18"/>
              </w:rPr>
              <w:t xml:space="preserve">σ vs. su historia</w:t>
            </w:r>
          </w:p>
        </w:tc>
      </w:tr>
      <w:tr>
        <w:trPr>
          <w:cantSplit/>
        </w:trPr>
        <w:tc>
          <w:tcPr>
            <w:tcW w:w="1863" w:type="dxa"/>
          </w:tcPr>
          <w:p>
            <w:pPr>
              <w:pStyle w:val="Compact"/>
              <w:jc w:val="left"/>
            </w:pPr>
            <w:r>
              <w:rPr>
                <w:bCs/>
                <w:b/>
                <w:sz w:val="18"/>
              </w:rPr>
              <w:t xml:space="preserve">SERIE DISPONIBLE</w:t>
            </w:r>
          </w:p>
        </w:tc>
        <w:tc>
          <w:tcPr>
            <w:tcW w:w="2574" w:type="dxa"/>
          </w:tcPr>
          <w:p>
            <w:pPr>
              <w:pStyle w:val="Compact"/>
              <w:jc w:val="left"/>
            </w:pPr>
            <w:r>
              <w:rPr>
                <w:sz w:val="18"/>
              </w:rPr>
              <w:t xml:space="preserve">2023-10 → 2026-06 (33 puntos)</w:t>
            </w:r>
          </w:p>
        </w:tc>
        <w:tc>
          <w:tcPr>
            <w:tcW w:w="1880" w:type="dxa"/>
          </w:tcPr>
          <w:p>
            <w:pPr>
              <w:pStyle w:val="Compact"/>
              <w:jc w:val="left"/>
            </w:pPr>
            <w:r>
              <w:rPr>
                <w:bCs/>
                <w:b/>
                <w:sz w:val="18"/>
              </w:rPr>
              <w:t xml:space="preserve">REZAGO DE PUBLICACIÓN</w:t>
            </w:r>
          </w:p>
        </w:tc>
        <w:tc>
          <w:tcPr>
            <w:tcW w:w="2755" w:type="dxa"/>
          </w:tcPr>
          <w:p>
            <w:pPr>
              <w:pStyle w:val="Compact"/>
              <w:jc w:val="left"/>
            </w:pPr>
            <w:r>
              <w:rPr>
                <w:sz w:val="18"/>
              </w:rPr>
              <w:t xml:space="preserve">El IdC se publica para el último mes con IPC cerrado: unas dos semanas después de mediados del mes siguiente.</w:t>
            </w:r>
          </w:p>
        </w:tc>
      </w:tr>
      <w:tr>
        <w:trPr>
          <w:cantSplit/>
        </w:trPr>
        <w:tc>
          <w:tcPr>
            <w:tcW w:w="1863" w:type="dxa"/>
          </w:tcPr>
          <w:p>
            <w:pPr>
              <w:pStyle w:val="Compact"/>
              <w:jc w:val="left"/>
            </w:pPr>
            <w:r>
              <w:rPr>
                <w:bCs/>
                <w:b/>
                <w:sz w:val="18"/>
              </w:rPr>
              <w:t xml:space="preserve">PRODUCTOR DEL DATO</w:t>
            </w:r>
          </w:p>
        </w:tc>
        <w:tc>
          <w:tcPr>
            <w:tcW w:w="2574" w:type="dxa"/>
          </w:tcPr>
          <w:p>
            <w:pPr>
              <w:pStyle w:val="Compact"/>
              <w:jc w:val="left"/>
            </w:pPr>
            <w:r>
              <w:rPr>
                <w:sz w:val="18"/>
              </w:rPr>
              <w:t xml:space="preserve">BCRA (tasa BADLAR, depósitos y préstamos privados) + INDEC (IPC como deflactor)</w:t>
            </w:r>
          </w:p>
        </w:tc>
        <w:tc>
          <w:tcPr>
            <w:tcW w:w="1880" w:type="dxa"/>
          </w:tcPr>
          <w:p>
            <w:pPr>
              <w:pStyle w:val="Compact"/>
              <w:jc w:val="left"/>
            </w:pPr>
            <w:r>
              <w:rPr>
                <w:bCs/>
                <w:b/>
                <w:sz w:val="18"/>
              </w:rPr>
              <w:t xml:space="preserve">OPERACIÓN ESTADÍSTICA</w:t>
            </w:r>
          </w:p>
        </w:tc>
        <w:tc>
          <w:tcPr>
            <w:tcW w:w="2755" w:type="dxa"/>
          </w:tcPr>
          <w:p>
            <w:pPr>
              <w:pStyle w:val="Compact"/>
              <w:jc w:val="left"/>
            </w:pPr>
            <w:r>
              <w:rPr>
                <w:sz w:val="18"/>
              </w:rPr>
              <w:t xml:space="preserve">Estadísticas monetarias del BCRA: BADLAR bancos privados, depósitos del sector privado y préstamos al sector privado; índice compuesto de elaboración propia</w:t>
            </w:r>
          </w:p>
        </w:tc>
      </w:tr>
      <w:tr>
        <w:trPr>
          <w:cantSplit/>
        </w:trPr>
        <w:tc>
          <w:tcPr>
            <w:tcW w:w="1863" w:type="dxa"/>
          </w:tcPr>
          <w:p>
            <w:pPr>
              <w:pStyle w:val="Compact"/>
              <w:jc w:val="left"/>
            </w:pPr>
            <w:r>
              <w:rPr>
                <w:bCs/>
                <w:b/>
                <w:sz w:val="18"/>
              </w:rPr>
              <w:t xml:space="preserve">MODO DE ACCESO</w:t>
            </w:r>
          </w:p>
        </w:tc>
        <w:tc>
          <w:tcPr>
            <w:tcW w:w="2574" w:type="dxa"/>
          </w:tcPr>
          <w:p>
            <w:pPr>
              <w:pStyle w:val="Compact"/>
              <w:jc w:val="left"/>
            </w:pPr>
            <w:r>
              <w:rPr>
                <w:sz w:val="18"/>
              </w:rPr>
              <w:t xml:space="preserve">Automático: API pública del BCRA y API de series de datos.gob.ar; el índice se calcula en el propio informe.</w:t>
            </w:r>
          </w:p>
        </w:tc>
        <w:tc>
          <w:tcPr>
            <w:tcW w:w="1880" w:type="dxa"/>
          </w:tcPr>
          <w:p>
            <w:pPr>
              <w:pStyle w:val="Compact"/>
              <w:jc w:val="left"/>
            </w:pPr>
            <w:r>
              <w:rPr>
                <w:bCs/>
                <w:b/>
                <w:sz w:val="18"/>
              </w:rPr>
              <w:t xml:space="preserve">ÚLTIMA ACTUALIZACIÓN</w:t>
            </w:r>
          </w:p>
        </w:tc>
        <w:tc>
          <w:tcPr>
            <w:tcW w:w="2755" w:type="dxa"/>
          </w:tcPr>
          <w:p>
            <w:pPr>
              <w:pStyle w:val="Compact"/>
              <w:jc w:val="left"/>
            </w:pPr>
            <w:r>
              <w:rPr>
                <w:sz w:val="18"/>
              </w:rPr>
              <w:t xml:space="preserve">Dato a 2026-06 · informe generado el 2026-08-09</w:t>
            </w:r>
          </w:p>
        </w:tc>
      </w:tr>
    </w:tbl>
    <w:bookmarkEnd w:id="45"/>
    <w:bookmarkStart w:id="46" w:name="definición-qué-mide-y-por-qué-importa-2"/>
    <w:p>
      <w:pPr>
        <w:pStyle w:val="Heading2"/>
        <w:keepNext/>
      </w:pPr>
      <w:r>
        <w:t xml:space="preserve">Definición — qué mide y por qué importa</w:t>
      </w:r>
    </w:p>
    <w:p>
      <w:pPr>
        <w:pStyle w:val="FirstParagraph"/>
      </w:pPr>
      <w:r>
        <w:t xml:space="preserve">Índice de Capacidad Prestable: mide si el sistema financiero tiene fondos y margen para prestar, comparando tres niveles contra su propia historia — la tasa real que reciben los depositantes (precio), el crecimiento interanual real de los depósitos privados (volumen) y la holgura entre depósitos y préstamos (asignación).</w:t>
      </w:r>
    </w:p>
    <w:p>
      <w:pPr>
        <w:pStyle w:val="BodyText"/>
      </w:pPr>
      <w:r>
        <w:t xml:space="preserve">Un sistema con capacidad de fondeo por encima de lo habitual puede acompañar la inversión y la actividad; uno sin margen, no. Se publica en desvíos estándar respecto de la historia 2018→hoy: 0 es el mes típico · por encima de +0,5 expansión (verde) · por debajo de −0,5 contracción (rojo). Datos del BCRA (BADLAR, depósitos y préstamos privados) e IPC del INDEC.</w:t>
      </w:r>
    </w:p>
    <w:p>
      <w:pPr>
        <w:pStyle w:val="BodyText"/>
      </w:pPr>
      <w:r>
        <w:rPr>
          <w:bCs/>
          <w:b/>
        </w:rPr>
        <w:t xml:space="preserve">Dimensión que integra — Capacidad y costo del financiamiento.</w:t>
      </w:r>
      <w:r>
        <w:t xml:space="preserve"> </w:t>
      </w:r>
      <w:r>
        <w:t xml:space="preserve">Si hay combustible para la economía: reservas netas (el respaldo externo), capacidad prestable del sistema financiero (IdC) y crédito real efectivamente otorgado.</w:t>
      </w:r>
    </w:p>
    <w:bookmarkEnd w:id="46"/>
    <w:bookmarkStart w:id="47" w:name="método-de-cómputo-2"/>
    <w:p>
      <w:pPr>
        <w:pStyle w:val="Heading2"/>
        <w:keepNext/>
      </w:pPr>
      <w:r>
        <w:t xml:space="preserve">Método de cómputo</w:t>
      </w:r>
    </w:p>
    <w:p>
      <w:pPr>
        <w:numPr>
          <w:ilvl w:val="0"/>
          <w:numId w:val="1010"/>
        </w:numPr>
        <w:pStyle w:val="Compact"/>
      </w:pPr>
      <w:r>
        <w:t xml:space="preserve">Tres niveles mensuales: la tasa real que reciben los depositantes (precio), el crecimiento interanual real de los depósitos privados (volumen) y la holgura entre depósitos y préstamos (asignación).</w:t>
      </w:r>
    </w:p>
    <w:p>
      <w:pPr>
        <w:numPr>
          <w:ilvl w:val="0"/>
          <w:numId w:val="1010"/>
        </w:numPr>
        <w:pStyle w:val="Compact"/>
      </w:pPr>
      <w:r>
        <w:t xml:space="preserve">Cada nivel se compara contra toda su propia historia (2018 en adelante) y se expresa en desvíos estándar: 0 es el mes histórico típico.</w:t>
      </w:r>
    </w:p>
    <w:p>
      <w:pPr>
        <w:numPr>
          <w:ilvl w:val="0"/>
          <w:numId w:val="1010"/>
        </w:numPr>
        <w:pStyle w:val="Compact"/>
      </w:pPr>
      <w:r>
        <w:t xml:space="preserve">Combinación 30% precio + 40% volumen + 30% asignación; semáforo: por encima de +0,5 desvíos, capacidad mayor a la habitual; por debajo de −0,5, menor.</w:t>
      </w:r>
    </w:p>
    <w:bookmarkEnd w:id="47"/>
    <w:bookmarkStart w:id="48" w:name="Xeaceac25dc22f621ad8bee78d29eedd39b8dc62"/>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spacing w:after="160"/>
      </w:pPr>
      <w:r>
        <w:rPr>
          <w:bCs/>
          <w:b/>
        </w:rPr>
        <w:t xml:space="preserve">Valores que definen cada color</w:t>
      </w:r>
    </w:p>
    <w:tbl>
      <w:tblPr>
        <w:tblStyle w:val="Table"/>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5220"/>
        <w:gridCol w:w="3852"/>
      </w:tblGrid>
      <w:tr>
        <w:trPr>
          <w:cantSplit/>
          <w:tblHeader/>
        </w:trPr>
        <w:tc>
          <w:tcPr>
            <w:tcW w:w="5220" w:type="dxa"/>
            <w:shd w:val="clear" w:color="auto" w:fill="1F3A34"/>
          </w:tcPr>
          <w:p>
            <w:pPr>
              <w:pStyle w:val="Compact"/>
              <w:jc w:val="left"/>
            </w:pPr>
            <w:r>
              <w:rPr>
                <w:b/>
                <w:sz w:val="18"/>
                <w:color w:val="FFFFFF"/>
              </w:rPr>
              <w:t xml:space="preserve">Rango (σ vs. su historia)</w:t>
            </w:r>
          </w:p>
        </w:tc>
        <w:tc>
          <w:tcPr>
            <w:tcW w:w="3852" w:type="dxa"/>
            <w:shd w:val="clear" w:color="auto" w:fill="1F3A34"/>
          </w:tcPr>
          <w:p>
            <w:pPr>
              <w:pStyle w:val="Compact"/>
              <w:jc w:val="left"/>
            </w:pPr>
            <w:r>
              <w:rPr>
                <w:b/>
                <w:sz w:val="18"/>
                <w:color w:val="FFFFFF"/>
              </w:rPr>
              <w:t xml:space="preserve">Color</w:t>
            </w:r>
          </w:p>
        </w:tc>
      </w:tr>
      <w:tr>
        <w:trPr>
          <w:cantSplit/>
        </w:trPr>
        <w:tc>
          <w:tcPr>
            <w:tcW w:w="5220" w:type="dxa"/>
          </w:tcPr>
          <w:p>
            <w:pPr>
              <w:pStyle w:val="Compact"/>
              <w:jc w:val="left"/>
            </w:pPr>
            <w:r>
              <w:rPr>
                <w:sz w:val="18"/>
              </w:rPr>
              <w:t xml:space="preserve">≥ 0</w:t>
            </w:r>
          </w:p>
        </w:tc>
        <w:tc>
          <w:tcPr>
            <w:tcW w:w="3852" w:type="dxa"/>
            <w:shd w:val="clear" w:color="auto" w:fill="DCFCE7"/>
          </w:tcPr>
          <w:p>
            <w:pPr>
              <w:pStyle w:val="Compact"/>
              <w:jc w:val="center"/>
            </w:pPr>
            <w:r>
              <w:rPr>
                <w:b/>
                <w:sz w:val="18"/>
                <w:color w:val="14532D"/>
              </w:rPr>
              <w:t xml:space="preserve">VERDE</w:t>
            </w:r>
          </w:p>
        </w:tc>
      </w:tr>
      <w:tr>
        <w:trPr>
          <w:cantSplit/>
        </w:trPr>
        <w:tc>
          <w:tcPr>
            <w:tcW w:w="5220" w:type="dxa"/>
            <w:shd w:val="clear" w:color="auto" w:fill="F6F8F7"/>
          </w:tcPr>
          <w:p>
            <w:pPr>
              <w:pStyle w:val="Compact"/>
              <w:jc w:val="left"/>
            </w:pPr>
            <w:r>
              <w:rPr>
                <w:sz w:val="18"/>
              </w:rPr>
              <w:t xml:space="preserve">−0,6 – 0</w:t>
            </w:r>
          </w:p>
        </w:tc>
        <w:tc>
          <w:tcPr>
            <w:tcW w:w="3852" w:type="dxa"/>
            <w:shd w:val="clear" w:color="auto" w:fill="FEF3C7"/>
          </w:tcPr>
          <w:p>
            <w:pPr>
              <w:pStyle w:val="Compact"/>
              <w:jc w:val="center"/>
            </w:pPr>
            <w:r>
              <w:rPr>
                <w:b/>
                <w:sz w:val="18"/>
                <w:color w:val="713F12"/>
              </w:rPr>
              <w:t xml:space="preserve">AMARILLO</w:t>
            </w:r>
          </w:p>
        </w:tc>
      </w:tr>
      <w:tr>
        <w:trPr>
          <w:cantSplit/>
        </w:trPr>
        <w:tc>
          <w:tcPr>
            <w:tcW w:w="5220" w:type="dxa"/>
          </w:tcPr>
          <w:p>
            <w:pPr>
              <w:pStyle w:val="Compact"/>
              <w:jc w:val="left"/>
            </w:pPr>
            <w:r>
              <w:rPr>
                <w:sz w:val="18"/>
              </w:rPr>
              <w:t xml:space="preserve">−0,9 – −0,6</w:t>
            </w:r>
          </w:p>
        </w:tc>
        <w:tc>
          <w:tcPr>
            <w:tcW w:w="3852" w:type="dxa"/>
            <w:shd w:val="clear" w:color="auto" w:fill="FFEDD5"/>
          </w:tcPr>
          <w:p>
            <w:pPr>
              <w:pStyle w:val="Compact"/>
              <w:jc w:val="center"/>
            </w:pPr>
            <w:r>
              <w:rPr>
                <w:b/>
                <w:sz w:val="18"/>
                <w:color w:val="7C2D12"/>
              </w:rPr>
              <w:t xml:space="preserve">NARANJA</w:t>
            </w:r>
          </w:p>
        </w:tc>
      </w:tr>
      <w:tr>
        <w:trPr>
          <w:cantSplit/>
        </w:trPr>
        <w:tc>
          <w:tcPr>
            <w:tcW w:w="5220" w:type="dxa"/>
            <w:shd w:val="clear" w:color="auto" w:fill="F6F8F7"/>
          </w:tcPr>
          <w:p>
            <w:pPr>
              <w:pStyle w:val="Compact"/>
              <w:jc w:val="left"/>
            </w:pPr>
            <w:r>
              <w:rPr>
                <w:sz w:val="18"/>
              </w:rPr>
              <w:t xml:space="preserve">≤ −0,9</w:t>
            </w:r>
          </w:p>
        </w:tc>
        <w:tc>
          <w:tcPr>
            <w:tcW w:w="3852" w:type="dxa"/>
            <w:shd w:val="clear" w:color="auto" w:fill="FEE2E2"/>
          </w:tcPr>
          <w:p>
            <w:pPr>
              <w:pStyle w:val="Compact"/>
              <w:jc w:val="center"/>
            </w:pPr>
            <w:r>
              <w:rPr>
                <w:b/>
                <w:sz w:val="18"/>
                <w:color w:val="7F1D1D"/>
              </w:rPr>
              <w:t xml:space="preserve">ROJO</w:t>
            </w:r>
          </w:p>
        </w:tc>
      </w:tr>
    </w:tbl>
    <w:bookmarkEnd w:id="48"/>
    <w:bookmarkStart w:id="49" w:name="datos-concretos-detrás-del-valor-2"/>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11"/>
        </w:numPr>
        <w:pStyle w:val="Compact"/>
      </w:pPr>
      <w:r>
        <w:t xml:space="preserve">−0,25 σ = precio 0,43 · volumen −0,13 · asignación −1,1 (banda propia del IdC: amarillo) — niveles: tasa real −0,29 pp · depósitos −1,4% i.a. real · holgura 18,2%</w:t>
      </w:r>
    </w:p>
    <w:bookmarkEnd w:id="49"/>
    <w:bookmarkStart w:id="50" w:name="color-vigente-y-por-qué-2"/>
    <w:p>
      <w:pPr>
        <w:pStyle w:val="Heading2"/>
        <w:keepNext/>
      </w:pPr>
      <w:r>
        <w:t xml:space="preserve">Color vigente y por qué</w:t>
      </w:r>
    </w:p>
    <w:p>
      <w:pPr>
        <w:pStyle w:val="FirstParagraph"/>
      </w:pPr>
      <w:r>
        <w:t xml:space="preserve">Dato vigente: −0,25 σ vs. su historia (2026-06).</w:t>
      </w:r>
    </w:p>
    <w:p>
      <w:pPr>
        <w:pStyle w:val="BodyText"/>
      </w:pPr>
      <w:r>
        <w:t xml:space="preserve">−0,25 σ vs. su historia cae en el tramo que corresponde a Amarillo, a 0,25 del corte más cercano.</w:t>
      </w:r>
    </w:p>
    <w:p>
      <w:pPr>
        <w:pStyle w:val="BodyText"/>
      </w:pPr>
      <w:r>
        <w:rPr>
          <w:bCs/>
          <w:b/>
        </w:rPr>
        <w:t xml:space="preserve">Color vigente: AMARILLO</w:t>
      </w:r>
    </w:p>
    <w:p>
      <w:pPr>
        <w:pStyle w:val="BodyText"/>
      </w:pPr>
      <w:r>
        <w:t xml:space="preserve">Ponderación vigente en el ITCM: 3,4 % efectivo. El color es una lectura adicional — no reemplaza ni cambia esta ponderación.</w:t>
      </w:r>
    </w:p>
    <w:p>
      <w:pPr>
        <w:numPr>
          <w:ilvl w:val="0"/>
          <w:numId w:val="1012"/>
        </w:numPr>
        <w:pStyle w:val="Compact"/>
      </w:pPr>
      <w:r>
        <w:rPr>
          <w:bCs/>
          <w:b/>
        </w:rPr>
        <w:t xml:space="preserve">Participación en otros indicadores.</w:t>
      </w:r>
      <w:r>
        <w:t xml:space="preserve"> </w:t>
      </w:r>
      <w:r>
        <w:t xml:space="preserve">Comparte insumos con otros indicadores del sistema: los depósitos privados también entran al IDM, y la tasa BADLAR se sigue extrayendo como insumo aunque no se publique como indicador propio.</w:t>
      </w:r>
    </w:p>
    <w:bookmarkEnd w:id="50"/>
    <w:bookmarkStart w:id="51" w:name="transparencia-limitaciones-declaradas-2"/>
    <w:p>
      <w:pPr>
        <w:pStyle w:val="Heading2"/>
        <w:keepNext/>
      </w:pPr>
      <w:r>
        <w:t xml:space="preserve">Transparencia — limitaciones declaradas</w:t>
      </w:r>
    </w:p>
    <w:p>
      <w:pPr>
        <w:numPr>
          <w:ilvl w:val="0"/>
          <w:numId w:val="1013"/>
        </w:numPr>
        <w:pStyle w:val="Compact"/>
      </w:pPr>
      <w:r>
        <w:t xml:space="preserve">Queda una correlación residual entre los componentes de volumen y asignación (ambos usan los depósitos), remanente declarado del rediseño.</w:t>
      </w:r>
    </w:p>
    <w:p>
      <w:pPr>
        <w:numPr>
          <w:ilvl w:val="0"/>
          <w:numId w:val="1013"/>
        </w:numPr>
        <w:pStyle w:val="Compact"/>
      </w:pPr>
      <w:r>
        <w:t xml:space="preserve">Sin pretensión predictiva, y con la validación en contra documentada: sobre más de cien meses, el IdC no anticipa el crédito futuro. Es un descriptor del estado de las condiciones de fondeo, no un pronóstico.</w:t>
      </w:r>
    </w:p>
    <w:p>
      <w:pPr>
        <w:numPr>
          <w:ilvl w:val="0"/>
          <w:numId w:val="1013"/>
        </w:numPr>
        <w:pStyle w:val="Compact"/>
      </w:pPr>
      <w:r>
        <w:t xml:space="preserve">Los desvíos se recalculan contra la historia completa en cada actualización: los puntos históricos pueden moverse levemente entre ediciones.</w:t>
      </w:r>
    </w:p>
    <w:bookmarkEnd w:id="51"/>
    <w:bookmarkStart w:id="52" w:name="Xef0254494c8cbb948c0e61c654d5e9b1983623c"/>
    <w:p>
      <w:pPr>
        <w:pStyle w:val="Heading2"/>
        <w:keepNext/>
      </w:pPr>
      <w:r>
        <w:t xml:space="preserve">Si falta el dato / Política de revisiones</w:t>
      </w:r>
    </w:p>
    <w:p>
      <w:pPr>
        <w:numPr>
          <w:ilvl w:val="0"/>
          <w:numId w:val="1014"/>
        </w:numPr>
      </w:pPr>
      <w:r>
        <w:rPr>
          <w:bCs/>
          <w:b/>
        </w:rPr>
        <w:t xml:space="preserve">Si falta el dato:</w:t>
      </w:r>
      <w:r>
        <w:t xml:space="preserve"> </w:t>
      </w:r>
      <w:r>
        <w:t xml:space="preserve">Si la historia disponible baja de 60 meses o falla algún insumo, se mantiene el último valor disponible, señalado como desactualizado; sin dato, los pesos de la dimensión de financiamiento se renormalizan.</w:t>
      </w:r>
    </w:p>
    <w:p>
      <w:pPr>
        <w:numPr>
          <w:ilvl w:val="0"/>
          <w:numId w:val="1014"/>
        </w:numPr>
      </w:pPr>
      <w:r>
        <w:rPr>
          <w:bCs/>
          <w:b/>
        </w:rPr>
        <w:t xml:space="preserve">Política de revisiones:</w:t>
      </w:r>
      <w:r>
        <w:t xml:space="preserve"> </w:t>
      </w:r>
      <w:r>
        <w:t xml:space="preserve">Al redefinirse la métrica, el histórico de la versión anterior se purgó: la serie publicada es homogénea. Se regenera completa en cada actualización.</w:t>
      </w:r>
    </w:p>
    <w:bookmarkEnd w:id="52"/>
    <w:bookmarkStart w:id="53" w:name="X26b91c30c62ddbbdbd672bb193ae636df8c7ae1"/>
    <w:p>
      <w:pPr>
        <w:pStyle w:val="Heading2"/>
        <w:keepNext/>
      </w:pPr>
      <w:r>
        <w:t xml:space="preserve">Historial — cambios metodológicos documentados</w:t>
      </w:r>
    </w:p>
    <w:p>
      <w:pPr>
        <w:pStyle w:val="FirstParagraph"/>
      </w:pPr>
      <w:r>
        <w:rPr>
          <w:bCs/>
          <w:b/>
        </w:rPr>
        <w:t xml:space="preserve">2026-06-26</w:t>
      </w:r>
      <w:r>
        <w:t xml:space="preserve"> </w:t>
      </w:r>
      <w:r>
        <w:t xml:space="preserve">— Nace el IdC en reemplazo de la tasa BADLAR dentro de la dimensión de financiamiento, como índice de ratios mensuales.</w:t>
      </w:r>
    </w:p>
    <w:p>
      <w:pPr>
        <w:pStyle w:val="BodyText"/>
      </w:pPr>
      <w:r>
        <w:rPr>
          <w:bCs/>
          <w:b/>
        </w:rPr>
        <w:t xml:space="preserve">2026-07-03</w:t>
      </w:r>
      <w:r>
        <w:t xml:space="preserve"> </w:t>
      </w:r>
      <w:r>
        <w:t xml:space="preserve">— Puntaje interpolado entre anclas.</w:t>
      </w:r>
    </w:p>
    <w:p>
      <w:pPr>
        <w:pStyle w:val="BodyText"/>
      </w:pPr>
      <w:r>
        <w:rPr>
          <w:bCs/>
          <w:b/>
        </w:rPr>
        <w:t xml:space="preserve">2026-07-04</w:t>
      </w:r>
      <w:r>
        <w:t xml:space="preserve"> </w:t>
      </w:r>
      <w:r>
        <w:t xml:space="preserve">— Rediseño de la métrica: pasa de ratios mes a mes a niveles estandarizados contra la propia historia, publicados en desvíos estándar.</w:t>
      </w:r>
    </w:p>
    <w:p>
      <w:r>
        <w:br w:type="page"/>
      </w:r>
    </w:p>
    <w:p>
      <w:pPr>
        <w:pStyle w:val="BodyText"/>
      </w:pPr>
      <w:r>
        <w:rPr>
          <w:bCs/>
          <w:b/>
        </w:rPr>
        <w:t xml:space="preserve">CIGOB · INFORME DE COYUNTURA</w:t>
      </w:r>
    </w:p>
    <w:p>
      <w:pPr>
        <w:pStyle w:val="BodyText"/>
      </w:pPr>
      <w:r>
        <w:rPr>
          <w:iCs/>
          <w:i/>
        </w:rPr>
        <w:t xml:space="preserve">Ficha metodológica · Cinturón Macroeconomía · Capa de semáforo (4 colores)</w:t>
      </w:r>
    </w:p>
    <w:bookmarkEnd w:id="53"/>
    <w:bookmarkEnd w:id="54"/>
    <w:bookmarkStart w:id="64" w:name="actividad-económica-emae-i.a."/>
    <w:p>
      <w:pPr>
        <w:pStyle w:val="Heading1"/>
        <w:keepNext/>
      </w:pPr>
      <w:r>
        <w:t xml:space="preserve">Actividad económica (EMAE i.a.)</w:t>
      </w:r>
    </w:p>
    <w:p>
      <w:pPr>
        <w:pStyle w:val="FirstParagraph"/>
        <w:spacing w:after="160"/>
      </w:pPr>
      <w:r>
        <w:t xml:space="preserve">El pulso mensual de la actividad económica: cuánto creció o cayó respecto de un año atrás.</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2460"/>
        <w:gridCol w:w="1487"/>
        <w:gridCol w:w="2457"/>
        <w:gridCol w:w="2668"/>
      </w:tblGrid>
      <w:tr>
        <w:trPr>
          <w:cantSplit/>
        </w:trPr>
        <w:tc>
          <w:tcPr>
            <w:tcW w:w="2460" w:type="dxa"/>
          </w:tcPr>
          <w:p>
            <w:pPr>
              <w:pStyle w:val="Compact"/>
              <w:jc w:val="left"/>
            </w:pPr>
            <w:r>
              <w:rPr>
                <w:bCs/>
                <w:b/>
                <w:sz w:val="18"/>
              </w:rPr>
              <w:t xml:space="preserve">Hoy: 0,24 % i.a.</w:t>
            </w:r>
            <w:r>
              <w:rPr>
                <w:sz w:val="18"/>
              </w:rPr>
              <w:t xml:space="preserve"> </w:t>
            </w:r>
            <w:r>
              <w:rPr>
                <w:sz w:val="18"/>
              </w:rPr>
              <w:t xml:space="preserve">(2026-05)</w:t>
            </w:r>
          </w:p>
        </w:tc>
        <w:tc>
          <w:tcPr>
            <w:tcW w:w="1487" w:type="dxa"/>
            <w:shd w:val="clear" w:color="auto" w:fill="FEF3C7"/>
          </w:tcPr>
          <w:p>
            <w:pPr>
              <w:pStyle w:val="Compact"/>
              <w:jc w:val="center"/>
            </w:pPr>
            <w:r>
              <w:rPr>
                <w:bCs/>
                <w:b/>
                <w:sz w:val="18"/>
                <w:color w:val="713F12"/>
              </w:rPr>
              <w:t xml:space="preserve">AMARILLO</w:t>
            </w:r>
          </w:p>
        </w:tc>
        <w:tc>
          <w:tcPr>
            <w:tcW w:w="2457" w:type="dxa"/>
          </w:tcPr>
          <w:p>
            <w:pPr>
              <w:pStyle w:val="Compact"/>
              <w:jc w:val="left"/>
            </w:pPr>
            <w:r>
              <w:rPr>
                <w:sz w:val="18"/>
              </w:rPr>
              <w:t xml:space="preserve">Peso efectivo 6,6 % del ITCM</w:t>
            </w:r>
          </w:p>
        </w:tc>
        <w:tc>
          <w:tcPr>
            <w:tcW w:w="2668" w:type="dxa"/>
          </w:tcPr>
          <w:p>
            <w:pPr>
              <w:pStyle w:val="Compact"/>
              <w:jc w:val="left"/>
            </w:pPr>
            <w:r>
              <w:rPr>
                <w:sz w:val="18"/>
              </w:rPr>
              <w:t xml:space="preserve">Cinturón Macroeconomía</w:t>
            </w:r>
          </w:p>
        </w:tc>
      </w:tr>
    </w:tbl>
    <w:bookmarkStart w:id="55" w:name="identificación-3"/>
    <w:p>
      <w:pPr>
        <w:pStyle w:val="Heading2"/>
        <w:keepNext/>
        <w:spacing w:after="160"/>
      </w:pPr>
      <w:r>
        <w:t xml:space="preserve">Identificación</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1959"/>
        <w:gridCol w:w="2145"/>
        <w:gridCol w:w="1982"/>
        <w:gridCol w:w="2986"/>
      </w:tblGrid>
      <w:tr>
        <w:trPr>
          <w:cantSplit/>
        </w:trPr>
        <w:tc>
          <w:tcPr>
            <w:tcW w:w="1959" w:type="dxa"/>
          </w:tcPr>
          <w:p>
            <w:pPr>
              <w:pStyle w:val="Compact"/>
              <w:jc w:val="left"/>
            </w:pPr>
            <w:r>
              <w:rPr>
                <w:bCs/>
                <w:b/>
                <w:sz w:val="18"/>
              </w:rPr>
              <w:t xml:space="preserve">IDENTIFICADOR TÉCNICO</w:t>
            </w:r>
          </w:p>
        </w:tc>
        <w:tc>
          <w:tcPr>
            <w:tcW w:w="2145" w:type="dxa"/>
          </w:tcPr>
          <w:p>
            <w:pPr>
              <w:pStyle w:val="Compact"/>
              <w:jc w:val="left"/>
            </w:pPr>
            <w:r>
              <w:rPr>
                <w:sz w:val="18"/>
              </w:rPr>
              <w:t xml:space="preserve">emae_ia</w:t>
            </w:r>
          </w:p>
        </w:tc>
        <w:tc>
          <w:tcPr>
            <w:tcW w:w="1982" w:type="dxa"/>
          </w:tcPr>
          <w:p>
            <w:pPr>
              <w:pStyle w:val="Compact"/>
              <w:jc w:val="left"/>
            </w:pPr>
            <w:r>
              <w:rPr>
                <w:bCs/>
                <w:b/>
                <w:sz w:val="18"/>
              </w:rPr>
              <w:t xml:space="preserve">CINTURÓN</w:t>
            </w:r>
          </w:p>
        </w:tc>
        <w:tc>
          <w:tcPr>
            <w:tcW w:w="2986" w:type="dxa"/>
          </w:tcPr>
          <w:p>
            <w:pPr>
              <w:pStyle w:val="Compact"/>
              <w:jc w:val="left"/>
            </w:pPr>
            <w:r>
              <w:rPr>
                <w:sz w:val="18"/>
              </w:rPr>
              <w:t xml:space="preserve">Macroeconomía</w:t>
            </w:r>
          </w:p>
        </w:tc>
      </w:tr>
      <w:tr>
        <w:trPr>
          <w:cantSplit/>
        </w:trPr>
        <w:tc>
          <w:tcPr>
            <w:tcW w:w="1959" w:type="dxa"/>
          </w:tcPr>
          <w:p>
            <w:pPr>
              <w:pStyle w:val="Compact"/>
              <w:jc w:val="left"/>
            </w:pPr>
            <w:r>
              <w:rPr>
                <w:bCs/>
                <w:b/>
                <w:sz w:val="18"/>
              </w:rPr>
              <w:t xml:space="preserve">DIMENSIÓN EN EL ITCM</w:t>
            </w:r>
          </w:p>
        </w:tc>
        <w:tc>
          <w:tcPr>
            <w:tcW w:w="2145" w:type="dxa"/>
          </w:tcPr>
          <w:p>
            <w:pPr>
              <w:pStyle w:val="Compact"/>
              <w:jc w:val="left"/>
            </w:pPr>
            <w:r>
              <w:rPr>
                <w:sz w:val="18"/>
              </w:rPr>
              <w:t xml:space="preserve">Actividad económica</w:t>
            </w:r>
          </w:p>
        </w:tc>
        <w:tc>
          <w:tcPr>
            <w:tcW w:w="1982" w:type="dxa"/>
          </w:tcPr>
          <w:p>
            <w:pPr>
              <w:pStyle w:val="Compact"/>
              <w:jc w:val="left"/>
            </w:pPr>
            <w:r>
              <w:rPr>
                <w:bCs/>
                <w:b/>
                <w:sz w:val="18"/>
              </w:rPr>
              <w:t xml:space="preserve">UNIDAD DE MEDIDA</w:t>
            </w:r>
          </w:p>
        </w:tc>
        <w:tc>
          <w:tcPr>
            <w:tcW w:w="2986" w:type="dxa"/>
          </w:tcPr>
          <w:p>
            <w:pPr>
              <w:pStyle w:val="Compact"/>
              <w:jc w:val="left"/>
            </w:pPr>
            <w:r>
              <w:rPr>
                <w:sz w:val="18"/>
              </w:rPr>
              <w:t xml:space="preserve">% i.a.</w:t>
            </w:r>
          </w:p>
        </w:tc>
      </w:tr>
      <w:tr>
        <w:trPr>
          <w:cantSplit/>
        </w:trPr>
        <w:tc>
          <w:tcPr>
            <w:tcW w:w="1959" w:type="dxa"/>
          </w:tcPr>
          <w:p>
            <w:pPr>
              <w:pStyle w:val="Compact"/>
              <w:jc w:val="left"/>
            </w:pPr>
            <w:r>
              <w:rPr>
                <w:bCs/>
                <w:b/>
                <w:sz w:val="18"/>
              </w:rPr>
              <w:t xml:space="preserve">SERIE DISPONIBLE</w:t>
            </w:r>
          </w:p>
        </w:tc>
        <w:tc>
          <w:tcPr>
            <w:tcW w:w="2145" w:type="dxa"/>
          </w:tcPr>
          <w:p>
            <w:pPr>
              <w:pStyle w:val="Compact"/>
              <w:jc w:val="left"/>
            </w:pPr>
            <w:r>
              <w:rPr>
                <w:sz w:val="18"/>
              </w:rPr>
              <w:t xml:space="preserve">2021-06 → 2026-05 (60 puntos)</w:t>
            </w:r>
          </w:p>
        </w:tc>
        <w:tc>
          <w:tcPr>
            <w:tcW w:w="1982" w:type="dxa"/>
          </w:tcPr>
          <w:p>
            <w:pPr>
              <w:pStyle w:val="Compact"/>
              <w:jc w:val="left"/>
            </w:pPr>
            <w:r>
              <w:rPr>
                <w:bCs/>
                <w:b/>
                <w:sz w:val="18"/>
              </w:rPr>
              <w:t xml:space="preserve">REZAGO DE PUBLICACIÓN</w:t>
            </w:r>
          </w:p>
        </w:tc>
        <w:tc>
          <w:tcPr>
            <w:tcW w:w="2986" w:type="dxa"/>
          </w:tcPr>
          <w:p>
            <w:pPr>
              <w:pStyle w:val="Compact"/>
              <w:jc w:val="left"/>
            </w:pPr>
            <w:r>
              <w:rPr>
                <w:sz w:val="18"/>
              </w:rPr>
              <w:t xml:space="preserve">El INDEC publica el EMAE de cada mes hacia fines del segundo mes siguiente: es el indicador simple más rezagado del índice (~2 meses).</w:t>
            </w:r>
          </w:p>
        </w:tc>
      </w:tr>
      <w:tr>
        <w:trPr>
          <w:cantSplit/>
        </w:trPr>
        <w:tc>
          <w:tcPr>
            <w:tcW w:w="1959" w:type="dxa"/>
          </w:tcPr>
          <w:p>
            <w:pPr>
              <w:pStyle w:val="Compact"/>
              <w:jc w:val="left"/>
            </w:pPr>
            <w:r>
              <w:rPr>
                <w:bCs/>
                <w:b/>
                <w:sz w:val="18"/>
              </w:rPr>
              <w:t xml:space="preserve">PRODUCTOR DEL DATO</w:t>
            </w:r>
          </w:p>
        </w:tc>
        <w:tc>
          <w:tcPr>
            <w:tcW w:w="2145" w:type="dxa"/>
          </w:tcPr>
          <w:p>
            <w:pPr>
              <w:pStyle w:val="Compact"/>
              <w:jc w:val="left"/>
            </w:pPr>
            <w:r>
              <w:rPr>
                <w:sz w:val="18"/>
              </w:rPr>
              <w:t xml:space="preserve">INDEC</w:t>
            </w:r>
          </w:p>
        </w:tc>
        <w:tc>
          <w:tcPr>
            <w:tcW w:w="1982" w:type="dxa"/>
          </w:tcPr>
          <w:p>
            <w:pPr>
              <w:pStyle w:val="Compact"/>
              <w:jc w:val="left"/>
            </w:pPr>
            <w:r>
              <w:rPr>
                <w:bCs/>
                <w:b/>
                <w:sz w:val="18"/>
              </w:rPr>
              <w:t xml:space="preserve">OPERACIÓN ESTADÍSTICA</w:t>
            </w:r>
          </w:p>
        </w:tc>
        <w:tc>
          <w:tcPr>
            <w:tcW w:w="2986" w:type="dxa"/>
          </w:tcPr>
          <w:p>
            <w:pPr>
              <w:pStyle w:val="Compact"/>
              <w:jc w:val="left"/>
            </w:pPr>
            <w:r>
              <w:rPr>
                <w:sz w:val="18"/>
              </w:rPr>
              <w:t xml:space="preserve">EMAE — Estimador Mensual de Actividad Económica, variación interanual de la serie original (base 2004)</w:t>
            </w:r>
          </w:p>
        </w:tc>
      </w:tr>
      <w:tr>
        <w:trPr>
          <w:cantSplit/>
        </w:trPr>
        <w:tc>
          <w:tcPr>
            <w:tcW w:w="1959" w:type="dxa"/>
          </w:tcPr>
          <w:p>
            <w:pPr>
              <w:pStyle w:val="Compact"/>
              <w:jc w:val="left"/>
            </w:pPr>
            <w:r>
              <w:rPr>
                <w:bCs/>
                <w:b/>
                <w:sz w:val="18"/>
              </w:rPr>
              <w:t xml:space="preserve">MODO DE ACCESO</w:t>
            </w:r>
          </w:p>
        </w:tc>
        <w:tc>
          <w:tcPr>
            <w:tcW w:w="2145" w:type="dxa"/>
          </w:tcPr>
          <w:p>
            <w:pPr>
              <w:pStyle w:val="Compact"/>
              <w:jc w:val="left"/>
            </w:pPr>
            <w:r>
              <w:rPr>
                <w:sz w:val="18"/>
              </w:rPr>
              <w:t xml:space="preserve">Automático: API pública de series de tiempo de datos.gob.ar.</w:t>
            </w:r>
          </w:p>
        </w:tc>
        <w:tc>
          <w:tcPr>
            <w:tcW w:w="1982" w:type="dxa"/>
          </w:tcPr>
          <w:p>
            <w:pPr>
              <w:pStyle w:val="Compact"/>
              <w:jc w:val="left"/>
            </w:pPr>
            <w:r>
              <w:rPr>
                <w:bCs/>
                <w:b/>
                <w:sz w:val="18"/>
              </w:rPr>
              <w:t xml:space="preserve">ÚLTIMA ACTUALIZACIÓN</w:t>
            </w:r>
          </w:p>
        </w:tc>
        <w:tc>
          <w:tcPr>
            <w:tcW w:w="2986" w:type="dxa"/>
          </w:tcPr>
          <w:p>
            <w:pPr>
              <w:pStyle w:val="Compact"/>
              <w:jc w:val="left"/>
            </w:pPr>
            <w:r>
              <w:rPr>
                <w:sz w:val="18"/>
              </w:rPr>
              <w:t xml:space="preserve">Dato a 2026-05 · informe generado el 2026-08-09</w:t>
            </w:r>
          </w:p>
        </w:tc>
      </w:tr>
    </w:tbl>
    <w:bookmarkEnd w:id="55"/>
    <w:bookmarkStart w:id="56" w:name="definición-qué-mide-y-por-qué-importa-3"/>
    <w:p>
      <w:pPr>
        <w:pStyle w:val="Heading2"/>
        <w:keepNext/>
      </w:pPr>
      <w:r>
        <w:t xml:space="preserve">Definición — qué mide y por qué importa</w:t>
      </w:r>
    </w:p>
    <w:p>
      <w:pPr>
        <w:pStyle w:val="FirstParagraph"/>
      </w:pPr>
      <w:r>
        <w:t xml:space="preserve">El pulso mensual de la actividad económica: cuánto creció o cayó respecto de un año atrás.</w:t>
      </w:r>
    </w:p>
    <w:p>
      <w:pPr>
        <w:pStyle w:val="BodyText"/>
      </w:pPr>
      <w:r>
        <w:t xml:space="preserve">Adelanta el ritmo del PBI: si la economía se expande o se contrae.</w:t>
      </w:r>
    </w:p>
    <w:p>
      <w:pPr>
        <w:pStyle w:val="BodyText"/>
      </w:pPr>
      <w:r>
        <w:rPr>
          <w:bCs/>
          <w:b/>
        </w:rPr>
        <w:t xml:space="preserve">Dimensión que integra — Actividad económica.</w:t>
      </w:r>
      <w:r>
        <w:t xml:space="preserve"> </w:t>
      </w:r>
      <w:r>
        <w:t xml:space="preserve">Si la economía crece o se contrae: el EMAE interanual como pulso general de la actividad.</w:t>
      </w:r>
    </w:p>
    <w:bookmarkEnd w:id="56"/>
    <w:bookmarkStart w:id="57" w:name="método-de-cómputo-3"/>
    <w:p>
      <w:pPr>
        <w:pStyle w:val="Heading2"/>
        <w:keepNext/>
      </w:pPr>
      <w:r>
        <w:t xml:space="preserve">Método de cómputo</w:t>
      </w:r>
    </w:p>
    <w:p>
      <w:pPr>
        <w:numPr>
          <w:ilvl w:val="0"/>
          <w:numId w:val="1015"/>
        </w:numPr>
        <w:pStyle w:val="Compact"/>
      </w:pPr>
      <w:r>
        <w:t xml:space="preserve">La variación interanual viene calculada por la fuente; la única transformación es de formato (fracción a porcentaje).</w:t>
      </w:r>
    </w:p>
    <w:bookmarkEnd w:id="57"/>
    <w:bookmarkStart w:id="58" w:name="X884d325e79d6de86b403bfd00b9257f415af6f1"/>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spacing w:after="160"/>
      </w:pPr>
      <w:r>
        <w:rPr>
          <w:bCs/>
          <w:b/>
        </w:rPr>
        <w:t xml:space="preserve">Valores que definen cada color</w:t>
      </w:r>
    </w:p>
    <w:tbl>
      <w:tblPr>
        <w:tblStyle w:val="Table"/>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4843"/>
        <w:gridCol w:w="4229"/>
      </w:tblGrid>
      <w:tr>
        <w:trPr>
          <w:cantSplit/>
          <w:tblHeader/>
        </w:trPr>
        <w:tc>
          <w:tcPr>
            <w:tcW w:w="4843" w:type="dxa"/>
            <w:shd w:val="clear" w:color="auto" w:fill="1F3A34"/>
          </w:tcPr>
          <w:p>
            <w:pPr>
              <w:pStyle w:val="Compact"/>
              <w:jc w:val="left"/>
            </w:pPr>
            <w:r>
              <w:rPr>
                <w:b/>
                <w:sz w:val="18"/>
                <w:color w:val="FFFFFF"/>
              </w:rPr>
              <w:t xml:space="preserve">Rango (% i.a.)</w:t>
            </w:r>
          </w:p>
        </w:tc>
        <w:tc>
          <w:tcPr>
            <w:tcW w:w="4229" w:type="dxa"/>
            <w:shd w:val="clear" w:color="auto" w:fill="1F3A34"/>
          </w:tcPr>
          <w:p>
            <w:pPr>
              <w:pStyle w:val="Compact"/>
              <w:jc w:val="left"/>
            </w:pPr>
            <w:r>
              <w:rPr>
                <w:b/>
                <w:sz w:val="18"/>
                <w:color w:val="FFFFFF"/>
              </w:rPr>
              <w:t xml:space="preserve">Color</w:t>
            </w:r>
          </w:p>
        </w:tc>
      </w:tr>
      <w:tr>
        <w:trPr>
          <w:cantSplit/>
        </w:trPr>
        <w:tc>
          <w:tcPr>
            <w:tcW w:w="4843" w:type="dxa"/>
          </w:tcPr>
          <w:p>
            <w:pPr>
              <w:pStyle w:val="Compact"/>
              <w:jc w:val="left"/>
            </w:pPr>
            <w:r>
              <w:rPr>
                <w:sz w:val="18"/>
              </w:rPr>
              <w:t xml:space="preserve">≥ 1,5</w:t>
            </w:r>
          </w:p>
        </w:tc>
        <w:tc>
          <w:tcPr>
            <w:tcW w:w="4229" w:type="dxa"/>
            <w:shd w:val="clear" w:color="auto" w:fill="DCFCE7"/>
          </w:tcPr>
          <w:p>
            <w:pPr>
              <w:pStyle w:val="Compact"/>
              <w:jc w:val="center"/>
            </w:pPr>
            <w:r>
              <w:rPr>
                <w:b/>
                <w:sz w:val="18"/>
                <w:color w:val="14532D"/>
              </w:rPr>
              <w:t xml:space="preserve">VERDE</w:t>
            </w:r>
          </w:p>
        </w:tc>
      </w:tr>
      <w:tr>
        <w:trPr>
          <w:cantSplit/>
        </w:trPr>
        <w:tc>
          <w:tcPr>
            <w:tcW w:w="4843" w:type="dxa"/>
            <w:shd w:val="clear" w:color="auto" w:fill="F6F8F7"/>
          </w:tcPr>
          <w:p>
            <w:pPr>
              <w:pStyle w:val="Compact"/>
              <w:jc w:val="left"/>
            </w:pPr>
            <w:r>
              <w:rPr>
                <w:sz w:val="18"/>
              </w:rPr>
              <w:t xml:space="preserve">−1 – 1,5</w:t>
            </w:r>
          </w:p>
        </w:tc>
        <w:tc>
          <w:tcPr>
            <w:tcW w:w="4229" w:type="dxa"/>
            <w:shd w:val="clear" w:color="auto" w:fill="FEF3C7"/>
          </w:tcPr>
          <w:p>
            <w:pPr>
              <w:pStyle w:val="Compact"/>
              <w:jc w:val="center"/>
            </w:pPr>
            <w:r>
              <w:rPr>
                <w:b/>
                <w:sz w:val="18"/>
                <w:color w:val="713F12"/>
              </w:rPr>
              <w:t xml:space="preserve">AMARILLO</w:t>
            </w:r>
          </w:p>
        </w:tc>
      </w:tr>
      <w:tr>
        <w:trPr>
          <w:cantSplit/>
        </w:trPr>
        <w:tc>
          <w:tcPr>
            <w:tcW w:w="4843" w:type="dxa"/>
          </w:tcPr>
          <w:p>
            <w:pPr>
              <w:pStyle w:val="Compact"/>
              <w:jc w:val="left"/>
            </w:pPr>
            <w:r>
              <w:rPr>
                <w:sz w:val="18"/>
              </w:rPr>
              <w:t xml:space="preserve">−3,5 – −1</w:t>
            </w:r>
          </w:p>
        </w:tc>
        <w:tc>
          <w:tcPr>
            <w:tcW w:w="4229" w:type="dxa"/>
            <w:shd w:val="clear" w:color="auto" w:fill="FFEDD5"/>
          </w:tcPr>
          <w:p>
            <w:pPr>
              <w:pStyle w:val="Compact"/>
              <w:jc w:val="center"/>
            </w:pPr>
            <w:r>
              <w:rPr>
                <w:b/>
                <w:sz w:val="18"/>
                <w:color w:val="7C2D12"/>
              </w:rPr>
              <w:t xml:space="preserve">NARANJA</w:t>
            </w:r>
          </w:p>
        </w:tc>
      </w:tr>
      <w:tr>
        <w:trPr>
          <w:cantSplit/>
        </w:trPr>
        <w:tc>
          <w:tcPr>
            <w:tcW w:w="4843" w:type="dxa"/>
            <w:shd w:val="clear" w:color="auto" w:fill="F6F8F7"/>
          </w:tcPr>
          <w:p>
            <w:pPr>
              <w:pStyle w:val="Compact"/>
              <w:jc w:val="left"/>
            </w:pPr>
            <w:r>
              <w:rPr>
                <w:sz w:val="18"/>
              </w:rPr>
              <w:t xml:space="preserve">≤ −3,5</w:t>
            </w:r>
          </w:p>
        </w:tc>
        <w:tc>
          <w:tcPr>
            <w:tcW w:w="4229" w:type="dxa"/>
            <w:shd w:val="clear" w:color="auto" w:fill="FEE2E2"/>
          </w:tcPr>
          <w:p>
            <w:pPr>
              <w:pStyle w:val="Compact"/>
              <w:jc w:val="center"/>
            </w:pPr>
            <w:r>
              <w:rPr>
                <w:b/>
                <w:sz w:val="18"/>
                <w:color w:val="7F1D1D"/>
              </w:rPr>
              <w:t xml:space="preserve">ROJO</w:t>
            </w:r>
          </w:p>
        </w:tc>
      </w:tr>
    </w:tbl>
    <w:bookmarkEnd w:id="58"/>
    <w:bookmarkStart w:id="59" w:name="datos-concretos-detrás-del-valor-3"/>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16"/>
        </w:numPr>
        <w:pStyle w:val="Compact"/>
      </w:pPr>
      <w:r>
        <w:t xml:space="preserve">El informe publica el valor (0,24 % i.a.) pero no los números que lo componen: la fuente entrega la serie ya calculada. Para auditar el dato hay que ir a la operación estadística citada más arriba.</w:t>
      </w:r>
    </w:p>
    <w:bookmarkEnd w:id="59"/>
    <w:bookmarkStart w:id="60" w:name="color-vigente-y-por-qué-3"/>
    <w:p>
      <w:pPr>
        <w:pStyle w:val="Heading2"/>
        <w:keepNext/>
      </w:pPr>
      <w:r>
        <w:t xml:space="preserve">Color vigente y por qué</w:t>
      </w:r>
    </w:p>
    <w:p>
      <w:pPr>
        <w:pStyle w:val="FirstParagraph"/>
      </w:pPr>
      <w:r>
        <w:t xml:space="preserve">Dato vigente: 0,24 % i.a. (2026-05).</w:t>
      </w:r>
    </w:p>
    <w:p>
      <w:pPr>
        <w:pStyle w:val="BodyText"/>
      </w:pPr>
      <w:r>
        <w:t xml:space="preserve">0,24 % i.a. cae en el tramo que corresponde a Amarillo, a 1,24 del corte más cercano.</w:t>
      </w:r>
    </w:p>
    <w:p>
      <w:pPr>
        <w:pStyle w:val="BodyText"/>
      </w:pPr>
      <w:r>
        <w:rPr>
          <w:bCs/>
          <w:b/>
        </w:rPr>
        <w:t xml:space="preserve">Color vigente: AMARILLO</w:t>
      </w:r>
    </w:p>
    <w:p>
      <w:pPr>
        <w:pStyle w:val="BodyText"/>
      </w:pPr>
      <w:r>
        <w:t xml:space="preserve">Ponderación vigente en el ITCM: 6,6 % efectivo. El color es una lectura adicional — no reemplaza ni cambia esta ponderación.</w:t>
      </w:r>
    </w:p>
    <w:p>
      <w:pPr>
        <w:numPr>
          <w:ilvl w:val="0"/>
          <w:numId w:val="1017"/>
        </w:numPr>
        <w:pStyle w:val="Compact"/>
      </w:pPr>
      <w:r>
        <w:rPr>
          <w:bCs/>
          <w:b/>
        </w:rPr>
        <w:t xml:space="preserve">Participación en otros indicadores.</w:t>
      </w:r>
      <w:r>
        <w:t xml:space="preserve"> </w:t>
      </w:r>
      <w:r>
        <w:t xml:space="preserve">La misma serie se extrae también como insumo de contexto en el cinturón de vida cotidiana.</w:t>
      </w:r>
    </w:p>
    <w:bookmarkEnd w:id="60"/>
    <w:bookmarkStart w:id="61" w:name="transparencia-limitaciones-declaradas-3"/>
    <w:p>
      <w:pPr>
        <w:pStyle w:val="Heading2"/>
        <w:keepNext/>
      </w:pPr>
      <w:r>
        <w:t xml:space="preserve">Transparencia — limitaciones declaradas</w:t>
      </w:r>
    </w:p>
    <w:p>
      <w:pPr>
        <w:numPr>
          <w:ilvl w:val="0"/>
          <w:numId w:val="1018"/>
        </w:numPr>
        <w:pStyle w:val="Compact"/>
      </w:pPr>
      <w:r>
        <w:t xml:space="preserve">El EMAE es provisorio y el INDEC lo revisa hacia atrás con cada publicación; la serie del informe absorbe esas revisiones al regenerarse.</w:t>
      </w:r>
    </w:p>
    <w:p>
      <w:pPr>
        <w:numPr>
          <w:ilvl w:val="0"/>
          <w:numId w:val="1018"/>
        </w:numPr>
        <w:pStyle w:val="Compact"/>
      </w:pPr>
      <w:r>
        <w:t xml:space="preserve">Comparte dimensión con el IPI manufacturero, que aporta la segunda lectura de actividad; hasta julio de 2026 era la única variable, y el 11% del índice colgaba de un solo dato.</w:t>
      </w:r>
    </w:p>
    <w:bookmarkEnd w:id="61"/>
    <w:bookmarkStart w:id="62" w:name="X70e697facfb18692fa01ac9fd893f095e78dfba"/>
    <w:p>
      <w:pPr>
        <w:pStyle w:val="Heading2"/>
        <w:keepNext/>
      </w:pPr>
      <w:r>
        <w:t xml:space="preserve">Si falta el dato / Política de revisiones</w:t>
      </w:r>
    </w:p>
    <w:p>
      <w:pPr>
        <w:numPr>
          <w:ilvl w:val="0"/>
          <w:numId w:val="1019"/>
        </w:numPr>
      </w:pPr>
      <w:r>
        <w:rPr>
          <w:bCs/>
          <w:b/>
        </w:rPr>
        <w:t xml:space="preserve">Si falta el dato:</w:t>
      </w:r>
      <w:r>
        <w:t xml:space="preserve"> </w:t>
      </w:r>
      <w:r>
        <w:t xml:space="preserve">Si el dato falta, se mantiene el último valor disponible, señalado como desactualizado; sin ningún valor previo, la dimensión de actividad queda vacía y su peso se redistribuye entre las demás.</w:t>
      </w:r>
    </w:p>
    <w:p>
      <w:pPr>
        <w:numPr>
          <w:ilvl w:val="0"/>
          <w:numId w:val="1019"/>
        </w:numPr>
      </w:pPr>
      <w:r>
        <w:rPr>
          <w:bCs/>
          <w:b/>
        </w:rPr>
        <w:t xml:space="preserve">Política de revisiones:</w:t>
      </w:r>
      <w:r>
        <w:t xml:space="preserve"> </w:t>
      </w:r>
      <w:r>
        <w:t xml:space="preserve">La fuente revisa (serie provisoria); el informe regenera la serie completa en cada actualización y puntúa siempre el último dato publicado, sin proyecciones propias.</w:t>
      </w:r>
    </w:p>
    <w:bookmarkEnd w:id="62"/>
    <w:bookmarkStart w:id="63" w:name="X57c472e6153e0a3a54ac23c7ee61d844b37a3be"/>
    <w:p>
      <w:pPr>
        <w:pStyle w:val="Heading2"/>
        <w:keepNext/>
      </w:pPr>
      <w:r>
        <w:t xml:space="preserve">Historial — cambios metodológicos documentados</w:t>
      </w:r>
    </w:p>
    <w:p>
      <w:pPr>
        <w:pStyle w:val="FirstParagraph"/>
      </w:pPr>
      <w:r>
        <w:rPr>
          <w:bCs/>
          <w:b/>
        </w:rPr>
        <w:t xml:space="preserve">2026-06</w:t>
      </w:r>
      <w:r>
        <w:t xml:space="preserve"> </w:t>
      </w:r>
      <w:r>
        <w:t xml:space="preserve">— En el índice desde la paramétrica original como única variable de actividad; su peso de dimensión bajó de 15% a 13% y luego a 11% al incorporarse las dimensiones de competitividad e inversión.</w:t>
      </w:r>
    </w:p>
    <w:p>
      <w:pPr>
        <w:pStyle w:val="BodyText"/>
      </w:pPr>
      <w:r>
        <w:rPr>
          <w:bCs/>
          <w:b/>
        </w:rPr>
        <w:t xml:space="preserve">2026-07-03</w:t>
      </w:r>
      <w:r>
        <w:t xml:space="preserve"> </w:t>
      </w:r>
      <w:r>
        <w:t xml:space="preserve">— Puntaje interpolado entre anclas.</w:t>
      </w:r>
    </w:p>
    <w:p>
      <w:pPr>
        <w:pStyle w:val="BodyText"/>
      </w:pPr>
      <w:r>
        <w:rPr>
          <w:bCs/>
          <w:b/>
        </w:rPr>
        <w:t xml:space="preserve">2026-07-18</w:t>
      </w:r>
      <w:r>
        <w:t xml:space="preserve"> </w:t>
      </w:r>
      <w:r>
        <w:t xml:space="preserve">— Deja de ser la única variable de la dimensión: pasa a pesar 65% junto al IPI manufacturero (35%).</w:t>
      </w:r>
    </w:p>
    <w:p>
      <w:pPr>
        <w:pStyle w:val="BodyText"/>
      </w:pPr>
      <w:r>
        <w:rPr>
          <w:bCs/>
          <w:b/>
        </w:rPr>
        <w:t xml:space="preserve">2026-07-25</w:t>
      </w:r>
      <w:r>
        <w:t xml:space="preserve"> </w:t>
      </w:r>
      <w:r>
        <w:t xml:space="preserve">— Su peso dentro de la dimensión baja de 80% a 60% al incorporarse la amplitud del crecimiento, que lee la misma fuente en su apertura por sectores.</w:t>
      </w:r>
    </w:p>
    <w:p>
      <w:r>
        <w:br w:type="page"/>
      </w:r>
    </w:p>
    <w:p>
      <w:pPr>
        <w:pStyle w:val="BodyText"/>
      </w:pPr>
      <w:r>
        <w:rPr>
          <w:bCs/>
          <w:b/>
        </w:rPr>
        <w:t xml:space="preserve">CIGOB · INFORME DE COYUNTURA</w:t>
      </w:r>
    </w:p>
    <w:p>
      <w:pPr>
        <w:pStyle w:val="BodyText"/>
      </w:pPr>
      <w:r>
        <w:rPr>
          <w:iCs/>
          <w:i/>
        </w:rPr>
        <w:t xml:space="preserve">Ficha metodológica · Cinturón Macroeconomía · Capa de semáforo (4 colores)</w:t>
      </w:r>
    </w:p>
    <w:bookmarkEnd w:id="63"/>
    <w:bookmarkEnd w:id="64"/>
    <w:bookmarkStart w:id="74" w:name="X68e449f8330bb030e1715a1a667adc3028fc645"/>
    <w:p>
      <w:pPr>
        <w:pStyle w:val="Heading1"/>
        <w:keepNext/>
      </w:pPr>
      <w:r>
        <w:t xml:space="preserve">Amplitud del crecimiento (sectores en alza)</w:t>
      </w:r>
    </w:p>
    <w:p>
      <w:pPr>
        <w:pStyle w:val="FirstParagraph"/>
        <w:spacing w:after="160"/>
      </w:pPr>
      <w:r>
        <w:t xml:space="preserve">De los quince sectores en que el INDEC divide la actividad económica, cuántos crecen respecto de un año atrás.</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3266"/>
        <w:gridCol w:w="1376"/>
        <w:gridCol w:w="2067"/>
        <w:gridCol w:w="2363"/>
      </w:tblGrid>
      <w:tr>
        <w:trPr>
          <w:cantSplit/>
        </w:trPr>
        <w:tc>
          <w:tcPr>
            <w:tcW w:w="3266" w:type="dxa"/>
          </w:tcPr>
          <w:p>
            <w:pPr>
              <w:pStyle w:val="Compact"/>
              <w:jc w:val="left"/>
            </w:pPr>
            <w:r>
              <w:rPr>
                <w:bCs/>
                <w:b/>
                <w:sz w:val="18"/>
              </w:rPr>
              <w:t xml:space="preserve">Hoy: 53,33 % de sectores en crecimiento i.a.</w:t>
            </w:r>
            <w:r>
              <w:rPr>
                <w:sz w:val="18"/>
              </w:rPr>
              <w:t xml:space="preserve"> </w:t>
            </w:r>
            <w:r>
              <w:rPr>
                <w:sz w:val="18"/>
              </w:rPr>
              <w:t xml:space="preserve">(2026-05)</w:t>
            </w:r>
          </w:p>
        </w:tc>
        <w:tc>
          <w:tcPr>
            <w:tcW w:w="1376" w:type="dxa"/>
            <w:shd w:val="clear" w:color="auto" w:fill="FEF3C7"/>
          </w:tcPr>
          <w:p>
            <w:pPr>
              <w:pStyle w:val="Compact"/>
              <w:jc w:val="center"/>
            </w:pPr>
            <w:r>
              <w:rPr>
                <w:bCs/>
                <w:b/>
                <w:sz w:val="18"/>
                <w:color w:val="713F12"/>
              </w:rPr>
              <w:t xml:space="preserve">AMARILLO</w:t>
            </w:r>
          </w:p>
        </w:tc>
        <w:tc>
          <w:tcPr>
            <w:tcW w:w="2067" w:type="dxa"/>
          </w:tcPr>
          <w:p>
            <w:pPr>
              <w:pStyle w:val="Compact"/>
              <w:jc w:val="left"/>
            </w:pPr>
            <w:r>
              <w:rPr>
                <w:sz w:val="18"/>
              </w:rPr>
              <w:t xml:space="preserve">Peso efectivo 2,2 % del ITCM</w:t>
            </w:r>
          </w:p>
        </w:tc>
        <w:tc>
          <w:tcPr>
            <w:tcW w:w="2363" w:type="dxa"/>
          </w:tcPr>
          <w:p>
            <w:pPr>
              <w:pStyle w:val="Compact"/>
              <w:jc w:val="left"/>
            </w:pPr>
            <w:r>
              <w:rPr>
                <w:sz w:val="18"/>
              </w:rPr>
              <w:t xml:space="preserve">Cinturón Macroeconomía</w:t>
            </w:r>
          </w:p>
        </w:tc>
      </w:tr>
    </w:tbl>
    <w:bookmarkStart w:id="65" w:name="identificación-4"/>
    <w:p>
      <w:pPr>
        <w:pStyle w:val="Heading2"/>
        <w:keepNext/>
        <w:spacing w:after="160"/>
      </w:pPr>
      <w:r>
        <w:t xml:space="preserve">Identificación</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1871"/>
        <w:gridCol w:w="2179"/>
        <w:gridCol w:w="1888"/>
        <w:gridCol w:w="3134"/>
      </w:tblGrid>
      <w:tr>
        <w:trPr>
          <w:cantSplit/>
        </w:trPr>
        <w:tc>
          <w:tcPr>
            <w:tcW w:w="1871" w:type="dxa"/>
          </w:tcPr>
          <w:p>
            <w:pPr>
              <w:pStyle w:val="Compact"/>
              <w:jc w:val="left"/>
            </w:pPr>
            <w:r>
              <w:rPr>
                <w:bCs/>
                <w:b/>
                <w:sz w:val="18"/>
              </w:rPr>
              <w:t xml:space="preserve">IDENTIFICADOR TÉCNICO</w:t>
            </w:r>
          </w:p>
        </w:tc>
        <w:tc>
          <w:tcPr>
            <w:tcW w:w="2179" w:type="dxa"/>
          </w:tcPr>
          <w:p>
            <w:pPr>
              <w:pStyle w:val="Compact"/>
              <w:jc w:val="left"/>
            </w:pPr>
            <w:r>
              <w:rPr>
                <w:sz w:val="18"/>
              </w:rPr>
              <w:t xml:space="preserve">emae_difusion</w:t>
            </w:r>
          </w:p>
        </w:tc>
        <w:tc>
          <w:tcPr>
            <w:tcW w:w="1888" w:type="dxa"/>
          </w:tcPr>
          <w:p>
            <w:pPr>
              <w:pStyle w:val="Compact"/>
              <w:jc w:val="left"/>
            </w:pPr>
            <w:r>
              <w:rPr>
                <w:bCs/>
                <w:b/>
                <w:sz w:val="18"/>
              </w:rPr>
              <w:t xml:space="preserve">CINTURÓN</w:t>
            </w:r>
          </w:p>
        </w:tc>
        <w:tc>
          <w:tcPr>
            <w:tcW w:w="3134" w:type="dxa"/>
          </w:tcPr>
          <w:p>
            <w:pPr>
              <w:pStyle w:val="Compact"/>
              <w:jc w:val="left"/>
            </w:pPr>
            <w:r>
              <w:rPr>
                <w:sz w:val="18"/>
              </w:rPr>
              <w:t xml:space="preserve">Macroeconomía</w:t>
            </w:r>
          </w:p>
        </w:tc>
      </w:tr>
      <w:tr>
        <w:trPr>
          <w:cantSplit/>
        </w:trPr>
        <w:tc>
          <w:tcPr>
            <w:tcW w:w="1871" w:type="dxa"/>
          </w:tcPr>
          <w:p>
            <w:pPr>
              <w:pStyle w:val="Compact"/>
              <w:jc w:val="left"/>
            </w:pPr>
            <w:r>
              <w:rPr>
                <w:bCs/>
                <w:b/>
                <w:sz w:val="18"/>
              </w:rPr>
              <w:t xml:space="preserve">DIMENSIÓN EN EL ITCM</w:t>
            </w:r>
          </w:p>
        </w:tc>
        <w:tc>
          <w:tcPr>
            <w:tcW w:w="2179" w:type="dxa"/>
          </w:tcPr>
          <w:p>
            <w:pPr>
              <w:pStyle w:val="Compact"/>
              <w:jc w:val="left"/>
            </w:pPr>
            <w:r>
              <w:rPr>
                <w:sz w:val="18"/>
              </w:rPr>
              <w:t xml:space="preserve">Actividad económica</w:t>
            </w:r>
          </w:p>
        </w:tc>
        <w:tc>
          <w:tcPr>
            <w:tcW w:w="1888" w:type="dxa"/>
          </w:tcPr>
          <w:p>
            <w:pPr>
              <w:pStyle w:val="Compact"/>
              <w:jc w:val="left"/>
            </w:pPr>
            <w:r>
              <w:rPr>
                <w:bCs/>
                <w:b/>
                <w:sz w:val="18"/>
              </w:rPr>
              <w:t xml:space="preserve">UNIDAD DE MEDIDA</w:t>
            </w:r>
          </w:p>
        </w:tc>
        <w:tc>
          <w:tcPr>
            <w:tcW w:w="3134" w:type="dxa"/>
          </w:tcPr>
          <w:p>
            <w:pPr>
              <w:pStyle w:val="Compact"/>
              <w:jc w:val="left"/>
            </w:pPr>
            <w:r>
              <w:rPr>
                <w:sz w:val="18"/>
              </w:rPr>
              <w:t xml:space="preserve">% de sectores en crecimiento i.a.</w:t>
            </w:r>
          </w:p>
        </w:tc>
      </w:tr>
      <w:tr>
        <w:trPr>
          <w:cantSplit/>
        </w:trPr>
        <w:tc>
          <w:tcPr>
            <w:tcW w:w="1871" w:type="dxa"/>
          </w:tcPr>
          <w:p>
            <w:pPr>
              <w:pStyle w:val="Compact"/>
              <w:jc w:val="left"/>
            </w:pPr>
            <w:r>
              <w:rPr>
                <w:bCs/>
                <w:b/>
                <w:sz w:val="18"/>
              </w:rPr>
              <w:t xml:space="preserve">SERIE DISPONIBLE</w:t>
            </w:r>
          </w:p>
        </w:tc>
        <w:tc>
          <w:tcPr>
            <w:tcW w:w="2179" w:type="dxa"/>
          </w:tcPr>
          <w:p>
            <w:pPr>
              <w:pStyle w:val="Compact"/>
              <w:jc w:val="left"/>
            </w:pPr>
            <w:r>
              <w:rPr>
                <w:sz w:val="18"/>
              </w:rPr>
              <w:t xml:space="preserve">2023-12 → 2026-05 (30 puntos)</w:t>
            </w:r>
          </w:p>
        </w:tc>
        <w:tc>
          <w:tcPr>
            <w:tcW w:w="1888" w:type="dxa"/>
          </w:tcPr>
          <w:p>
            <w:pPr>
              <w:pStyle w:val="Compact"/>
              <w:jc w:val="left"/>
            </w:pPr>
            <w:r>
              <w:rPr>
                <w:bCs/>
                <w:b/>
                <w:sz w:val="18"/>
              </w:rPr>
              <w:t xml:space="preserve">REZAGO DE PUBLICACIÓN</w:t>
            </w:r>
          </w:p>
        </w:tc>
        <w:tc>
          <w:tcPr>
            <w:tcW w:w="3134" w:type="dxa"/>
          </w:tcPr>
          <w:p>
            <w:pPr>
              <w:pStyle w:val="Compact"/>
              <w:jc w:val="left"/>
            </w:pPr>
            <w:r>
              <w:rPr>
                <w:sz w:val="18"/>
              </w:rPr>
              <w:t xml:space="preserve">Se publica junto con el EMAE agregado, hacia fines del segundo mes siguiente al de referencia (~2 meses). La apertura sectorial sale el mismo día que el nivel general, de modo que este indicador no agrega rezago sobre el que ya tiene la dimensión.</w:t>
            </w:r>
          </w:p>
        </w:tc>
      </w:tr>
      <w:tr>
        <w:trPr>
          <w:cantSplit/>
        </w:trPr>
        <w:tc>
          <w:tcPr>
            <w:tcW w:w="1871" w:type="dxa"/>
          </w:tcPr>
          <w:p>
            <w:pPr>
              <w:pStyle w:val="Compact"/>
              <w:jc w:val="left"/>
            </w:pPr>
            <w:r>
              <w:rPr>
                <w:bCs/>
                <w:b/>
                <w:sz w:val="18"/>
              </w:rPr>
              <w:t xml:space="preserve">PRODUCTOR DEL DATO</w:t>
            </w:r>
          </w:p>
        </w:tc>
        <w:tc>
          <w:tcPr>
            <w:tcW w:w="2179" w:type="dxa"/>
          </w:tcPr>
          <w:p>
            <w:pPr>
              <w:pStyle w:val="Compact"/>
              <w:jc w:val="left"/>
            </w:pPr>
            <w:r>
              <w:rPr>
                <w:sz w:val="18"/>
              </w:rPr>
              <w:t xml:space="preserve">INDEC</w:t>
            </w:r>
          </w:p>
        </w:tc>
        <w:tc>
          <w:tcPr>
            <w:tcW w:w="1888" w:type="dxa"/>
          </w:tcPr>
          <w:p>
            <w:pPr>
              <w:pStyle w:val="Compact"/>
              <w:jc w:val="left"/>
            </w:pPr>
            <w:r>
              <w:rPr>
                <w:bCs/>
                <w:b/>
                <w:sz w:val="18"/>
              </w:rPr>
              <w:t xml:space="preserve">OPERACIÓN ESTADÍSTICA</w:t>
            </w:r>
          </w:p>
        </w:tc>
        <w:tc>
          <w:tcPr>
            <w:tcW w:w="3134" w:type="dxa"/>
          </w:tcPr>
          <w:p>
            <w:pPr>
              <w:pStyle w:val="Compact"/>
              <w:jc w:val="left"/>
            </w:pPr>
            <w:r>
              <w:rPr>
                <w:sz w:val="18"/>
              </w:rPr>
              <w:t xml:space="preserve">EMAE — Estimador Mensual de Actividad Económica, apertura sectorial (índices por sector, base 2004)</w:t>
            </w:r>
          </w:p>
        </w:tc>
      </w:tr>
      <w:tr>
        <w:trPr>
          <w:cantSplit/>
        </w:trPr>
        <w:tc>
          <w:tcPr>
            <w:tcW w:w="1871" w:type="dxa"/>
          </w:tcPr>
          <w:p>
            <w:pPr>
              <w:pStyle w:val="Compact"/>
              <w:jc w:val="left"/>
            </w:pPr>
            <w:r>
              <w:rPr>
                <w:bCs/>
                <w:b/>
                <w:sz w:val="18"/>
              </w:rPr>
              <w:t xml:space="preserve">MODO DE ACCESO</w:t>
            </w:r>
          </w:p>
        </w:tc>
        <w:tc>
          <w:tcPr>
            <w:tcW w:w="2179" w:type="dxa"/>
          </w:tcPr>
          <w:p>
            <w:pPr>
              <w:pStyle w:val="Compact"/>
              <w:jc w:val="left"/>
            </w:pPr>
            <w:r>
              <w:rPr>
                <w:sz w:val="18"/>
              </w:rPr>
              <w:t xml:space="preserve">Automático: API pública de series de tiempo de datos.gob.ar, en una única consulta con las quince series.</w:t>
            </w:r>
          </w:p>
        </w:tc>
        <w:tc>
          <w:tcPr>
            <w:tcW w:w="1888" w:type="dxa"/>
          </w:tcPr>
          <w:p>
            <w:pPr>
              <w:pStyle w:val="Compact"/>
              <w:jc w:val="left"/>
            </w:pPr>
            <w:r>
              <w:rPr>
                <w:bCs/>
                <w:b/>
                <w:sz w:val="18"/>
              </w:rPr>
              <w:t xml:space="preserve">ÚLTIMA ACTUALIZACIÓN</w:t>
            </w:r>
          </w:p>
        </w:tc>
        <w:tc>
          <w:tcPr>
            <w:tcW w:w="3134" w:type="dxa"/>
          </w:tcPr>
          <w:p>
            <w:pPr>
              <w:pStyle w:val="Compact"/>
              <w:jc w:val="left"/>
            </w:pPr>
            <w:r>
              <w:rPr>
                <w:sz w:val="18"/>
              </w:rPr>
              <w:t xml:space="preserve">Dato a 2026-05 · informe generado el 2026-08-09</w:t>
            </w:r>
          </w:p>
        </w:tc>
      </w:tr>
    </w:tbl>
    <w:bookmarkEnd w:id="65"/>
    <w:bookmarkStart w:id="66" w:name="definición-qué-mide-y-por-qué-importa-4"/>
    <w:p>
      <w:pPr>
        <w:pStyle w:val="Heading2"/>
        <w:keepNext/>
      </w:pPr>
      <w:r>
        <w:t xml:space="preserve">Definición — qué mide y por qué importa</w:t>
      </w:r>
    </w:p>
    <w:p>
      <w:pPr>
        <w:pStyle w:val="FirstParagraph"/>
      </w:pPr>
      <w:r>
        <w:t xml:space="preserve">De los quince sectores en que el INDEC divide la actividad económica, cuántos crecen respecto de un año atrás.</w:t>
      </w:r>
    </w:p>
    <w:p>
      <w:pPr>
        <w:pStyle w:val="BodyText"/>
      </w:pPr>
      <w:r>
        <w:t xml:space="preserve">Distingue un crecimiento generalizado de uno concentrado en pocos sectores. El EMAE informa cuánto crece la economía; este indicador, en cuántas partes de ella crece: dos meses con la misma variación agregada pueden significar cosas muy distintas según cuántos sectores la sostengan.</w:t>
      </w:r>
    </w:p>
    <w:p>
      <w:pPr>
        <w:pStyle w:val="BodyText"/>
      </w:pPr>
      <w:r>
        <w:rPr>
          <w:bCs/>
          <w:b/>
        </w:rPr>
        <w:t xml:space="preserve">Dimensión que integra — Actividad económica.</w:t>
      </w:r>
      <w:r>
        <w:t xml:space="preserve"> </w:t>
      </w:r>
      <w:r>
        <w:t xml:space="preserve">Si la economía crece o se contrae: el EMAE interanual como pulso general de la actividad.</w:t>
      </w:r>
    </w:p>
    <w:bookmarkEnd w:id="66"/>
    <w:bookmarkStart w:id="67" w:name="método-de-cómputo-4"/>
    <w:p>
      <w:pPr>
        <w:pStyle w:val="Heading2"/>
        <w:keepNext/>
      </w:pPr>
      <w:r>
        <w:t xml:space="preserve">Método de cómputo</w:t>
      </w:r>
    </w:p>
    <w:p>
      <w:pPr>
        <w:numPr>
          <w:ilvl w:val="0"/>
          <w:numId w:val="1020"/>
        </w:numPr>
        <w:pStyle w:val="Compact"/>
      </w:pPr>
      <w:r>
        <w:t xml:space="preserve">Para cada uno de los quince sectores se calcula la variación contra el mismo mes del año anterior, sobre el índice original.</w:t>
      </w:r>
    </w:p>
    <w:p>
      <w:pPr>
        <w:numPr>
          <w:ilvl w:val="0"/>
          <w:numId w:val="1020"/>
        </w:numPr>
        <w:pStyle w:val="Compact"/>
      </w:pPr>
      <w:r>
        <w:t xml:space="preserve">Se cuenta cuántos sectores tienen variación positiva y se expresa como porcentaje del total.</w:t>
      </w:r>
    </w:p>
    <w:p>
      <w:pPr>
        <w:numPr>
          <w:ilvl w:val="0"/>
          <w:numId w:val="1020"/>
        </w:numPr>
        <w:pStyle w:val="Compact"/>
      </w:pPr>
      <w:r>
        <w:t xml:space="preserve">Un mes sólo se publica si los quince sectores tienen dato: una difusión calculada sobre doce sectores no sería comparable con una calculada sobre quince.</w:t>
      </w:r>
    </w:p>
    <w:bookmarkEnd w:id="67"/>
    <w:bookmarkStart w:id="68" w:name="X645ca3b02a92b2e30ea8c7e8d98b73de6b8b70c"/>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spacing w:after="160"/>
      </w:pPr>
      <w:r>
        <w:rPr>
          <w:bCs/>
          <w:b/>
        </w:rPr>
        <w:t xml:space="preserve">Valores que definen cada color</w:t>
      </w:r>
    </w:p>
    <w:tbl>
      <w:tblPr>
        <w:tblStyle w:val="Table"/>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5318"/>
        <w:gridCol w:w="3754"/>
      </w:tblGrid>
      <w:tr>
        <w:trPr>
          <w:cantSplit/>
          <w:tblHeader/>
        </w:trPr>
        <w:tc>
          <w:tcPr>
            <w:tcW w:w="5318" w:type="dxa"/>
            <w:shd w:val="clear" w:color="auto" w:fill="1F3A34"/>
          </w:tcPr>
          <w:p>
            <w:pPr>
              <w:pStyle w:val="Compact"/>
              <w:jc w:val="left"/>
            </w:pPr>
            <w:r>
              <w:rPr>
                <w:b/>
                <w:sz w:val="18"/>
                <w:color w:val="FFFFFF"/>
              </w:rPr>
              <w:t xml:space="preserve">Rango (% de sectores en crecimiento i.a.)</w:t>
            </w:r>
          </w:p>
        </w:tc>
        <w:tc>
          <w:tcPr>
            <w:tcW w:w="3754" w:type="dxa"/>
            <w:shd w:val="clear" w:color="auto" w:fill="1F3A34"/>
          </w:tcPr>
          <w:p>
            <w:pPr>
              <w:pStyle w:val="Compact"/>
              <w:jc w:val="left"/>
            </w:pPr>
            <w:r>
              <w:rPr>
                <w:b/>
                <w:sz w:val="18"/>
                <w:color w:val="FFFFFF"/>
              </w:rPr>
              <w:t xml:space="preserve">Color</w:t>
            </w:r>
          </w:p>
        </w:tc>
      </w:tr>
      <w:tr>
        <w:trPr>
          <w:cantSplit/>
        </w:trPr>
        <w:tc>
          <w:tcPr>
            <w:tcW w:w="5318" w:type="dxa"/>
          </w:tcPr>
          <w:p>
            <w:pPr>
              <w:pStyle w:val="Compact"/>
              <w:jc w:val="left"/>
            </w:pPr>
            <w:r>
              <w:rPr>
                <w:sz w:val="18"/>
              </w:rPr>
              <w:t xml:space="preserve">≥ 60</w:t>
            </w:r>
          </w:p>
        </w:tc>
        <w:tc>
          <w:tcPr>
            <w:tcW w:w="3754" w:type="dxa"/>
            <w:shd w:val="clear" w:color="auto" w:fill="DCFCE7"/>
          </w:tcPr>
          <w:p>
            <w:pPr>
              <w:pStyle w:val="Compact"/>
              <w:jc w:val="center"/>
            </w:pPr>
            <w:r>
              <w:rPr>
                <w:b/>
                <w:sz w:val="18"/>
                <w:color w:val="14532D"/>
              </w:rPr>
              <w:t xml:space="preserve">VERDE</w:t>
            </w:r>
          </w:p>
        </w:tc>
      </w:tr>
      <w:tr>
        <w:trPr>
          <w:cantSplit/>
        </w:trPr>
        <w:tc>
          <w:tcPr>
            <w:tcW w:w="5318" w:type="dxa"/>
            <w:shd w:val="clear" w:color="auto" w:fill="F6F8F7"/>
          </w:tcPr>
          <w:p>
            <w:pPr>
              <w:pStyle w:val="Compact"/>
              <w:jc w:val="left"/>
            </w:pPr>
            <w:r>
              <w:rPr>
                <w:sz w:val="18"/>
              </w:rPr>
              <w:t xml:space="preserve">44 – 60</w:t>
            </w:r>
          </w:p>
        </w:tc>
        <w:tc>
          <w:tcPr>
            <w:tcW w:w="3754" w:type="dxa"/>
            <w:shd w:val="clear" w:color="auto" w:fill="FEF3C7"/>
          </w:tcPr>
          <w:p>
            <w:pPr>
              <w:pStyle w:val="Compact"/>
              <w:jc w:val="center"/>
            </w:pPr>
            <w:r>
              <w:rPr>
                <w:b/>
                <w:sz w:val="18"/>
                <w:color w:val="713F12"/>
              </w:rPr>
              <w:t xml:space="preserve">AMARILLO</w:t>
            </w:r>
          </w:p>
        </w:tc>
      </w:tr>
      <w:tr>
        <w:trPr>
          <w:cantSplit/>
        </w:trPr>
        <w:tc>
          <w:tcPr>
            <w:tcW w:w="5318" w:type="dxa"/>
          </w:tcPr>
          <w:p>
            <w:pPr>
              <w:pStyle w:val="Compact"/>
              <w:jc w:val="left"/>
            </w:pPr>
            <w:r>
              <w:rPr>
                <w:sz w:val="18"/>
              </w:rPr>
              <w:t xml:space="preserve">34 – 44</w:t>
            </w:r>
          </w:p>
        </w:tc>
        <w:tc>
          <w:tcPr>
            <w:tcW w:w="3754" w:type="dxa"/>
            <w:shd w:val="clear" w:color="auto" w:fill="FFEDD5"/>
          </w:tcPr>
          <w:p>
            <w:pPr>
              <w:pStyle w:val="Compact"/>
              <w:jc w:val="center"/>
            </w:pPr>
            <w:r>
              <w:rPr>
                <w:b/>
                <w:sz w:val="18"/>
                <w:color w:val="7C2D12"/>
              </w:rPr>
              <w:t xml:space="preserve">NARANJA</w:t>
            </w:r>
          </w:p>
        </w:tc>
      </w:tr>
      <w:tr>
        <w:trPr>
          <w:cantSplit/>
        </w:trPr>
        <w:tc>
          <w:tcPr>
            <w:tcW w:w="5318" w:type="dxa"/>
            <w:shd w:val="clear" w:color="auto" w:fill="F6F8F7"/>
          </w:tcPr>
          <w:p>
            <w:pPr>
              <w:pStyle w:val="Compact"/>
              <w:jc w:val="left"/>
            </w:pPr>
            <w:r>
              <w:rPr>
                <w:sz w:val="18"/>
              </w:rPr>
              <w:t xml:space="preserve">≤ 34</w:t>
            </w:r>
          </w:p>
        </w:tc>
        <w:tc>
          <w:tcPr>
            <w:tcW w:w="3754" w:type="dxa"/>
            <w:shd w:val="clear" w:color="auto" w:fill="FEE2E2"/>
          </w:tcPr>
          <w:p>
            <w:pPr>
              <w:pStyle w:val="Compact"/>
              <w:jc w:val="center"/>
            </w:pPr>
            <w:r>
              <w:rPr>
                <w:b/>
                <w:sz w:val="18"/>
                <w:color w:val="7F1D1D"/>
              </w:rPr>
              <w:t xml:space="preserve">ROJO</w:t>
            </w:r>
          </w:p>
        </w:tc>
      </w:tr>
    </w:tbl>
    <w:bookmarkEnd w:id="68"/>
    <w:bookmarkStart w:id="69" w:name="datos-concretos-detrás-del-valor-4"/>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21"/>
        </w:numPr>
        <w:pStyle w:val="Compact"/>
      </w:pPr>
      <w:r>
        <w:t xml:space="preserve">8 de 15 sectores crecen · lidera Explotación de minas y canteras (15,66%) · el que más cae es Pesca (-29,34%)</w:t>
      </w:r>
    </w:p>
    <w:bookmarkEnd w:id="69"/>
    <w:bookmarkStart w:id="70" w:name="color-vigente-y-por-qué-4"/>
    <w:p>
      <w:pPr>
        <w:pStyle w:val="Heading2"/>
        <w:keepNext/>
      </w:pPr>
      <w:r>
        <w:t xml:space="preserve">Color vigente y por qué</w:t>
      </w:r>
    </w:p>
    <w:p>
      <w:pPr>
        <w:pStyle w:val="FirstParagraph"/>
      </w:pPr>
      <w:r>
        <w:t xml:space="preserve">Dato vigente: 53,33 % de sectores en crecimiento i.a. (2026-05).</w:t>
      </w:r>
    </w:p>
    <w:p>
      <w:pPr>
        <w:pStyle w:val="BodyText"/>
      </w:pPr>
      <w:r>
        <w:t xml:space="preserve">53,33 % de sectores en crecimiento i.a. cae en el tramo que corresponde a Amarillo, a 6,67 del corte más cercano.</w:t>
      </w:r>
    </w:p>
    <w:p>
      <w:pPr>
        <w:pStyle w:val="BodyText"/>
      </w:pPr>
      <w:r>
        <w:rPr>
          <w:bCs/>
          <w:b/>
        </w:rPr>
        <w:t xml:space="preserve">Color vigente: AMARILLO</w:t>
      </w:r>
    </w:p>
    <w:p>
      <w:pPr>
        <w:pStyle w:val="BodyText"/>
      </w:pPr>
      <w:r>
        <w:t xml:space="preserve">Ponderación vigente en el ITCM: 2,2 % efectivo. El color es una lectura adicional — no reemplaza ni cambia esta ponderación.</w:t>
      </w:r>
    </w:p>
    <w:bookmarkEnd w:id="70"/>
    <w:bookmarkStart w:id="71" w:name="transparencia-limitaciones-declaradas-4"/>
    <w:p>
      <w:pPr>
        <w:pStyle w:val="Heading2"/>
        <w:keepNext/>
      </w:pPr>
      <w:r>
        <w:t xml:space="preserve">Transparencia — limitaciones declaradas</w:t>
      </w:r>
    </w:p>
    <w:p>
      <w:pPr>
        <w:numPr>
          <w:ilvl w:val="0"/>
          <w:numId w:val="1022"/>
        </w:numPr>
        <w:pStyle w:val="Compact"/>
      </w:pPr>
      <w:r>
        <w:t xml:space="preserve">Todos los sectores pesan igual: un mes en que crece la pesca cuenta lo mismo que uno en que crece la industria manufacturera, que es varias veces mayor. Ponderar por participación daría una lectura distinta y exigiría una fuente adicional de estructura sectorial.</w:t>
      </w:r>
    </w:p>
    <w:p>
      <w:pPr>
        <w:numPr>
          <w:ilvl w:val="0"/>
          <w:numId w:val="1022"/>
        </w:numPr>
        <w:pStyle w:val="Compact"/>
      </w:pPr>
      <w:r>
        <w:t xml:space="preserve">Sólo mira el signo de la variación, no su magnitud: un sector que crece 0,1% y otro que crece 15% cuentan igual. Es lo que hace al indicador robusto —no lo mueve un valor extremo— y a la vez lo que le impide distinguir un crecimiento débil de uno fuerte, que es lo que mide el EMAE agregado.</w:t>
      </w:r>
    </w:p>
    <w:p>
      <w:pPr>
        <w:numPr>
          <w:ilvl w:val="0"/>
          <w:numId w:val="1022"/>
        </w:numPr>
        <w:pStyle w:val="Compact"/>
      </w:pPr>
      <w:r>
        <w:t xml:space="preserve">Comparte fuente con el EMAE agregado, con el que correlaciona 0,84 en niveles a lo largo de 257 meses. Aporta señal propia sobre todo cuando el agregado está cerca de cero: en mayo de 2026 la actividad varió 0,2% y la difusión mostró que sólo ocho de quince sectores crecían.</w:t>
      </w:r>
    </w:p>
    <w:p>
      <w:pPr>
        <w:numPr>
          <w:ilvl w:val="0"/>
          <w:numId w:val="1022"/>
        </w:numPr>
        <w:pStyle w:val="Compact"/>
      </w:pPr>
      <w:r>
        <w:t xml:space="preserve">Los sectores del EMAE son quince categorías amplias; una de ellas, la industria manufacturera, agrupa por sí sola actividades muy distintas entre sí.</w:t>
      </w:r>
    </w:p>
    <w:bookmarkEnd w:id="71"/>
    <w:bookmarkStart w:id="72" w:name="X61b77bf27a7482596b8c47f1ea71e4d36077bf4"/>
    <w:p>
      <w:pPr>
        <w:pStyle w:val="Heading2"/>
        <w:keepNext/>
      </w:pPr>
      <w:r>
        <w:t xml:space="preserve">Si falta el dato / Política de revisiones</w:t>
      </w:r>
    </w:p>
    <w:p>
      <w:pPr>
        <w:numPr>
          <w:ilvl w:val="0"/>
          <w:numId w:val="1023"/>
        </w:numPr>
      </w:pPr>
      <w:r>
        <w:rPr>
          <w:bCs/>
          <w:b/>
        </w:rPr>
        <w:t xml:space="preserve">Si falta el dato:</w:t>
      </w:r>
      <w:r>
        <w:t xml:space="preserve"> </w:t>
      </w:r>
      <w:r>
        <w:t xml:space="preserve">Si el dato falta, se mantiene el último valor disponible, señalado como desactualizado; sin ningún valor previo, el peso se redistribuye entre los otros dos indicadores de la dimensión.</w:t>
      </w:r>
    </w:p>
    <w:p>
      <w:pPr>
        <w:numPr>
          <w:ilvl w:val="0"/>
          <w:numId w:val="1023"/>
        </w:numPr>
      </w:pPr>
      <w:r>
        <w:rPr>
          <w:bCs/>
          <w:b/>
        </w:rPr>
        <w:t xml:space="preserve">Política de revisiones:</w:t>
      </w:r>
      <w:r>
        <w:t xml:space="preserve"> </w:t>
      </w:r>
      <w:r>
        <w:t xml:space="preserve">El INDEC revisa las series sectoriales hacia atrás junto con el EMAE agregado; el informe regenera la serie completa en cada actualización, de modo que una revisión puede cambiar retroactivamente el conteo de un mes ya publicado.</w:t>
      </w:r>
    </w:p>
    <w:bookmarkEnd w:id="72"/>
    <w:bookmarkStart w:id="73" w:name="X2689a8f17fd66d16ab78fd446a4f0208d24d005"/>
    <w:p>
      <w:pPr>
        <w:pStyle w:val="Heading2"/>
        <w:keepNext/>
      </w:pPr>
      <w:r>
        <w:t xml:space="preserve">Historial — cambios metodológicos documentados</w:t>
      </w:r>
    </w:p>
    <w:p>
      <w:pPr>
        <w:pStyle w:val="FirstParagraph"/>
      </w:pPr>
      <w:r>
        <w:rPr>
          <w:bCs/>
          <w:b/>
        </w:rPr>
        <w:t xml:space="preserve">2026-07-25</w:t>
      </w:r>
      <w:r>
        <w:t xml:space="preserve"> </w:t>
      </w:r>
      <w:r>
        <w:t xml:space="preserve">— Entra al índice con 20% de la dimensión de actividad, tomado del peso del EMAE agregado. La serie se reconstruyó completa desde 2005.</w:t>
      </w:r>
    </w:p>
    <w:p>
      <w:r>
        <w:br w:type="page"/>
      </w:r>
    </w:p>
    <w:p>
      <w:pPr>
        <w:pStyle w:val="BodyText"/>
      </w:pPr>
      <w:r>
        <w:rPr>
          <w:bCs/>
          <w:b/>
        </w:rPr>
        <w:t xml:space="preserve">CIGOB · INFORME DE COYUNTURA</w:t>
      </w:r>
    </w:p>
    <w:p>
      <w:pPr>
        <w:pStyle w:val="BodyText"/>
      </w:pPr>
      <w:r>
        <w:rPr>
          <w:iCs/>
          <w:i/>
        </w:rPr>
        <w:t xml:space="preserve">Ficha metodológica · Cinturón Macroeconomía · Capa de semáforo (4 colores)</w:t>
      </w:r>
    </w:p>
    <w:bookmarkEnd w:id="73"/>
    <w:bookmarkEnd w:id="74"/>
    <w:bookmarkStart w:id="84" w:name="producción-industrial-ipi-i.a."/>
    <w:p>
      <w:pPr>
        <w:pStyle w:val="Heading1"/>
        <w:keepNext/>
      </w:pPr>
      <w:r>
        <w:t xml:space="preserve">Producción industrial (IPI i.a.)</w:t>
      </w:r>
    </w:p>
    <w:p>
      <w:pPr>
        <w:pStyle w:val="FirstParagraph"/>
        <w:spacing w:after="160"/>
      </w:pPr>
      <w:r>
        <w:t xml:space="preserve">Cuánto produce la industria manufacturera respecto de un año atrás, promediado en tres meses.</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2985"/>
        <w:gridCol w:w="1311"/>
        <w:gridCol w:w="2262"/>
        <w:gridCol w:w="2514"/>
      </w:tblGrid>
      <w:tr>
        <w:trPr>
          <w:cantSplit/>
        </w:trPr>
        <w:tc>
          <w:tcPr>
            <w:tcW w:w="2985" w:type="dxa"/>
          </w:tcPr>
          <w:p>
            <w:pPr>
              <w:pStyle w:val="Compact"/>
              <w:jc w:val="left"/>
            </w:pPr>
            <w:r>
              <w:rPr>
                <w:bCs/>
                <w:b/>
                <w:sz w:val="18"/>
              </w:rPr>
              <w:t xml:space="preserve">Hoy: −2 % i.a. (promedio 3 meses)</w:t>
            </w:r>
            <w:r>
              <w:rPr>
                <w:sz w:val="18"/>
              </w:rPr>
              <w:t xml:space="preserve"> </w:t>
            </w:r>
            <w:r>
              <w:rPr>
                <w:sz w:val="18"/>
              </w:rPr>
              <w:t xml:space="preserve">(2026-06)</w:t>
            </w:r>
          </w:p>
        </w:tc>
        <w:tc>
          <w:tcPr>
            <w:tcW w:w="1311" w:type="dxa"/>
            <w:shd w:val="clear" w:color="auto" w:fill="FFEDD5"/>
          </w:tcPr>
          <w:p>
            <w:pPr>
              <w:pStyle w:val="Compact"/>
              <w:jc w:val="center"/>
            </w:pPr>
            <w:r>
              <w:rPr>
                <w:bCs/>
                <w:b/>
                <w:sz w:val="18"/>
                <w:color w:val="7C2D12"/>
              </w:rPr>
              <w:t xml:space="preserve">NARANJA</w:t>
            </w:r>
          </w:p>
        </w:tc>
        <w:tc>
          <w:tcPr>
            <w:tcW w:w="2262" w:type="dxa"/>
          </w:tcPr>
          <w:p>
            <w:pPr>
              <w:pStyle w:val="Compact"/>
              <w:jc w:val="left"/>
            </w:pPr>
            <w:r>
              <w:rPr>
                <w:sz w:val="18"/>
              </w:rPr>
              <w:t xml:space="preserve">Peso efectivo 2,2 % del ITCM</w:t>
            </w:r>
          </w:p>
        </w:tc>
        <w:tc>
          <w:tcPr>
            <w:tcW w:w="2514" w:type="dxa"/>
          </w:tcPr>
          <w:p>
            <w:pPr>
              <w:pStyle w:val="Compact"/>
              <w:jc w:val="left"/>
            </w:pPr>
            <w:r>
              <w:rPr>
                <w:sz w:val="18"/>
              </w:rPr>
              <w:t xml:space="preserve">Cinturón Macroeconomía</w:t>
            </w:r>
          </w:p>
        </w:tc>
      </w:tr>
    </w:tbl>
    <w:bookmarkStart w:id="75" w:name="identificación-5"/>
    <w:p>
      <w:pPr>
        <w:pStyle w:val="Heading2"/>
        <w:keepNext/>
        <w:spacing w:after="160"/>
      </w:pPr>
      <w:r>
        <w:t xml:space="preserve">Identificación</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1795"/>
        <w:gridCol w:w="2305"/>
        <w:gridCol w:w="1807"/>
        <w:gridCol w:w="3165"/>
      </w:tblGrid>
      <w:tr>
        <w:trPr>
          <w:cantSplit/>
        </w:trPr>
        <w:tc>
          <w:tcPr>
            <w:tcW w:w="1795" w:type="dxa"/>
          </w:tcPr>
          <w:p>
            <w:pPr>
              <w:pStyle w:val="Compact"/>
              <w:jc w:val="left"/>
            </w:pPr>
            <w:r>
              <w:rPr>
                <w:bCs/>
                <w:b/>
                <w:sz w:val="18"/>
              </w:rPr>
              <w:t xml:space="preserve">IDENTIFICADOR TÉCNICO</w:t>
            </w:r>
          </w:p>
        </w:tc>
        <w:tc>
          <w:tcPr>
            <w:tcW w:w="2305" w:type="dxa"/>
          </w:tcPr>
          <w:p>
            <w:pPr>
              <w:pStyle w:val="Compact"/>
              <w:jc w:val="left"/>
            </w:pPr>
            <w:r>
              <w:rPr>
                <w:sz w:val="18"/>
              </w:rPr>
              <w:t xml:space="preserve">ipi_manufacturero</w:t>
            </w:r>
          </w:p>
        </w:tc>
        <w:tc>
          <w:tcPr>
            <w:tcW w:w="1807" w:type="dxa"/>
          </w:tcPr>
          <w:p>
            <w:pPr>
              <w:pStyle w:val="Compact"/>
              <w:jc w:val="left"/>
            </w:pPr>
            <w:r>
              <w:rPr>
                <w:bCs/>
                <w:b/>
                <w:sz w:val="18"/>
              </w:rPr>
              <w:t xml:space="preserve">CINTURÓN</w:t>
            </w:r>
          </w:p>
        </w:tc>
        <w:tc>
          <w:tcPr>
            <w:tcW w:w="3165" w:type="dxa"/>
          </w:tcPr>
          <w:p>
            <w:pPr>
              <w:pStyle w:val="Compact"/>
              <w:jc w:val="left"/>
            </w:pPr>
            <w:r>
              <w:rPr>
                <w:sz w:val="18"/>
              </w:rPr>
              <w:t xml:space="preserve">Macroeconomía</w:t>
            </w:r>
          </w:p>
        </w:tc>
      </w:tr>
      <w:tr>
        <w:trPr>
          <w:cantSplit/>
        </w:trPr>
        <w:tc>
          <w:tcPr>
            <w:tcW w:w="1795" w:type="dxa"/>
          </w:tcPr>
          <w:p>
            <w:pPr>
              <w:pStyle w:val="Compact"/>
              <w:jc w:val="left"/>
            </w:pPr>
            <w:r>
              <w:rPr>
                <w:bCs/>
                <w:b/>
                <w:sz w:val="18"/>
              </w:rPr>
              <w:t xml:space="preserve">DIMENSIÓN EN EL ITCM</w:t>
            </w:r>
          </w:p>
        </w:tc>
        <w:tc>
          <w:tcPr>
            <w:tcW w:w="2305" w:type="dxa"/>
          </w:tcPr>
          <w:p>
            <w:pPr>
              <w:pStyle w:val="Compact"/>
              <w:jc w:val="left"/>
            </w:pPr>
            <w:r>
              <w:rPr>
                <w:sz w:val="18"/>
              </w:rPr>
              <w:t xml:space="preserve">Actividad económica</w:t>
            </w:r>
          </w:p>
        </w:tc>
        <w:tc>
          <w:tcPr>
            <w:tcW w:w="1807" w:type="dxa"/>
          </w:tcPr>
          <w:p>
            <w:pPr>
              <w:pStyle w:val="Compact"/>
              <w:jc w:val="left"/>
            </w:pPr>
            <w:r>
              <w:rPr>
                <w:bCs/>
                <w:b/>
                <w:sz w:val="18"/>
              </w:rPr>
              <w:t xml:space="preserve">UNIDAD DE MEDIDA</w:t>
            </w:r>
          </w:p>
        </w:tc>
        <w:tc>
          <w:tcPr>
            <w:tcW w:w="3165" w:type="dxa"/>
          </w:tcPr>
          <w:p>
            <w:pPr>
              <w:pStyle w:val="Compact"/>
              <w:jc w:val="left"/>
            </w:pPr>
            <w:r>
              <w:rPr>
                <w:sz w:val="18"/>
              </w:rPr>
              <w:t xml:space="preserve">% i.a. (promedio 3 meses)</w:t>
            </w:r>
          </w:p>
        </w:tc>
      </w:tr>
      <w:tr>
        <w:trPr>
          <w:cantSplit/>
        </w:trPr>
        <w:tc>
          <w:tcPr>
            <w:tcW w:w="1795" w:type="dxa"/>
          </w:tcPr>
          <w:p>
            <w:pPr>
              <w:pStyle w:val="Compact"/>
              <w:jc w:val="left"/>
            </w:pPr>
            <w:r>
              <w:rPr>
                <w:bCs/>
                <w:b/>
                <w:sz w:val="18"/>
              </w:rPr>
              <w:t xml:space="preserve">SERIE DISPONIBLE</w:t>
            </w:r>
          </w:p>
        </w:tc>
        <w:tc>
          <w:tcPr>
            <w:tcW w:w="2305" w:type="dxa"/>
          </w:tcPr>
          <w:p>
            <w:pPr>
              <w:pStyle w:val="Compact"/>
              <w:jc w:val="left"/>
            </w:pPr>
            <w:r>
              <w:rPr>
                <w:sz w:val="18"/>
              </w:rPr>
              <w:t xml:space="preserve">2023-12 → 2026-06 (31 puntos)</w:t>
            </w:r>
          </w:p>
        </w:tc>
        <w:tc>
          <w:tcPr>
            <w:tcW w:w="1807" w:type="dxa"/>
          </w:tcPr>
          <w:p>
            <w:pPr>
              <w:pStyle w:val="Compact"/>
              <w:jc w:val="left"/>
            </w:pPr>
            <w:r>
              <w:rPr>
                <w:bCs/>
                <w:b/>
                <w:sz w:val="18"/>
              </w:rPr>
              <w:t xml:space="preserve">REZAGO DE PUBLICACIÓN</w:t>
            </w:r>
          </w:p>
        </w:tc>
        <w:tc>
          <w:tcPr>
            <w:tcW w:w="3165" w:type="dxa"/>
          </w:tcPr>
          <w:p>
            <w:pPr>
              <w:pStyle w:val="Compact"/>
              <w:jc w:val="left"/>
            </w:pPr>
            <w:r>
              <w:rPr>
                <w:sz w:val="18"/>
              </w:rPr>
              <w:t xml:space="preserve">El INDEC publica el IPI hacia mediados del mes siguiente al de referencia, aproximadamente un mes antes que el EMAE. La ganancia de frescura es real pero acotada: como el indicador promedia tres meses, su centro de masa queda un mes atrás del último dato, de modo que incorpora el mes más reciente con un tercio del peso en lugar de reflejarlo por completo.</w:t>
            </w:r>
          </w:p>
        </w:tc>
      </w:tr>
      <w:tr>
        <w:trPr>
          <w:cantSplit/>
        </w:trPr>
        <w:tc>
          <w:tcPr>
            <w:tcW w:w="1795" w:type="dxa"/>
          </w:tcPr>
          <w:p>
            <w:pPr>
              <w:pStyle w:val="Compact"/>
              <w:jc w:val="left"/>
            </w:pPr>
            <w:r>
              <w:rPr>
                <w:bCs/>
                <w:b/>
                <w:sz w:val="18"/>
              </w:rPr>
              <w:t xml:space="preserve">PRODUCTOR DEL DATO</w:t>
            </w:r>
          </w:p>
        </w:tc>
        <w:tc>
          <w:tcPr>
            <w:tcW w:w="2305" w:type="dxa"/>
          </w:tcPr>
          <w:p>
            <w:pPr>
              <w:pStyle w:val="Compact"/>
              <w:jc w:val="left"/>
            </w:pPr>
            <w:r>
              <w:rPr>
                <w:sz w:val="18"/>
              </w:rPr>
              <w:t xml:space="preserve">INDEC</w:t>
            </w:r>
          </w:p>
        </w:tc>
        <w:tc>
          <w:tcPr>
            <w:tcW w:w="1807" w:type="dxa"/>
          </w:tcPr>
          <w:p>
            <w:pPr>
              <w:pStyle w:val="Compact"/>
              <w:jc w:val="left"/>
            </w:pPr>
            <w:r>
              <w:rPr>
                <w:bCs/>
                <w:b/>
                <w:sz w:val="18"/>
              </w:rPr>
              <w:t xml:space="preserve">OPERACIÓN ESTADÍSTICA</w:t>
            </w:r>
          </w:p>
        </w:tc>
        <w:tc>
          <w:tcPr>
            <w:tcW w:w="3165" w:type="dxa"/>
          </w:tcPr>
          <w:p>
            <w:pPr>
              <w:pStyle w:val="Compact"/>
              <w:jc w:val="left"/>
            </w:pPr>
            <w:r>
              <w:rPr>
                <w:sz w:val="18"/>
              </w:rPr>
              <w:t xml:space="preserve">IPI manufacturero — Índice de Producción Industrial, nivel general, serie original (base 2004 = 100)</w:t>
            </w:r>
          </w:p>
        </w:tc>
      </w:tr>
      <w:tr>
        <w:trPr>
          <w:cantSplit/>
        </w:trPr>
        <w:tc>
          <w:tcPr>
            <w:tcW w:w="1795" w:type="dxa"/>
          </w:tcPr>
          <w:p>
            <w:pPr>
              <w:pStyle w:val="Compact"/>
              <w:jc w:val="left"/>
            </w:pPr>
            <w:r>
              <w:rPr>
                <w:bCs/>
                <w:b/>
                <w:sz w:val="18"/>
              </w:rPr>
              <w:t xml:space="preserve">MODO DE ACCESO</w:t>
            </w:r>
          </w:p>
        </w:tc>
        <w:tc>
          <w:tcPr>
            <w:tcW w:w="2305" w:type="dxa"/>
          </w:tcPr>
          <w:p>
            <w:pPr>
              <w:pStyle w:val="Compact"/>
              <w:jc w:val="left"/>
            </w:pPr>
            <w:r>
              <w:rPr>
                <w:sz w:val="18"/>
              </w:rPr>
              <w:t xml:space="preserve">Automático: API pública de series de tiempo de datos.gob.ar.</w:t>
            </w:r>
          </w:p>
        </w:tc>
        <w:tc>
          <w:tcPr>
            <w:tcW w:w="1807" w:type="dxa"/>
          </w:tcPr>
          <w:p>
            <w:pPr>
              <w:pStyle w:val="Compact"/>
              <w:jc w:val="left"/>
            </w:pPr>
            <w:r>
              <w:rPr>
                <w:bCs/>
                <w:b/>
                <w:sz w:val="18"/>
              </w:rPr>
              <w:t xml:space="preserve">ÚLTIMA ACTUALIZACIÓN</w:t>
            </w:r>
          </w:p>
        </w:tc>
        <w:tc>
          <w:tcPr>
            <w:tcW w:w="3165" w:type="dxa"/>
          </w:tcPr>
          <w:p>
            <w:pPr>
              <w:pStyle w:val="Compact"/>
              <w:jc w:val="left"/>
            </w:pPr>
            <w:r>
              <w:rPr>
                <w:sz w:val="18"/>
              </w:rPr>
              <w:t xml:space="preserve">Dato a 2026-06 · informe generado el 2026-08-09</w:t>
            </w:r>
          </w:p>
        </w:tc>
      </w:tr>
    </w:tbl>
    <w:bookmarkEnd w:id="75"/>
    <w:bookmarkStart w:id="76" w:name="definición-qué-mide-y-por-qué-importa-5"/>
    <w:p>
      <w:pPr>
        <w:pStyle w:val="Heading2"/>
        <w:keepNext/>
      </w:pPr>
      <w:r>
        <w:t xml:space="preserve">Definición — qué mide y por qué importa</w:t>
      </w:r>
    </w:p>
    <w:p>
      <w:pPr>
        <w:pStyle w:val="FirstParagraph"/>
      </w:pPr>
      <w:r>
        <w:t xml:space="preserve">Cuánto produce la industria manufacturera respecto de un año atrás, promediado en tres meses.</w:t>
      </w:r>
    </w:p>
    <w:p>
      <w:pPr>
        <w:pStyle w:val="BodyText"/>
      </w:pPr>
      <w:r>
        <w:t xml:space="preserve">Segunda lectura de la actividad, junto al EMAE: mide sólo la industria y se publica algo antes, de modo que la dimensión no depende de un único dato.</w:t>
      </w:r>
    </w:p>
    <w:p>
      <w:pPr>
        <w:pStyle w:val="BodyText"/>
      </w:pPr>
      <w:r>
        <w:rPr>
          <w:bCs/>
          <w:b/>
        </w:rPr>
        <w:t xml:space="preserve">Dimensión que integra — Actividad económica.</w:t>
      </w:r>
      <w:r>
        <w:t xml:space="preserve"> </w:t>
      </w:r>
      <w:r>
        <w:t xml:space="preserve">Si la economía crece o se contrae: el EMAE interanual como pulso general de la actividad.</w:t>
      </w:r>
    </w:p>
    <w:bookmarkEnd w:id="76"/>
    <w:bookmarkStart w:id="77" w:name="método-de-cómputo-5"/>
    <w:p>
      <w:pPr>
        <w:pStyle w:val="Heading2"/>
        <w:keepNext/>
      </w:pPr>
      <w:r>
        <w:t xml:space="preserve">Método de cómputo</w:t>
      </w:r>
    </w:p>
    <w:p>
      <w:pPr>
        <w:numPr>
          <w:ilvl w:val="0"/>
          <w:numId w:val="1024"/>
        </w:numPr>
        <w:pStyle w:val="Compact"/>
      </w:pPr>
      <w:r>
        <w:t xml:space="preserve">Se calcula la variación interanual del nivel general contra el mismo mes del año anterior.</w:t>
      </w:r>
    </w:p>
    <w:p>
      <w:pPr>
        <w:numPr>
          <w:ilvl w:val="0"/>
          <w:numId w:val="1024"/>
        </w:numPr>
        <w:pStyle w:val="Compact"/>
      </w:pPr>
      <w:r>
        <w:t xml:space="preserve">Se promedian los últimos tres meses de esa variación. El suavizado no es cosmético: la variación interanual del IPI original salta hasta nueve puntos porcentuales de un mes al siguiente por feriados móviles, cantidad de días hábiles y paradas de planta. El promedio de tres meses reduce el desvío de los cambios mensuales de 6,2 a 2,5 puntos sin agregar rezago apreciable.</w:t>
      </w:r>
    </w:p>
    <w:bookmarkEnd w:id="77"/>
    <w:bookmarkStart w:id="78" w:name="Xb1931c6abcbcf859f1adda48bf40e4d48635f98"/>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spacing w:after="160"/>
      </w:pPr>
      <w:r>
        <w:rPr>
          <w:bCs/>
          <w:b/>
        </w:rPr>
        <w:t xml:space="preserve">Valores que definen cada color</w:t>
      </w:r>
    </w:p>
    <w:tbl>
      <w:tblPr>
        <w:tblStyle w:val="Table"/>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5351"/>
        <w:gridCol w:w="3721"/>
      </w:tblGrid>
      <w:tr>
        <w:trPr>
          <w:cantSplit/>
          <w:tblHeader/>
        </w:trPr>
        <w:tc>
          <w:tcPr>
            <w:tcW w:w="5351" w:type="dxa"/>
            <w:shd w:val="clear" w:color="auto" w:fill="1F3A34"/>
          </w:tcPr>
          <w:p>
            <w:pPr>
              <w:pStyle w:val="Compact"/>
              <w:jc w:val="left"/>
            </w:pPr>
            <w:r>
              <w:rPr>
                <w:b/>
                <w:sz w:val="18"/>
                <w:color w:val="FFFFFF"/>
              </w:rPr>
              <w:t xml:space="preserve">Rango (% i.a. (promedio 3 meses))</w:t>
            </w:r>
          </w:p>
        </w:tc>
        <w:tc>
          <w:tcPr>
            <w:tcW w:w="3721" w:type="dxa"/>
            <w:shd w:val="clear" w:color="auto" w:fill="1F3A34"/>
          </w:tcPr>
          <w:p>
            <w:pPr>
              <w:pStyle w:val="Compact"/>
              <w:jc w:val="left"/>
            </w:pPr>
            <w:r>
              <w:rPr>
                <w:b/>
                <w:sz w:val="18"/>
                <w:color w:val="FFFFFF"/>
              </w:rPr>
              <w:t xml:space="preserve">Color</w:t>
            </w:r>
          </w:p>
        </w:tc>
      </w:tr>
      <w:tr>
        <w:trPr>
          <w:cantSplit/>
        </w:trPr>
        <w:tc>
          <w:tcPr>
            <w:tcW w:w="5351" w:type="dxa"/>
          </w:tcPr>
          <w:p>
            <w:pPr>
              <w:pStyle w:val="Compact"/>
              <w:jc w:val="left"/>
            </w:pPr>
            <w:r>
              <w:rPr>
                <w:sz w:val="18"/>
              </w:rPr>
              <w:t xml:space="preserve">≥ 1,5</w:t>
            </w:r>
          </w:p>
        </w:tc>
        <w:tc>
          <w:tcPr>
            <w:tcW w:w="3721" w:type="dxa"/>
            <w:shd w:val="clear" w:color="auto" w:fill="DCFCE7"/>
          </w:tcPr>
          <w:p>
            <w:pPr>
              <w:pStyle w:val="Compact"/>
              <w:jc w:val="center"/>
            </w:pPr>
            <w:r>
              <w:rPr>
                <w:b/>
                <w:sz w:val="18"/>
                <w:color w:val="14532D"/>
              </w:rPr>
              <w:t xml:space="preserve">VERDE</w:t>
            </w:r>
          </w:p>
        </w:tc>
      </w:tr>
      <w:tr>
        <w:trPr>
          <w:cantSplit/>
        </w:trPr>
        <w:tc>
          <w:tcPr>
            <w:tcW w:w="5351" w:type="dxa"/>
            <w:shd w:val="clear" w:color="auto" w:fill="F6F8F7"/>
          </w:tcPr>
          <w:p>
            <w:pPr>
              <w:pStyle w:val="Compact"/>
              <w:jc w:val="left"/>
            </w:pPr>
            <w:r>
              <w:rPr>
                <w:sz w:val="18"/>
              </w:rPr>
              <w:t xml:space="preserve">−1 – 1,5</w:t>
            </w:r>
          </w:p>
        </w:tc>
        <w:tc>
          <w:tcPr>
            <w:tcW w:w="3721" w:type="dxa"/>
            <w:shd w:val="clear" w:color="auto" w:fill="FEF3C7"/>
          </w:tcPr>
          <w:p>
            <w:pPr>
              <w:pStyle w:val="Compact"/>
              <w:jc w:val="center"/>
            </w:pPr>
            <w:r>
              <w:rPr>
                <w:b/>
                <w:sz w:val="18"/>
                <w:color w:val="713F12"/>
              </w:rPr>
              <w:t xml:space="preserve">AMARILLO</w:t>
            </w:r>
          </w:p>
        </w:tc>
      </w:tr>
      <w:tr>
        <w:trPr>
          <w:cantSplit/>
        </w:trPr>
        <w:tc>
          <w:tcPr>
            <w:tcW w:w="5351" w:type="dxa"/>
          </w:tcPr>
          <w:p>
            <w:pPr>
              <w:pStyle w:val="Compact"/>
              <w:jc w:val="left"/>
            </w:pPr>
            <w:r>
              <w:rPr>
                <w:sz w:val="18"/>
              </w:rPr>
              <w:t xml:space="preserve">−3,5 – −1</w:t>
            </w:r>
          </w:p>
        </w:tc>
        <w:tc>
          <w:tcPr>
            <w:tcW w:w="3721" w:type="dxa"/>
            <w:shd w:val="clear" w:color="auto" w:fill="FFEDD5"/>
          </w:tcPr>
          <w:p>
            <w:pPr>
              <w:pStyle w:val="Compact"/>
              <w:jc w:val="center"/>
            </w:pPr>
            <w:r>
              <w:rPr>
                <w:b/>
                <w:sz w:val="18"/>
                <w:color w:val="7C2D12"/>
              </w:rPr>
              <w:t xml:space="preserve">NARANJA</w:t>
            </w:r>
          </w:p>
        </w:tc>
      </w:tr>
      <w:tr>
        <w:trPr>
          <w:cantSplit/>
        </w:trPr>
        <w:tc>
          <w:tcPr>
            <w:tcW w:w="5351" w:type="dxa"/>
            <w:shd w:val="clear" w:color="auto" w:fill="F6F8F7"/>
          </w:tcPr>
          <w:p>
            <w:pPr>
              <w:pStyle w:val="Compact"/>
              <w:jc w:val="left"/>
            </w:pPr>
            <w:r>
              <w:rPr>
                <w:sz w:val="18"/>
              </w:rPr>
              <w:t xml:space="preserve">≤ −3,5</w:t>
            </w:r>
          </w:p>
        </w:tc>
        <w:tc>
          <w:tcPr>
            <w:tcW w:w="3721" w:type="dxa"/>
            <w:shd w:val="clear" w:color="auto" w:fill="FEE2E2"/>
          </w:tcPr>
          <w:p>
            <w:pPr>
              <w:pStyle w:val="Compact"/>
              <w:jc w:val="center"/>
            </w:pPr>
            <w:r>
              <w:rPr>
                <w:b/>
                <w:sz w:val="18"/>
                <w:color w:val="7F1D1D"/>
              </w:rPr>
              <w:t xml:space="preserve">ROJO</w:t>
            </w:r>
          </w:p>
        </w:tc>
      </w:tr>
    </w:tbl>
    <w:bookmarkEnd w:id="78"/>
    <w:bookmarkStart w:id="79" w:name="datos-concretos-detrás-del-valor-5"/>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25"/>
        </w:numPr>
        <w:pStyle w:val="Compact"/>
      </w:pPr>
      <w:r>
        <w:t xml:space="preserve">El informe publica el valor (−2 % i.a. (promedio 3 meses)) pero no los números que lo componen: la fuente entrega la serie ya calculada. Para auditar el dato hay que ir a la operación estadística citada más arriba.</w:t>
      </w:r>
    </w:p>
    <w:bookmarkEnd w:id="79"/>
    <w:bookmarkStart w:id="80" w:name="color-vigente-y-por-qué-5"/>
    <w:p>
      <w:pPr>
        <w:pStyle w:val="Heading2"/>
        <w:keepNext/>
      </w:pPr>
      <w:r>
        <w:t xml:space="preserve">Color vigente y por qué</w:t>
      </w:r>
    </w:p>
    <w:p>
      <w:pPr>
        <w:pStyle w:val="FirstParagraph"/>
      </w:pPr>
      <w:r>
        <w:t xml:space="preserve">Dato vigente: −2 % i.a. (promedio 3 meses) (2026-06).</w:t>
      </w:r>
    </w:p>
    <w:p>
      <w:pPr>
        <w:pStyle w:val="BodyText"/>
      </w:pPr>
      <w:r>
        <w:t xml:space="preserve">−2,0 % i.a. (promedio 3 meses) cae en el tramo que corresponde a Naranja, a 1,0 del corte más cercano.</w:t>
      </w:r>
    </w:p>
    <w:p>
      <w:pPr>
        <w:pStyle w:val="BodyText"/>
      </w:pPr>
      <w:r>
        <w:rPr>
          <w:bCs/>
          <w:b/>
        </w:rPr>
        <w:t xml:space="preserve">Color vigente: NARANJA</w:t>
      </w:r>
    </w:p>
    <w:p>
      <w:pPr>
        <w:pStyle w:val="BodyText"/>
      </w:pPr>
      <w:r>
        <w:t xml:space="preserve">Ponderación vigente en el ITCM: 2,2 % efectivo. El color es una lectura adicional — no reemplaza ni cambia esta ponderación.</w:t>
      </w:r>
    </w:p>
    <w:p>
      <w:pPr>
        <w:numPr>
          <w:ilvl w:val="0"/>
          <w:numId w:val="1026"/>
        </w:numPr>
        <w:pStyle w:val="Compact"/>
      </w:pPr>
      <w:r>
        <w:rPr>
          <w:bCs/>
          <w:b/>
        </w:rPr>
        <w:t xml:space="preserve">Participación en otros indicadores.</w:t>
      </w:r>
      <w:r>
        <w:t xml:space="preserve"> </w:t>
      </w:r>
      <w:r>
        <w:t xml:space="preserve">Usa las mismas bandas que el EMAE, deliberadamente y con una consecuencia que conviene declarar: sobre la historia disponible, un mes mediano del índice industrial puntúa 39 y uno del estimador de actividad agregada puntúa 71. La brecha no es un defecto de calibración sino desempeño real —la industria argentina creció menos que el conjunto de la economía durante el período—, y ensanchar las bandas para cerrarla borraría esa señal. El arrastre que produce se compensa limitando su peso dentro de la dimensión, no retocando las anclas.</w:t>
      </w:r>
    </w:p>
    <w:bookmarkEnd w:id="80"/>
    <w:bookmarkStart w:id="81" w:name="transparencia-limitaciones-declaradas-5"/>
    <w:p>
      <w:pPr>
        <w:pStyle w:val="Heading2"/>
        <w:keepNext/>
      </w:pPr>
      <w:r>
        <w:t xml:space="preserve">Transparencia — limitaciones declaradas</w:t>
      </w:r>
    </w:p>
    <w:p>
      <w:pPr>
        <w:numPr>
          <w:ilvl w:val="0"/>
          <w:numId w:val="1027"/>
        </w:numPr>
        <w:pStyle w:val="Compact"/>
      </w:pPr>
      <w:r>
        <w:t xml:space="preserve">Mide sólo la industria manufacturera, alrededor de un sexto del producto: no es una medida de actividad agregada y no reemplaza al EMAE, lo acompaña.</w:t>
      </w:r>
    </w:p>
    <w:p>
      <w:pPr>
        <w:numPr>
          <w:ilvl w:val="0"/>
          <w:numId w:val="1027"/>
        </w:numPr>
        <w:pStyle w:val="Compact"/>
      </w:pPr>
      <w:r>
        <w:t xml:space="preserve">El EMAE ya incluye a la industria manufacturera, así que este indicador no aporta un sector nuevo sino una segunda medición del mismo: su función es que la dimensión no dependa de un único dato, no ampliar la cobertura.</w:t>
      </w:r>
    </w:p>
    <w:p>
      <w:pPr>
        <w:numPr>
          <w:ilvl w:val="0"/>
          <w:numId w:val="1027"/>
        </w:numPr>
        <w:pStyle w:val="Compact"/>
      </w:pPr>
      <w:r>
        <w:t xml:space="preserve">Ambos indicadores de la dimensión los publica el INDEC. La redundancia cubre el riesgo de que falte o se revise una serie, no el de que el organismo cambie de metodología: en ese caso se moverían los dos juntos.</w:t>
      </w:r>
    </w:p>
    <w:p>
      <w:pPr>
        <w:numPr>
          <w:ilvl w:val="0"/>
          <w:numId w:val="1027"/>
        </w:numPr>
        <w:pStyle w:val="Compact"/>
      </w:pPr>
      <w:r>
        <w:t xml:space="preserve">El promedio de tres meses amortigua los cambios de nivel: un quiebre brusco tarda dos o tres meses en verse completo.</w:t>
      </w:r>
    </w:p>
    <w:p>
      <w:pPr>
        <w:numPr>
          <w:ilvl w:val="0"/>
          <w:numId w:val="1027"/>
        </w:numPr>
        <w:pStyle w:val="Compact"/>
      </w:pPr>
      <w:r>
        <w:t xml:space="preserve">La serie es original, no desestacionalizada; la comparación interanual absorbe la estacionalidad pero no los efectos de calendario, que el suavizado atenúa sin eliminar.</w:t>
      </w:r>
    </w:p>
    <w:p>
      <w:pPr>
        <w:numPr>
          <w:ilvl w:val="0"/>
          <w:numId w:val="1027"/>
        </w:numPr>
        <w:pStyle w:val="Compact"/>
      </w:pPr>
      <w:r>
        <w:t xml:space="preserve">El INDEC revisa el índice hacia atrás con cada publicación.</w:t>
      </w:r>
    </w:p>
    <w:bookmarkEnd w:id="81"/>
    <w:bookmarkStart w:id="82" w:name="Xc57e4cc3a18d396728e74304c5ee81f44a4293b"/>
    <w:p>
      <w:pPr>
        <w:pStyle w:val="Heading2"/>
        <w:keepNext/>
      </w:pPr>
      <w:r>
        <w:t xml:space="preserve">Si falta el dato / Política de revisiones</w:t>
      </w:r>
    </w:p>
    <w:p>
      <w:pPr>
        <w:numPr>
          <w:ilvl w:val="0"/>
          <w:numId w:val="1028"/>
        </w:numPr>
      </w:pPr>
      <w:r>
        <w:rPr>
          <w:bCs/>
          <w:b/>
        </w:rPr>
        <w:t xml:space="preserve">Si falta el dato:</w:t>
      </w:r>
      <w:r>
        <w:t xml:space="preserve"> </w:t>
      </w:r>
      <w:r>
        <w:t xml:space="preserve">Si el dato falta, se mantiene el último valor disponible, señalado como desactualizado; sin ningún valor previo, la dimensión queda sólo con el EMAE y su peso se renormaliza.</w:t>
      </w:r>
    </w:p>
    <w:p>
      <w:pPr>
        <w:numPr>
          <w:ilvl w:val="0"/>
          <w:numId w:val="1028"/>
        </w:numPr>
      </w:pPr>
      <w:r>
        <w:rPr>
          <w:bCs/>
          <w:b/>
        </w:rPr>
        <w:t xml:space="preserve">Política de revisiones:</w:t>
      </w:r>
      <w:r>
        <w:t xml:space="preserve"> </w:t>
      </w:r>
      <w:r>
        <w:t xml:space="preserve">La fuente revisa la serie; el informe la regenera completa en cada actualización y puntúa siempre el último dato publicado, sin proyecciones propias.</w:t>
      </w:r>
    </w:p>
    <w:bookmarkEnd w:id="82"/>
    <w:bookmarkStart w:id="83" w:name="X01eece54c25544211d0d4e1d54c663892ca44aa"/>
    <w:p>
      <w:pPr>
        <w:pStyle w:val="Heading2"/>
        <w:keepNext/>
      </w:pPr>
      <w:r>
        <w:t xml:space="preserve">Historial — cambios metodológicos documentados</w:t>
      </w:r>
    </w:p>
    <w:p>
      <w:pPr>
        <w:pStyle w:val="FirstParagraph"/>
      </w:pPr>
      <w:r>
        <w:rPr>
          <w:bCs/>
          <w:b/>
        </w:rPr>
        <w:t xml:space="preserve">2026-07-18</w:t>
      </w:r>
      <w:r>
        <w:t xml:space="preserve"> </w:t>
      </w:r>
      <w:r>
        <w:t xml:space="preserve">— Alta del indicador como segunda señal de actividad junto al EMAE, tras una auditoría de consistencia que señaló que el 11% del índice colgaba de un único dato.</w:t>
      </w:r>
    </w:p>
    <w:p>
      <w:pPr>
        <w:pStyle w:val="BodyText"/>
      </w:pPr>
      <w:r>
        <w:rPr>
          <w:bCs/>
          <w:b/>
        </w:rPr>
        <w:t xml:space="preserve">2026-07-18</w:t>
      </w:r>
      <w:r>
        <w:t xml:space="preserve"> </w:t>
      </w:r>
      <w:r>
        <w:t xml:space="preserve">— Su peso baja de 35% a 20% de la dimensión: al ser la industria parte del propio estimador agregado, el reparto anterior dejaba a la dimensión con casi la mitad de su exposición en un solo sector.</w:t>
      </w:r>
    </w:p>
    <w:p>
      <w:r>
        <w:br w:type="page"/>
      </w:r>
    </w:p>
    <w:p>
      <w:pPr>
        <w:pStyle w:val="BodyText"/>
      </w:pPr>
      <w:r>
        <w:rPr>
          <w:bCs/>
          <w:b/>
        </w:rPr>
        <w:t xml:space="preserve">CIGOB · INFORME DE COYUNTURA</w:t>
      </w:r>
    </w:p>
    <w:p>
      <w:pPr>
        <w:pStyle w:val="BodyText"/>
      </w:pPr>
      <w:r>
        <w:rPr>
          <w:iCs/>
          <w:i/>
        </w:rPr>
        <w:t xml:space="preserve">Ficha metodológica · Cinturón Macroeconomía · Capa de semáforo (4 colores)</w:t>
      </w:r>
    </w:p>
    <w:bookmarkEnd w:id="83"/>
    <w:bookmarkEnd w:id="84"/>
    <w:bookmarkStart w:id="94" w:name="saldo-comercial-12m"/>
    <w:p>
      <w:pPr>
        <w:pStyle w:val="Heading1"/>
        <w:keepNext/>
      </w:pPr>
      <w:r>
        <w:t xml:space="preserve">Saldo comercial 12m</w:t>
      </w:r>
    </w:p>
    <w:p>
      <w:pPr>
        <w:pStyle w:val="FirstParagraph"/>
        <w:spacing w:after="160"/>
      </w:pPr>
      <w:r>
        <w:t xml:space="preserve">El balance entre lo que el país exporta y lo que importa, acumulado en los últimos 12 meses.</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3317"/>
        <w:gridCol w:w="1094"/>
        <w:gridCol w:w="2197"/>
        <w:gridCol w:w="2464"/>
      </w:tblGrid>
      <w:tr>
        <w:trPr>
          <w:cantSplit/>
        </w:trPr>
        <w:tc>
          <w:tcPr>
            <w:tcW w:w="3317" w:type="dxa"/>
          </w:tcPr>
          <w:p>
            <w:pPr>
              <w:pStyle w:val="Compact"/>
              <w:jc w:val="left"/>
            </w:pPr>
            <w:r>
              <w:rPr>
                <w:bCs/>
                <w:b/>
                <w:sz w:val="18"/>
              </w:rPr>
              <w:t xml:space="preserve">Hoy: 22.481 Millones de USD (acum. 12 meses)</w:t>
            </w:r>
            <w:r>
              <w:rPr>
                <w:sz w:val="18"/>
              </w:rPr>
              <w:t xml:space="preserve"> </w:t>
            </w:r>
            <w:r>
              <w:rPr>
                <w:sz w:val="18"/>
              </w:rPr>
              <w:t xml:space="preserve">(2026-06)</w:t>
            </w:r>
          </w:p>
        </w:tc>
        <w:tc>
          <w:tcPr>
            <w:tcW w:w="1094" w:type="dxa"/>
            <w:shd w:val="clear" w:color="auto" w:fill="DCFCE7"/>
          </w:tcPr>
          <w:p>
            <w:pPr>
              <w:pStyle w:val="Compact"/>
              <w:jc w:val="center"/>
            </w:pPr>
            <w:r>
              <w:rPr>
                <w:bCs/>
                <w:b/>
                <w:sz w:val="18"/>
                <w:color w:val="14532D"/>
              </w:rPr>
              <w:t xml:space="preserve">VERDE</w:t>
            </w:r>
          </w:p>
        </w:tc>
        <w:tc>
          <w:tcPr>
            <w:tcW w:w="2197" w:type="dxa"/>
          </w:tcPr>
          <w:p>
            <w:pPr>
              <w:pStyle w:val="Compact"/>
              <w:jc w:val="left"/>
            </w:pPr>
            <w:r>
              <w:rPr>
                <w:sz w:val="18"/>
              </w:rPr>
              <w:t xml:space="preserve">Peso efectivo 4,8 % del ITCM</w:t>
            </w:r>
          </w:p>
        </w:tc>
        <w:tc>
          <w:tcPr>
            <w:tcW w:w="2464" w:type="dxa"/>
          </w:tcPr>
          <w:p>
            <w:pPr>
              <w:pStyle w:val="Compact"/>
              <w:jc w:val="left"/>
            </w:pPr>
            <w:r>
              <w:rPr>
                <w:sz w:val="18"/>
              </w:rPr>
              <w:t xml:space="preserve">Cinturón Macroeconomía</w:t>
            </w:r>
          </w:p>
        </w:tc>
      </w:tr>
    </w:tbl>
    <w:bookmarkStart w:id="85" w:name="identificación-6"/>
    <w:p>
      <w:pPr>
        <w:pStyle w:val="Heading2"/>
        <w:keepNext/>
        <w:spacing w:after="160"/>
      </w:pPr>
      <w:r>
        <w:t xml:space="preserve">Identificación</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1862"/>
        <w:gridCol w:w="2731"/>
        <w:gridCol w:w="1879"/>
        <w:gridCol w:w="2600"/>
      </w:tblGrid>
      <w:tr>
        <w:trPr>
          <w:cantSplit/>
        </w:trPr>
        <w:tc>
          <w:tcPr>
            <w:tcW w:w="1862" w:type="dxa"/>
          </w:tcPr>
          <w:p>
            <w:pPr>
              <w:pStyle w:val="Compact"/>
              <w:jc w:val="left"/>
            </w:pPr>
            <w:r>
              <w:rPr>
                <w:bCs/>
                <w:b/>
                <w:sz w:val="18"/>
              </w:rPr>
              <w:t xml:space="preserve">IDENTIFICADOR TÉCNICO</w:t>
            </w:r>
          </w:p>
        </w:tc>
        <w:tc>
          <w:tcPr>
            <w:tcW w:w="2731" w:type="dxa"/>
          </w:tcPr>
          <w:p>
            <w:pPr>
              <w:pStyle w:val="Compact"/>
              <w:jc w:val="left"/>
            </w:pPr>
            <w:r>
              <w:rPr>
                <w:sz w:val="18"/>
              </w:rPr>
              <w:t xml:space="preserve">saldo_comercial_12m</w:t>
            </w:r>
          </w:p>
        </w:tc>
        <w:tc>
          <w:tcPr>
            <w:tcW w:w="1879" w:type="dxa"/>
          </w:tcPr>
          <w:p>
            <w:pPr>
              <w:pStyle w:val="Compact"/>
              <w:jc w:val="left"/>
            </w:pPr>
            <w:r>
              <w:rPr>
                <w:bCs/>
                <w:b/>
                <w:sz w:val="18"/>
              </w:rPr>
              <w:t xml:space="preserve">CINTURÓN</w:t>
            </w:r>
          </w:p>
        </w:tc>
        <w:tc>
          <w:tcPr>
            <w:tcW w:w="2600" w:type="dxa"/>
          </w:tcPr>
          <w:p>
            <w:pPr>
              <w:pStyle w:val="Compact"/>
              <w:jc w:val="left"/>
            </w:pPr>
            <w:r>
              <w:rPr>
                <w:sz w:val="18"/>
              </w:rPr>
              <w:t xml:space="preserve">Macroeconomía</w:t>
            </w:r>
          </w:p>
        </w:tc>
      </w:tr>
      <w:tr>
        <w:trPr>
          <w:cantSplit/>
        </w:trPr>
        <w:tc>
          <w:tcPr>
            <w:tcW w:w="1862" w:type="dxa"/>
          </w:tcPr>
          <w:p>
            <w:pPr>
              <w:pStyle w:val="Compact"/>
              <w:jc w:val="left"/>
            </w:pPr>
            <w:r>
              <w:rPr>
                <w:bCs/>
                <w:b/>
                <w:sz w:val="18"/>
              </w:rPr>
              <w:t xml:space="preserve">DIMENSIÓN EN EL ITCM</w:t>
            </w:r>
          </w:p>
        </w:tc>
        <w:tc>
          <w:tcPr>
            <w:tcW w:w="2731" w:type="dxa"/>
          </w:tcPr>
          <w:p>
            <w:pPr>
              <w:pStyle w:val="Compact"/>
              <w:jc w:val="left"/>
            </w:pPr>
            <w:r>
              <w:rPr>
                <w:sz w:val="18"/>
              </w:rPr>
              <w:t xml:space="preserve">Viabilidad fiscal-comercial</w:t>
            </w:r>
          </w:p>
        </w:tc>
        <w:tc>
          <w:tcPr>
            <w:tcW w:w="1879" w:type="dxa"/>
          </w:tcPr>
          <w:p>
            <w:pPr>
              <w:pStyle w:val="Compact"/>
              <w:jc w:val="left"/>
            </w:pPr>
            <w:r>
              <w:rPr>
                <w:bCs/>
                <w:b/>
                <w:sz w:val="18"/>
              </w:rPr>
              <w:t xml:space="preserve">UNIDAD DE MEDIDA</w:t>
            </w:r>
          </w:p>
        </w:tc>
        <w:tc>
          <w:tcPr>
            <w:tcW w:w="2600" w:type="dxa"/>
          </w:tcPr>
          <w:p>
            <w:pPr>
              <w:pStyle w:val="Compact"/>
              <w:jc w:val="left"/>
            </w:pPr>
            <w:r>
              <w:rPr>
                <w:sz w:val="18"/>
              </w:rPr>
              <w:t xml:space="preserve">Millones de USD (acum. 12 meses)</w:t>
            </w:r>
          </w:p>
        </w:tc>
      </w:tr>
      <w:tr>
        <w:trPr>
          <w:cantSplit/>
        </w:trPr>
        <w:tc>
          <w:tcPr>
            <w:tcW w:w="1862" w:type="dxa"/>
          </w:tcPr>
          <w:p>
            <w:pPr>
              <w:pStyle w:val="Compact"/>
              <w:jc w:val="left"/>
            </w:pPr>
            <w:r>
              <w:rPr>
                <w:bCs/>
                <w:b/>
                <w:sz w:val="18"/>
              </w:rPr>
              <w:t xml:space="preserve">SERIE DISPONIBLE</w:t>
            </w:r>
          </w:p>
        </w:tc>
        <w:tc>
          <w:tcPr>
            <w:tcW w:w="2731" w:type="dxa"/>
          </w:tcPr>
          <w:p>
            <w:pPr>
              <w:pStyle w:val="Compact"/>
              <w:jc w:val="left"/>
            </w:pPr>
            <w:r>
              <w:rPr>
                <w:sz w:val="18"/>
              </w:rPr>
              <w:t xml:space="preserve">2022-06 → 2026-06 (49 puntos)</w:t>
            </w:r>
          </w:p>
        </w:tc>
        <w:tc>
          <w:tcPr>
            <w:tcW w:w="1879" w:type="dxa"/>
          </w:tcPr>
          <w:p>
            <w:pPr>
              <w:pStyle w:val="Compact"/>
              <w:jc w:val="left"/>
            </w:pPr>
            <w:r>
              <w:rPr>
                <w:bCs/>
                <w:b/>
                <w:sz w:val="18"/>
              </w:rPr>
              <w:t xml:space="preserve">REZAGO DE PUBLICACIÓN</w:t>
            </w:r>
          </w:p>
        </w:tc>
        <w:tc>
          <w:tcPr>
            <w:tcW w:w="2600" w:type="dxa"/>
          </w:tcPr>
          <w:p>
            <w:pPr>
              <w:pStyle w:val="Compact"/>
              <w:jc w:val="left"/>
            </w:pPr>
            <w:r>
              <w:rPr>
                <w:sz w:val="18"/>
              </w:rPr>
              <w:t xml:space="preserve">Las series del intercambio comercial (ICA) se publican con un mes y medio a dos meses de rezago.</w:t>
            </w:r>
          </w:p>
        </w:tc>
      </w:tr>
      <w:tr>
        <w:trPr>
          <w:cantSplit/>
        </w:trPr>
        <w:tc>
          <w:tcPr>
            <w:tcW w:w="1862" w:type="dxa"/>
          </w:tcPr>
          <w:p>
            <w:pPr>
              <w:pStyle w:val="Compact"/>
              <w:jc w:val="left"/>
            </w:pPr>
            <w:r>
              <w:rPr>
                <w:bCs/>
                <w:b/>
                <w:sz w:val="18"/>
              </w:rPr>
              <w:t xml:space="preserve">PRODUCTOR DEL DATO</w:t>
            </w:r>
          </w:p>
        </w:tc>
        <w:tc>
          <w:tcPr>
            <w:tcW w:w="2731" w:type="dxa"/>
          </w:tcPr>
          <w:p>
            <w:pPr>
              <w:pStyle w:val="Compact"/>
              <w:jc w:val="left"/>
            </w:pPr>
            <w:r>
              <w:rPr>
                <w:sz w:val="18"/>
              </w:rPr>
              <w:t xml:space="preserve">INDEC</w:t>
            </w:r>
          </w:p>
        </w:tc>
        <w:tc>
          <w:tcPr>
            <w:tcW w:w="1879" w:type="dxa"/>
          </w:tcPr>
          <w:p>
            <w:pPr>
              <w:pStyle w:val="Compact"/>
              <w:jc w:val="left"/>
            </w:pPr>
            <w:r>
              <w:rPr>
                <w:bCs/>
                <w:b/>
                <w:sz w:val="18"/>
              </w:rPr>
              <w:t xml:space="preserve">OPERACIÓN ESTADÍSTICA</w:t>
            </w:r>
          </w:p>
        </w:tc>
        <w:tc>
          <w:tcPr>
            <w:tcW w:w="2600" w:type="dxa"/>
          </w:tcPr>
          <w:p>
            <w:pPr>
              <w:pStyle w:val="Compact"/>
              <w:jc w:val="left"/>
            </w:pPr>
            <w:r>
              <w:rPr>
                <w:sz w:val="18"/>
              </w:rPr>
              <w:t xml:space="preserve">ICA — Intercambio Comercial Argentino: exportaciones e importaciones totales mensuales, en millones de dólares</w:t>
            </w:r>
          </w:p>
        </w:tc>
      </w:tr>
      <w:tr>
        <w:trPr>
          <w:cantSplit/>
        </w:trPr>
        <w:tc>
          <w:tcPr>
            <w:tcW w:w="1862" w:type="dxa"/>
          </w:tcPr>
          <w:p>
            <w:pPr>
              <w:pStyle w:val="Compact"/>
              <w:jc w:val="left"/>
            </w:pPr>
            <w:r>
              <w:rPr>
                <w:bCs/>
                <w:b/>
                <w:sz w:val="18"/>
              </w:rPr>
              <w:t xml:space="preserve">MODO DE ACCESO</w:t>
            </w:r>
          </w:p>
        </w:tc>
        <w:tc>
          <w:tcPr>
            <w:tcW w:w="2731" w:type="dxa"/>
          </w:tcPr>
          <w:p>
            <w:pPr>
              <w:pStyle w:val="Compact"/>
              <w:jc w:val="left"/>
            </w:pPr>
            <w:r>
              <w:rPr>
                <w:sz w:val="18"/>
              </w:rPr>
              <w:t xml:space="preserve">Automático: API pública de series de tiempo; el saldo se calcula en el propio informe.</w:t>
            </w:r>
          </w:p>
        </w:tc>
        <w:tc>
          <w:tcPr>
            <w:tcW w:w="1879" w:type="dxa"/>
          </w:tcPr>
          <w:p>
            <w:pPr>
              <w:pStyle w:val="Compact"/>
              <w:jc w:val="left"/>
            </w:pPr>
            <w:r>
              <w:rPr>
                <w:bCs/>
                <w:b/>
                <w:sz w:val="18"/>
              </w:rPr>
              <w:t xml:space="preserve">ÚLTIMA ACTUALIZACIÓN</w:t>
            </w:r>
          </w:p>
        </w:tc>
        <w:tc>
          <w:tcPr>
            <w:tcW w:w="2600" w:type="dxa"/>
          </w:tcPr>
          <w:p>
            <w:pPr>
              <w:pStyle w:val="Compact"/>
              <w:jc w:val="left"/>
            </w:pPr>
            <w:r>
              <w:rPr>
                <w:sz w:val="18"/>
              </w:rPr>
              <w:t xml:space="preserve">Dato a 2026-06 · informe generado el 2026-08-09</w:t>
            </w:r>
          </w:p>
        </w:tc>
      </w:tr>
    </w:tbl>
    <w:bookmarkEnd w:id="85"/>
    <w:bookmarkStart w:id="86" w:name="definición-qué-mide-y-por-qué-importa-6"/>
    <w:p>
      <w:pPr>
        <w:pStyle w:val="Heading2"/>
        <w:keepNext/>
      </w:pPr>
      <w:r>
        <w:t xml:space="preserve">Definición — qué mide y por qué importa</w:t>
      </w:r>
    </w:p>
    <w:p>
      <w:pPr>
        <w:pStyle w:val="FirstParagraph"/>
      </w:pPr>
      <w:r>
        <w:t xml:space="preserve">El balance entre lo que el país exporta y lo que importa, acumulado en los últimos 12 meses.</w:t>
      </w:r>
    </w:p>
    <w:p>
      <w:pPr>
        <w:pStyle w:val="BodyText"/>
      </w:pPr>
      <w:r>
        <w:t xml:space="preserve">Muestra si el intercambio de bienes aporta o resta dólares. No alcanza para saber si el sector externo en conjunto los genera: faltan los servicios, los intereses y las utilidades giradas, que se ven en la cuenta corriente del gráfico.</w:t>
      </w:r>
    </w:p>
    <w:p>
      <w:pPr>
        <w:pStyle w:val="BodyText"/>
      </w:pPr>
      <w:r>
        <w:rPr>
          <w:bCs/>
          <w:b/>
        </w:rPr>
        <w:t xml:space="preserve">Dimensión que integra — Viabilidad fiscal-comercial.</w:t>
      </w:r>
      <w:r>
        <w:t xml:space="preserve"> </w:t>
      </w:r>
      <w:r>
        <w:t xml:space="preserve">Si las cuentas cierran: la recaudación real (el sostén del ancla fiscal) y el saldo comercial (los dólares genuinos del intercambio).</w:t>
      </w:r>
    </w:p>
    <w:bookmarkEnd w:id="86"/>
    <w:bookmarkStart w:id="87" w:name="método-de-cómputo-6"/>
    <w:p>
      <w:pPr>
        <w:pStyle w:val="Heading2"/>
        <w:keepNext/>
      </w:pPr>
      <w:r>
        <w:t xml:space="preserve">Método de cómputo</w:t>
      </w:r>
    </w:p>
    <w:p>
      <w:pPr>
        <w:numPr>
          <w:ilvl w:val="0"/>
          <w:numId w:val="1029"/>
        </w:numPr>
        <w:pStyle w:val="Compact"/>
      </w:pPr>
      <w:r>
        <w:t xml:space="preserve">Saldo acumulado de 12 meses: suma de exportaciones menos suma de importaciones de los últimos 12 meses comunes de ambas series.</w:t>
      </w:r>
    </w:p>
    <w:p>
      <w:pPr>
        <w:numPr>
          <w:ilvl w:val="0"/>
          <w:numId w:val="1029"/>
        </w:numPr>
        <w:pStyle w:val="Compact"/>
      </w:pPr>
      <w:r>
        <w:t xml:space="preserve">El acumulado anual elimina la estacionalidad energética y sojera.</w:t>
      </w:r>
    </w:p>
    <w:p>
      <w:pPr>
        <w:numPr>
          <w:ilvl w:val="0"/>
          <w:numId w:val="1029"/>
        </w:numPr>
        <w:pStyle w:val="Compact"/>
      </w:pPr>
      <w:r>
        <w:t xml:space="preserve">Regla automática declarada: si hay superávit pero se explica más por una caída de importaciones que por un aumento de exportaciones (contracción de la demanda interna, no éxito exportador), el puntaje se interpola hacia un piso de 60 en proporción a cuánto domina esa caída, sin un corte brusco apenas se cruza el umbral. La justificación se genera a partir de los números de cada actualización.</w:t>
      </w:r>
    </w:p>
    <w:bookmarkEnd w:id="87"/>
    <w:bookmarkStart w:id="88" w:name="X6f1889a6c9c1eaefb3e4c5719eab82ff8c71647"/>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spacing w:after="160"/>
      </w:pPr>
      <w:r>
        <w:rPr>
          <w:bCs/>
          <w:b/>
        </w:rPr>
        <w:t xml:space="preserve">Valores que definen cada color</w:t>
      </w:r>
    </w:p>
    <w:tbl>
      <w:tblPr>
        <w:tblStyle w:val="Table"/>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5748"/>
        <w:gridCol w:w="3324"/>
      </w:tblGrid>
      <w:tr>
        <w:trPr>
          <w:cantSplit/>
          <w:tblHeader/>
        </w:trPr>
        <w:tc>
          <w:tcPr>
            <w:tcW w:w="5748" w:type="dxa"/>
            <w:shd w:val="clear" w:color="auto" w:fill="1F3A34"/>
          </w:tcPr>
          <w:p>
            <w:pPr>
              <w:pStyle w:val="Compact"/>
              <w:jc w:val="left"/>
            </w:pPr>
            <w:r>
              <w:rPr>
                <w:b/>
                <w:sz w:val="18"/>
                <w:color w:val="FFFFFF"/>
              </w:rPr>
              <w:t xml:space="preserve">Rango (Millones de USD (acum. 12 meses))</w:t>
            </w:r>
          </w:p>
        </w:tc>
        <w:tc>
          <w:tcPr>
            <w:tcW w:w="3324" w:type="dxa"/>
            <w:shd w:val="clear" w:color="auto" w:fill="1F3A34"/>
          </w:tcPr>
          <w:p>
            <w:pPr>
              <w:pStyle w:val="Compact"/>
              <w:jc w:val="left"/>
            </w:pPr>
            <w:r>
              <w:rPr>
                <w:b/>
                <w:sz w:val="18"/>
                <w:color w:val="FFFFFF"/>
              </w:rPr>
              <w:t xml:space="preserve">Color</w:t>
            </w:r>
          </w:p>
        </w:tc>
      </w:tr>
      <w:tr>
        <w:trPr>
          <w:cantSplit/>
        </w:trPr>
        <w:tc>
          <w:tcPr>
            <w:tcW w:w="5748" w:type="dxa"/>
          </w:tcPr>
          <w:p>
            <w:pPr>
              <w:pStyle w:val="Compact"/>
              <w:jc w:val="left"/>
            </w:pPr>
            <w:r>
              <w:rPr>
                <w:sz w:val="18"/>
              </w:rPr>
              <w:t xml:space="preserve">≥ 7.500</w:t>
            </w:r>
          </w:p>
        </w:tc>
        <w:tc>
          <w:tcPr>
            <w:tcW w:w="3324" w:type="dxa"/>
            <w:shd w:val="clear" w:color="auto" w:fill="DCFCE7"/>
          </w:tcPr>
          <w:p>
            <w:pPr>
              <w:pStyle w:val="Compact"/>
              <w:jc w:val="center"/>
            </w:pPr>
            <w:r>
              <w:rPr>
                <w:b/>
                <w:sz w:val="18"/>
                <w:color w:val="14532D"/>
              </w:rPr>
              <w:t xml:space="preserve">VERDE</w:t>
            </w:r>
          </w:p>
        </w:tc>
      </w:tr>
      <w:tr>
        <w:trPr>
          <w:cantSplit/>
        </w:trPr>
        <w:tc>
          <w:tcPr>
            <w:tcW w:w="5748" w:type="dxa"/>
            <w:shd w:val="clear" w:color="auto" w:fill="F6F8F7"/>
          </w:tcPr>
          <w:p>
            <w:pPr>
              <w:pStyle w:val="Compact"/>
              <w:jc w:val="left"/>
            </w:pPr>
            <w:r>
              <w:rPr>
                <w:sz w:val="18"/>
              </w:rPr>
              <w:t xml:space="preserve">−5.000 – 7.500</w:t>
            </w:r>
          </w:p>
        </w:tc>
        <w:tc>
          <w:tcPr>
            <w:tcW w:w="3324" w:type="dxa"/>
            <w:shd w:val="clear" w:color="auto" w:fill="FEF3C7"/>
          </w:tcPr>
          <w:p>
            <w:pPr>
              <w:pStyle w:val="Compact"/>
              <w:jc w:val="center"/>
            </w:pPr>
            <w:r>
              <w:rPr>
                <w:b/>
                <w:sz w:val="18"/>
                <w:color w:val="713F12"/>
              </w:rPr>
              <w:t xml:space="preserve">AMARILLO</w:t>
            </w:r>
          </w:p>
        </w:tc>
      </w:tr>
      <w:tr>
        <w:trPr>
          <w:cantSplit/>
        </w:trPr>
        <w:tc>
          <w:tcPr>
            <w:tcW w:w="5748" w:type="dxa"/>
          </w:tcPr>
          <w:p>
            <w:pPr>
              <w:pStyle w:val="Compact"/>
              <w:jc w:val="left"/>
            </w:pPr>
            <w:r>
              <w:rPr>
                <w:sz w:val="18"/>
              </w:rPr>
              <w:t xml:space="preserve">≤ −5.000</w:t>
            </w:r>
          </w:p>
        </w:tc>
        <w:tc>
          <w:tcPr>
            <w:tcW w:w="3324" w:type="dxa"/>
            <w:shd w:val="clear" w:color="auto" w:fill="FFEDD5"/>
          </w:tcPr>
          <w:p>
            <w:pPr>
              <w:pStyle w:val="Compact"/>
              <w:jc w:val="center"/>
            </w:pPr>
            <w:r>
              <w:rPr>
                <w:b/>
                <w:sz w:val="18"/>
                <w:color w:val="7C2D12"/>
              </w:rPr>
              <w:t xml:space="preserve">NARANJA</w:t>
            </w:r>
          </w:p>
        </w:tc>
      </w:tr>
    </w:tbl>
    <w:bookmarkEnd w:id="88"/>
    <w:bookmarkStart w:id="89" w:name="datos-concretos-detrás-del-valor-6"/>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30"/>
        </w:numPr>
        <w:pStyle w:val="Compact"/>
      </w:pPr>
      <w:r>
        <w:t xml:space="preserve">El informe publica el valor (22.481 Millones de USD (acum. 12 meses)) pero no los números que lo componen: la fuente entrega la serie ya calculada. Para auditar el dato hay que ir a la operación estadística citada más arriba.</w:t>
      </w:r>
    </w:p>
    <w:bookmarkEnd w:id="89"/>
    <w:bookmarkStart w:id="90" w:name="color-vigente-y-por-qué-6"/>
    <w:p>
      <w:pPr>
        <w:pStyle w:val="Heading2"/>
        <w:keepNext/>
      </w:pPr>
      <w:r>
        <w:t xml:space="preserve">Color vigente y por qué</w:t>
      </w:r>
    </w:p>
    <w:p>
      <w:pPr>
        <w:pStyle w:val="FirstParagraph"/>
      </w:pPr>
      <w:r>
        <w:t xml:space="preserve">Dato vigente: 22.481 Millones de USD (acum. 12 meses) (2026-06).</w:t>
      </w:r>
    </w:p>
    <w:p>
      <w:pPr>
        <w:pStyle w:val="BodyText"/>
      </w:pPr>
      <w:r>
        <w:t xml:space="preserve">22481,0 Millones de USD (acum. 12 meses) cae en el tramo que corresponde a Verde, a 14981,0 del corte más cercano.</w:t>
      </w:r>
    </w:p>
    <w:p>
      <w:pPr>
        <w:pStyle w:val="BodyText"/>
      </w:pPr>
      <w:r>
        <w:rPr>
          <w:bCs/>
          <w:b/>
        </w:rPr>
        <w:t xml:space="preserve">Color vigente: VERDE</w:t>
      </w:r>
    </w:p>
    <w:p>
      <w:pPr>
        <w:pStyle w:val="BodyText"/>
      </w:pPr>
      <w:r>
        <w:t xml:space="preserve">Ponderación vigente en el ITCM: 4,8 % efectivo. El color es una lectura adicional — no reemplaza ni cambia esta ponderación.</w:t>
      </w:r>
    </w:p>
    <w:p>
      <w:pPr>
        <w:numPr>
          <w:ilvl w:val="0"/>
          <w:numId w:val="1031"/>
        </w:numPr>
        <w:pStyle w:val="Compact"/>
      </w:pPr>
      <w:r>
        <w:rPr>
          <w:bCs/>
          <w:b/>
        </w:rPr>
        <w:t xml:space="preserve">Participación en otros indicadores.</w:t>
      </w:r>
      <w:r>
        <w:t xml:space="preserve"> </w:t>
      </w:r>
      <w:r>
        <w:t xml:space="preserve">Las mismas series del ICA son insumo de la alícuota de apertura comercial (cinturón gestión), y la subserie de bienes de capital importados alimenta el IAI.</w:t>
      </w:r>
    </w:p>
    <w:bookmarkEnd w:id="90"/>
    <w:bookmarkStart w:id="91" w:name="transparencia-limitaciones-declaradas-6"/>
    <w:p>
      <w:pPr>
        <w:pStyle w:val="Heading2"/>
        <w:keepNext/>
      </w:pPr>
      <w:r>
        <w:t xml:space="preserve">Transparencia — limitaciones declaradas</w:t>
      </w:r>
    </w:p>
    <w:p>
      <w:pPr>
        <w:numPr>
          <w:ilvl w:val="0"/>
          <w:numId w:val="1032"/>
        </w:numPr>
        <w:pStyle w:val="Compact"/>
      </w:pPr>
      <w:r>
        <w:t xml:space="preserve">Mide sólo el intercambio de BIENES. Quedan afuera los servicios, los intereses de la deuda y las utilidades giradas al exterior, que en el período reciente drenan alrededor de diecisiete mil millones de dólares por año: mientras el saldo comercial marcaba un superávit de trece mil millones, la cuenta corriente —que sí los incluye— estaba en déficit de cuatro mil millones. Un superávit comercial no equivale, por sí solo, a que el sector externo genere los dólares que el programa necesita. La cuenta corriente se publica junto a este indicador en el gráfico, como contexto.</w:t>
      </w:r>
    </w:p>
    <w:p>
      <w:pPr>
        <w:numPr>
          <w:ilvl w:val="0"/>
          <w:numId w:val="1032"/>
        </w:numPr>
        <w:pStyle w:val="Compact"/>
      </w:pPr>
      <w:r>
        <w:t xml:space="preserve">El acumulado de 12 meses suaviza a costa de reactividad: un vuelco del frente comercial tarda meses en reflejarse por completo.</w:t>
      </w:r>
    </w:p>
    <w:p>
      <w:pPr>
        <w:numPr>
          <w:ilvl w:val="0"/>
          <w:numId w:val="1032"/>
        </w:numPr>
        <w:pStyle w:val="Compact"/>
      </w:pPr>
      <w:r>
        <w:t xml:space="preserve">El máximo alcanzable de la escala es 85, no 100: diseño del documento institucional.</w:t>
      </w:r>
    </w:p>
    <w:p>
      <w:pPr>
        <w:numPr>
          <w:ilvl w:val="0"/>
          <w:numId w:val="1032"/>
        </w:numPr>
        <w:pStyle w:val="Compact"/>
      </w:pPr>
      <w:r>
        <w:t xml:space="preserve">Los datos del ICA son provisorios y se revisan; la serie regenerada por actualización los absorbe.</w:t>
      </w:r>
    </w:p>
    <w:bookmarkEnd w:id="91"/>
    <w:bookmarkStart w:id="92" w:name="Xda21666f7a2dd83c88faf8de956a46075edab32"/>
    <w:p>
      <w:pPr>
        <w:pStyle w:val="Heading2"/>
        <w:keepNext/>
      </w:pPr>
      <w:r>
        <w:t xml:space="preserve">Si falta el dato / Política de revisiones</w:t>
      </w:r>
    </w:p>
    <w:p>
      <w:pPr>
        <w:numPr>
          <w:ilvl w:val="0"/>
          <w:numId w:val="1033"/>
        </w:numPr>
      </w:pPr>
      <w:r>
        <w:rPr>
          <w:bCs/>
          <w:b/>
        </w:rPr>
        <w:t xml:space="preserve">Si falta el dato:</w:t>
      </w:r>
      <w:r>
        <w:t xml:space="preserve"> </w:t>
      </w:r>
      <w:r>
        <w:t xml:space="preserve">Con las series del ICA caídas, el cálculo cae a la serie de saldo directa (más rezagada y sin composición); agotado eso, se mantiene el último valor disponible señalado como desactualizado y los pesos se renormalizan.</w:t>
      </w:r>
    </w:p>
    <w:p>
      <w:pPr>
        <w:numPr>
          <w:ilvl w:val="0"/>
          <w:numId w:val="1033"/>
        </w:numPr>
      </w:pPr>
      <w:r>
        <w:rPr>
          <w:bCs/>
          <w:b/>
        </w:rPr>
        <w:t xml:space="preserve">Política de revisiones:</w:t>
      </w:r>
      <w:r>
        <w:t xml:space="preserve"> </w:t>
      </w:r>
      <w:r>
        <w:t xml:space="preserve">La fuente revisa provisorios; el informe re-descarga la serie completa en cada actualización.</w:t>
      </w:r>
    </w:p>
    <w:bookmarkEnd w:id="92"/>
    <w:bookmarkStart w:id="93" w:name="X78b6541d61e709752066d9872c28a219573eb10"/>
    <w:p>
      <w:pPr>
        <w:pStyle w:val="Heading2"/>
        <w:keepNext/>
      </w:pPr>
      <w:r>
        <w:t xml:space="preserve">Historial — cambios metodológicos documentados</w:t>
      </w:r>
    </w:p>
    <w:p>
      <w:pPr>
        <w:pStyle w:val="FirstParagraph"/>
      </w:pPr>
      <w:r>
        <w:rPr>
          <w:bCs/>
          <w:b/>
        </w:rPr>
        <w:t xml:space="preserve">2026-07-18</w:t>
      </w:r>
      <w:r>
        <w:t xml:space="preserve"> </w:t>
      </w:r>
      <w:r>
        <w:t xml:space="preserve">— Se declara la limitación de cobertura y se publica la cuenta corriente junto a este indicador: el saldo de bienes puede marcar superávit mientras el sector externo en conjunto drena dólares.</w:t>
      </w:r>
    </w:p>
    <w:p>
      <w:pPr>
        <w:pStyle w:val="BodyText"/>
      </w:pPr>
      <w:r>
        <w:rPr>
          <w:bCs/>
          <w:b/>
        </w:rPr>
        <w:t xml:space="preserve">2026-06</w:t>
      </w:r>
      <w:r>
        <w:t xml:space="preserve"> </w:t>
      </w:r>
      <w:r>
        <w:t xml:space="preserve">— En el índice desde la paramétrica original, calculado por las series de exportaciones e importaciones del ICA (frescas a ~2 meses) en lugar de la serie de saldo directa (~14 meses de rezago), con la regla de superávit por contracción automatizada.</w:t>
      </w:r>
    </w:p>
    <w:p>
      <w:pPr>
        <w:pStyle w:val="BodyText"/>
      </w:pPr>
      <w:r>
        <w:rPr>
          <w:bCs/>
          <w:b/>
        </w:rPr>
        <w:t xml:space="preserve">2026-07-03</w:t>
      </w:r>
      <w:r>
        <w:t xml:space="preserve"> </w:t>
      </w:r>
      <w:r>
        <w:t xml:space="preserve">— Puntaje interpolado entre anclas.</w:t>
      </w:r>
    </w:p>
    <w:p>
      <w:pPr>
        <w:pStyle w:val="BodyText"/>
      </w:pPr>
      <w:r>
        <w:rPr>
          <w:bCs/>
          <w:b/>
        </w:rPr>
        <w:t xml:space="preserve">2026-07-04</w:t>
      </w:r>
      <w:r>
        <w:t xml:space="preserve"> </w:t>
      </w:r>
      <w:r>
        <w:t xml:space="preserve">— La serie del gráfico pasó del saldo mensual al acumulado móvil de 12 meses — la métrica del titular.</w:t>
      </w:r>
    </w:p>
    <w:p>
      <w:pPr>
        <w:pStyle w:val="BodyText"/>
      </w:pPr>
      <w:r>
        <w:rPr>
          <w:bCs/>
          <w:b/>
        </w:rPr>
        <w:t xml:space="preserve">2026-07-15</w:t>
      </w:r>
      <w:r>
        <w:t xml:space="preserve"> </w:t>
      </w:r>
      <w:r>
        <w:t xml:space="preserve">— La regla automática de superávit por contracción dejó de rebajar de golpe a 60 puntos: ahora interpola hacia ese mismo piso según cuánto de la mejora del saldo se explica por la caída de importaciones.</w:t>
      </w:r>
    </w:p>
    <w:p>
      <w:r>
        <w:br w:type="page"/>
      </w:r>
    </w:p>
    <w:p>
      <w:pPr>
        <w:pStyle w:val="BodyText"/>
      </w:pPr>
      <w:r>
        <w:rPr>
          <w:bCs/>
          <w:b/>
        </w:rPr>
        <w:t xml:space="preserve">CIGOB · INFORME DE COYUNTURA</w:t>
      </w:r>
    </w:p>
    <w:p>
      <w:pPr>
        <w:pStyle w:val="BodyText"/>
      </w:pPr>
      <w:r>
        <w:rPr>
          <w:iCs/>
          <w:i/>
        </w:rPr>
        <w:t xml:space="preserve">Ficha metodológica · Cinturón Macroeconomía · Capa de semáforo (4 colores)</w:t>
      </w:r>
    </w:p>
    <w:bookmarkEnd w:id="93"/>
    <w:bookmarkEnd w:id="94"/>
    <w:bookmarkStart w:id="104" w:name="base-imponible-real-nación-provincias"/>
    <w:p>
      <w:pPr>
        <w:pStyle w:val="Heading1"/>
        <w:keepNext/>
      </w:pPr>
      <w:r>
        <w:t xml:space="preserve">Base imponible real (nación + provincias)</w:t>
      </w:r>
    </w:p>
    <w:p>
      <w:pPr>
        <w:pStyle w:val="FirstParagraph"/>
        <w:spacing w:after="160"/>
      </w:pPr>
      <w:r>
        <w:t xml:space="preserve">Cuánta economía formal hay para gravar, medida en pesos constantes y comparada contra el cuarto trimestre de 2023, que vale 100. Suma los impuestos internos de la Nación —IVA doméstico, Ganancias, créditos y débitos— y el Impuesto sobre los Ingresos Brutos de las empresas que operan en varias provincias, con sus regímenes de retención. Se corrige la estacionalidad del calendario tributario, que concentra la recaudación en mayo y junio.</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2910"/>
        <w:gridCol w:w="1425"/>
        <w:gridCol w:w="2240"/>
        <w:gridCol w:w="2497"/>
      </w:tblGrid>
      <w:tr>
        <w:trPr>
          <w:cantSplit/>
        </w:trPr>
        <w:tc>
          <w:tcPr>
            <w:tcW w:w="2910" w:type="dxa"/>
          </w:tcPr>
          <w:p>
            <w:pPr>
              <w:pStyle w:val="Compact"/>
              <w:jc w:val="left"/>
            </w:pPr>
            <w:r>
              <w:rPr>
                <w:bCs/>
                <w:b/>
                <w:sz w:val="18"/>
              </w:rPr>
              <w:t xml:space="preserve">Hoy: 88,2 índice (100 = 4T-2023)</w:t>
            </w:r>
            <w:r>
              <w:rPr>
                <w:sz w:val="18"/>
              </w:rPr>
              <w:t xml:space="preserve"> </w:t>
            </w:r>
            <w:r>
              <w:rPr>
                <w:sz w:val="18"/>
              </w:rPr>
              <w:t xml:space="preserve">(2026-06)</w:t>
            </w:r>
          </w:p>
        </w:tc>
        <w:tc>
          <w:tcPr>
            <w:tcW w:w="1425" w:type="dxa"/>
            <w:shd w:val="clear" w:color="auto" w:fill="FEF3C7"/>
          </w:tcPr>
          <w:p>
            <w:pPr>
              <w:pStyle w:val="Compact"/>
              <w:jc w:val="center"/>
            </w:pPr>
            <w:r>
              <w:rPr>
                <w:bCs/>
                <w:b/>
                <w:sz w:val="18"/>
                <w:color w:val="713F12"/>
              </w:rPr>
              <w:t xml:space="preserve">AMARILLO</w:t>
            </w:r>
          </w:p>
        </w:tc>
        <w:tc>
          <w:tcPr>
            <w:tcW w:w="2240" w:type="dxa"/>
          </w:tcPr>
          <w:p>
            <w:pPr>
              <w:pStyle w:val="Compact"/>
              <w:jc w:val="left"/>
            </w:pPr>
            <w:r>
              <w:rPr>
                <w:sz w:val="18"/>
              </w:rPr>
              <w:t xml:space="preserve">Peso efectivo 7,2 % del ITCM</w:t>
            </w:r>
          </w:p>
        </w:tc>
        <w:tc>
          <w:tcPr>
            <w:tcW w:w="2497" w:type="dxa"/>
          </w:tcPr>
          <w:p>
            <w:pPr>
              <w:pStyle w:val="Compact"/>
              <w:jc w:val="left"/>
            </w:pPr>
            <w:r>
              <w:rPr>
                <w:sz w:val="18"/>
              </w:rPr>
              <w:t xml:space="preserve">Cinturón Macroeconomía</w:t>
            </w:r>
          </w:p>
        </w:tc>
      </w:tr>
    </w:tbl>
    <w:bookmarkStart w:id="95" w:name="identificación-7"/>
    <w:p>
      <w:pPr>
        <w:pStyle w:val="Heading2"/>
        <w:keepNext/>
        <w:spacing w:after="160"/>
      </w:pPr>
      <w:r>
        <w:t xml:space="preserve">Identificación</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1742"/>
        <w:gridCol w:w="2803"/>
        <w:gridCol w:w="1751"/>
        <w:gridCol w:w="2776"/>
      </w:tblGrid>
      <w:tr>
        <w:trPr>
          <w:cantSplit/>
        </w:trPr>
        <w:tc>
          <w:tcPr>
            <w:tcW w:w="1742" w:type="dxa"/>
          </w:tcPr>
          <w:p>
            <w:pPr>
              <w:pStyle w:val="Compact"/>
              <w:jc w:val="left"/>
            </w:pPr>
            <w:r>
              <w:rPr>
                <w:bCs/>
                <w:b/>
                <w:sz w:val="18"/>
              </w:rPr>
              <w:t xml:space="preserve">IDENTIFICADOR TÉCNICO</w:t>
            </w:r>
          </w:p>
        </w:tc>
        <w:tc>
          <w:tcPr>
            <w:tcW w:w="2803" w:type="dxa"/>
          </w:tcPr>
          <w:p>
            <w:pPr>
              <w:pStyle w:val="Compact"/>
              <w:jc w:val="left"/>
            </w:pPr>
            <w:r>
              <w:rPr>
                <w:sz w:val="18"/>
              </w:rPr>
              <w:t xml:space="preserve">recaudacion</w:t>
            </w:r>
          </w:p>
        </w:tc>
        <w:tc>
          <w:tcPr>
            <w:tcW w:w="1751" w:type="dxa"/>
          </w:tcPr>
          <w:p>
            <w:pPr>
              <w:pStyle w:val="Compact"/>
              <w:jc w:val="left"/>
            </w:pPr>
            <w:r>
              <w:rPr>
                <w:bCs/>
                <w:b/>
                <w:sz w:val="18"/>
              </w:rPr>
              <w:t xml:space="preserve">CINTURÓN</w:t>
            </w:r>
          </w:p>
        </w:tc>
        <w:tc>
          <w:tcPr>
            <w:tcW w:w="2776" w:type="dxa"/>
          </w:tcPr>
          <w:p>
            <w:pPr>
              <w:pStyle w:val="Compact"/>
              <w:jc w:val="left"/>
            </w:pPr>
            <w:r>
              <w:rPr>
                <w:sz w:val="18"/>
              </w:rPr>
              <w:t xml:space="preserve">Macroeconomía</w:t>
            </w:r>
          </w:p>
        </w:tc>
      </w:tr>
      <w:tr>
        <w:trPr>
          <w:cantSplit/>
        </w:trPr>
        <w:tc>
          <w:tcPr>
            <w:tcW w:w="1742" w:type="dxa"/>
          </w:tcPr>
          <w:p>
            <w:pPr>
              <w:pStyle w:val="Compact"/>
              <w:jc w:val="left"/>
            </w:pPr>
            <w:r>
              <w:rPr>
                <w:bCs/>
                <w:b/>
                <w:sz w:val="18"/>
              </w:rPr>
              <w:t xml:space="preserve">DIMENSIÓN EN EL ITCM</w:t>
            </w:r>
          </w:p>
        </w:tc>
        <w:tc>
          <w:tcPr>
            <w:tcW w:w="2803" w:type="dxa"/>
          </w:tcPr>
          <w:p>
            <w:pPr>
              <w:pStyle w:val="Compact"/>
              <w:jc w:val="left"/>
            </w:pPr>
            <w:r>
              <w:rPr>
                <w:sz w:val="18"/>
              </w:rPr>
              <w:t xml:space="preserve">Viabilidad fiscal-comercial</w:t>
            </w:r>
          </w:p>
        </w:tc>
        <w:tc>
          <w:tcPr>
            <w:tcW w:w="1751" w:type="dxa"/>
          </w:tcPr>
          <w:p>
            <w:pPr>
              <w:pStyle w:val="Compact"/>
              <w:jc w:val="left"/>
            </w:pPr>
            <w:r>
              <w:rPr>
                <w:bCs/>
                <w:b/>
                <w:sz w:val="18"/>
              </w:rPr>
              <w:t xml:space="preserve">UNIDAD DE MEDIDA</w:t>
            </w:r>
          </w:p>
        </w:tc>
        <w:tc>
          <w:tcPr>
            <w:tcW w:w="2776" w:type="dxa"/>
          </w:tcPr>
          <w:p>
            <w:pPr>
              <w:pStyle w:val="Compact"/>
              <w:jc w:val="left"/>
            </w:pPr>
            <w:r>
              <w:rPr>
                <w:sz w:val="18"/>
              </w:rPr>
              <w:t xml:space="preserve">índice (100 = 4T-2023)</w:t>
            </w:r>
          </w:p>
        </w:tc>
      </w:tr>
      <w:tr>
        <w:trPr>
          <w:cantSplit/>
        </w:trPr>
        <w:tc>
          <w:tcPr>
            <w:tcW w:w="1742" w:type="dxa"/>
          </w:tcPr>
          <w:p>
            <w:pPr>
              <w:pStyle w:val="Compact"/>
              <w:jc w:val="left"/>
            </w:pPr>
            <w:r>
              <w:rPr>
                <w:bCs/>
                <w:b/>
                <w:sz w:val="18"/>
              </w:rPr>
              <w:t xml:space="preserve">SERIE DISPONIBLE</w:t>
            </w:r>
          </w:p>
        </w:tc>
        <w:tc>
          <w:tcPr>
            <w:tcW w:w="2803" w:type="dxa"/>
          </w:tcPr>
          <w:p>
            <w:pPr>
              <w:pStyle w:val="Compact"/>
              <w:jc w:val="left"/>
            </w:pPr>
            <w:r>
              <w:rPr>
                <w:sz w:val="18"/>
              </w:rPr>
              <w:t xml:space="preserve">2022-01 → 2026-06 (54 puntos)</w:t>
            </w:r>
          </w:p>
        </w:tc>
        <w:tc>
          <w:tcPr>
            <w:tcW w:w="1751" w:type="dxa"/>
          </w:tcPr>
          <w:p>
            <w:pPr>
              <w:pStyle w:val="Compact"/>
              <w:jc w:val="left"/>
            </w:pPr>
            <w:r>
              <w:rPr>
                <w:bCs/>
                <w:b/>
                <w:sz w:val="18"/>
              </w:rPr>
              <w:t xml:space="preserve">REZAGO DE PUBLICACIÓN</w:t>
            </w:r>
          </w:p>
        </w:tc>
        <w:tc>
          <w:tcPr>
            <w:tcW w:w="2776" w:type="dxa"/>
          </w:tcPr>
          <w:p>
            <w:pPr>
              <w:pStyle w:val="Compact"/>
              <w:jc w:val="left"/>
            </w:pPr>
            <w:r>
              <w:rPr>
                <w:sz w:val="18"/>
              </w:rPr>
              <w:t xml:space="preserve">Las dos fuentes publican en los primeros días del mes siguiente, y el indicador espera el índice de precios que lleva las cifras a pesos constantes: el último punto es el del último mes con inflación publicada.</w:t>
            </w:r>
          </w:p>
        </w:tc>
      </w:tr>
      <w:tr>
        <w:trPr>
          <w:cantSplit/>
        </w:trPr>
        <w:tc>
          <w:tcPr>
            <w:tcW w:w="1742" w:type="dxa"/>
          </w:tcPr>
          <w:p>
            <w:pPr>
              <w:pStyle w:val="Compact"/>
              <w:jc w:val="left"/>
            </w:pPr>
            <w:r>
              <w:rPr>
                <w:bCs/>
                <w:b/>
                <w:sz w:val="18"/>
              </w:rPr>
              <w:t xml:space="preserve">PRODUCTOR DEL DATO</w:t>
            </w:r>
          </w:p>
        </w:tc>
        <w:tc>
          <w:tcPr>
            <w:tcW w:w="2803" w:type="dxa"/>
          </w:tcPr>
          <w:p>
            <w:pPr>
              <w:pStyle w:val="Compact"/>
              <w:jc w:val="left"/>
            </w:pPr>
            <w:r>
              <w:rPr>
                <w:sz w:val="18"/>
              </w:rPr>
              <w:t xml:space="preserve">Secretaría de Hacienda (dato primario de ARCA) y Comisión Arbitral del Convenio Multilateral; deflactor: INDEC</w:t>
            </w:r>
          </w:p>
        </w:tc>
        <w:tc>
          <w:tcPr>
            <w:tcW w:w="1751" w:type="dxa"/>
          </w:tcPr>
          <w:p>
            <w:pPr>
              <w:pStyle w:val="Compact"/>
              <w:jc w:val="left"/>
            </w:pPr>
            <w:r>
              <w:rPr>
                <w:bCs/>
                <w:b/>
                <w:sz w:val="18"/>
              </w:rPr>
              <w:t xml:space="preserve">OPERACIÓN ESTADÍSTICA</w:t>
            </w:r>
          </w:p>
        </w:tc>
        <w:tc>
          <w:tcPr>
            <w:tcW w:w="2776" w:type="dxa"/>
          </w:tcPr>
          <w:p>
            <w:pPr>
              <w:pStyle w:val="Compact"/>
              <w:jc w:val="left"/>
            </w:pPr>
            <w:r>
              <w:rPr>
                <w:sz w:val="18"/>
              </w:rPr>
              <w:t xml:space="preserve">Recaudación mensual de la Dirección General Impositiva (impuestos internos) más la de los sistemas de la Comisión Arbitral —Ingresos Brutos de los contribuyentes de Convenio Multilateral y sus regímenes de retención—, en pesos corrientes, llevadas a pesos constantes con el índice de precios</w:t>
            </w:r>
          </w:p>
        </w:tc>
      </w:tr>
      <w:tr>
        <w:trPr>
          <w:cantSplit/>
        </w:trPr>
        <w:tc>
          <w:tcPr>
            <w:tcW w:w="1742" w:type="dxa"/>
          </w:tcPr>
          <w:p>
            <w:pPr>
              <w:pStyle w:val="Compact"/>
              <w:jc w:val="left"/>
            </w:pPr>
            <w:r>
              <w:rPr>
                <w:bCs/>
                <w:b/>
                <w:sz w:val="18"/>
              </w:rPr>
              <w:t xml:space="preserve">MODO DE ACCESO</w:t>
            </w:r>
          </w:p>
        </w:tc>
        <w:tc>
          <w:tcPr>
            <w:tcW w:w="2803" w:type="dxa"/>
          </w:tcPr>
          <w:p>
            <w:pPr>
              <w:pStyle w:val="Compact"/>
              <w:jc w:val="left"/>
            </w:pPr>
            <w:r>
              <w:rPr>
                <w:sz w:val="18"/>
              </w:rPr>
              <w:t xml:space="preserve">Automático. La parte nacional sale de la interfaz pública de series de tiempo. La provincial se lee de la gacetilla mensual en PDF: los nombres de archivo no siguen un patrón fijo, así que se recorre el listado publicado en lugar de construir la dirección, y cada informe se procesa una sola vez y queda guardado.</w:t>
            </w:r>
          </w:p>
        </w:tc>
        <w:tc>
          <w:tcPr>
            <w:tcW w:w="1751" w:type="dxa"/>
          </w:tcPr>
          <w:p>
            <w:pPr>
              <w:pStyle w:val="Compact"/>
              <w:jc w:val="left"/>
            </w:pPr>
            <w:r>
              <w:rPr>
                <w:bCs/>
                <w:b/>
                <w:sz w:val="18"/>
              </w:rPr>
              <w:t xml:space="preserve">ÚLTIMA ACTUALIZACIÓN</w:t>
            </w:r>
          </w:p>
        </w:tc>
        <w:tc>
          <w:tcPr>
            <w:tcW w:w="2776" w:type="dxa"/>
          </w:tcPr>
          <w:p>
            <w:pPr>
              <w:pStyle w:val="Compact"/>
              <w:jc w:val="left"/>
            </w:pPr>
            <w:r>
              <w:rPr>
                <w:sz w:val="18"/>
              </w:rPr>
              <w:t xml:space="preserve">Dato a 2026-06 · informe generado el 2026-08-09</w:t>
            </w:r>
          </w:p>
        </w:tc>
      </w:tr>
    </w:tbl>
    <w:bookmarkEnd w:id="95"/>
    <w:bookmarkStart w:id="96" w:name="definición-qué-mide-y-por-qué-importa-7"/>
    <w:p>
      <w:pPr>
        <w:pStyle w:val="Heading2"/>
        <w:keepNext/>
      </w:pPr>
      <w:r>
        <w:t xml:space="preserve">Definición — qué mide y por qué importa</w:t>
      </w:r>
    </w:p>
    <w:p>
      <w:pPr>
        <w:pStyle w:val="FirstParagraph"/>
      </w:pPr>
      <w:r>
        <w:t xml:space="preserve">Cuánta economía formal hay para gravar, medida en pesos constantes y comparada contra el cuarto trimestre de 2023, que vale 100. Suma los impuestos internos de la Nación —IVA doméstico, Ganancias, créditos y débitos— y el Impuesto sobre los Ingresos Brutos de las empresas que operan en varias provincias, con sus regímenes de retención. Se corrige la estacionalidad del calendario tributario, que concentra la recaudación en mayo y junio.</w:t>
      </w:r>
    </w:p>
    <w:p>
      <w:pPr>
        <w:pStyle w:val="BodyText"/>
      </w:pPr>
      <w:r>
        <w:t xml:space="preserve">Mide el tamaño de la base imponible y el nivel de actividad, no la caja del Estado. Por eso excluye la aduana: cuando el Gobierno baja retenciones, la recaudación total cae porque así se decidió, y contar esa caída como deterioro sería puntuar como fracaso el cumplimiento de una promesa. Un nivel por debajo de 100 dice que hay menos economía formal para gravar que en la transición, con independencia de cómo venga la comparación contra el año anterior.</w:t>
      </w:r>
    </w:p>
    <w:p>
      <w:pPr>
        <w:pStyle w:val="BodyText"/>
      </w:pPr>
      <w:r>
        <w:rPr>
          <w:bCs/>
          <w:b/>
        </w:rPr>
        <w:t xml:space="preserve">Dimensión que integra — Viabilidad fiscal-comercial.</w:t>
      </w:r>
      <w:r>
        <w:t xml:space="preserve"> </w:t>
      </w:r>
      <w:r>
        <w:t xml:space="preserve">Si las cuentas cierran: la recaudación real (el sostén del ancla fiscal) y el saldo comercial (los dólares genuinos del intercambio).</w:t>
      </w:r>
    </w:p>
    <w:bookmarkEnd w:id="96"/>
    <w:bookmarkStart w:id="97" w:name="método-de-cómputo-7"/>
    <w:p>
      <w:pPr>
        <w:pStyle w:val="Heading2"/>
        <w:keepNext/>
      </w:pPr>
      <w:r>
        <w:t xml:space="preserve">Método de cómputo</w:t>
      </w:r>
    </w:p>
    <w:p>
      <w:pPr>
        <w:numPr>
          <w:ilvl w:val="0"/>
          <w:numId w:val="1034"/>
        </w:numPr>
        <w:pStyle w:val="Compact"/>
      </w:pPr>
      <w:r>
        <w:t xml:space="preserve">Se mide la recaudación de la Dirección General Impositiva —el IVA doméstico, Ganancias, créditos y débitos, internos— y no la total. Quedan afuera la recaudación aduanera y los aportes a la seguridad social. La apertura oficial es exacta: las tres partes suman el total.</w:t>
      </w:r>
    </w:p>
    <w:p>
      <w:pPr>
        <w:numPr>
          <w:ilvl w:val="0"/>
          <w:numId w:val="1034"/>
        </w:numPr>
        <w:pStyle w:val="Compact"/>
      </w:pPr>
      <w:r>
        <w:t xml:space="preserve">Se le suma, en nivel, la recaudación de los seis sistemas de la Comisión Arbitral. Sobre el total medido, la parte provincial aporta alrededor de un sexto.</w:t>
      </w:r>
    </w:p>
    <w:p>
      <w:pPr>
        <w:numPr>
          <w:ilvl w:val="0"/>
          <w:numId w:val="1034"/>
        </w:numPr>
        <w:pStyle w:val="Compact"/>
      </w:pPr>
      <w:r>
        <w:t xml:space="preserve">El resultado se lleva a pesos constantes con el índice de precios y se divide por el promedio del cuarto trimestre de 2023, que vale 100: la lectura es cuánta base imponible real queda respecto del punto de partida.</w:t>
      </w:r>
    </w:p>
    <w:p>
      <w:pPr>
        <w:numPr>
          <w:ilvl w:val="0"/>
          <w:numId w:val="1034"/>
        </w:numPr>
        <w:pStyle w:val="Compact"/>
      </w:pPr>
      <w:r>
        <w:t xml:space="preserve">Se corrige la estacionalidad, que es grande: sin corregir, la diferencia entre el mes calendario más alto y el más bajo llega a treinta puntos del índice. El factor de cada mes es el cociente entre ese mes y la tendencia de doce meses centrada, promediado por mes calendario y normalizado para no alterar el nivel. Mayo y junio concentran recaudación —vencimientos y aguinaldo— y marzo es el piso. Corregida, la estacionalidad remanente baja a tres puntos.</w:t>
      </w:r>
    </w:p>
    <w:p>
      <w:pPr>
        <w:numPr>
          <w:ilvl w:val="0"/>
          <w:numId w:val="1034"/>
        </w:numPr>
        <w:pStyle w:val="Compact"/>
      </w:pPr>
      <w:r>
        <w:t xml:space="preserve">La parte provincial de 2022 no se publica como informe mensual y se reconstruye desde la variación interanual que informa cada gacetilla de 2023. La reconstrucción se controla contra el acumulado anual, deducido por separado: los dos caminos coinciden salvo redondeo.</w:t>
      </w:r>
    </w:p>
    <w:bookmarkEnd w:id="97"/>
    <w:bookmarkStart w:id="98" w:name="X580c6ce917b2a709ea8e3c85d9f137a942d26a4"/>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spacing w:after="160"/>
      </w:pPr>
      <w:r>
        <w:rPr>
          <w:bCs/>
          <w:b/>
        </w:rPr>
        <w:t xml:space="preserve">Valores que definen cada color</w:t>
      </w:r>
    </w:p>
    <w:tbl>
      <w:tblPr>
        <w:tblStyle w:val="Table"/>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5037"/>
        <w:gridCol w:w="4035"/>
      </w:tblGrid>
      <w:tr>
        <w:trPr>
          <w:cantSplit/>
          <w:tblHeader/>
        </w:trPr>
        <w:tc>
          <w:tcPr>
            <w:tcW w:w="5037" w:type="dxa"/>
            <w:shd w:val="clear" w:color="auto" w:fill="1F3A34"/>
          </w:tcPr>
          <w:p>
            <w:pPr>
              <w:pStyle w:val="Compact"/>
              <w:jc w:val="left"/>
            </w:pPr>
            <w:r>
              <w:rPr>
                <w:b/>
                <w:sz w:val="18"/>
                <w:color w:val="FFFFFF"/>
              </w:rPr>
              <w:t xml:space="preserve">Rango (índice (100 = 4T-2023))</w:t>
            </w:r>
          </w:p>
        </w:tc>
        <w:tc>
          <w:tcPr>
            <w:tcW w:w="4035" w:type="dxa"/>
            <w:shd w:val="clear" w:color="auto" w:fill="1F3A34"/>
          </w:tcPr>
          <w:p>
            <w:pPr>
              <w:pStyle w:val="Compact"/>
              <w:jc w:val="left"/>
            </w:pPr>
            <w:r>
              <w:rPr>
                <w:b/>
                <w:sz w:val="18"/>
                <w:color w:val="FFFFFF"/>
              </w:rPr>
              <w:t xml:space="preserve">Color</w:t>
            </w:r>
          </w:p>
        </w:tc>
      </w:tr>
      <w:tr>
        <w:trPr>
          <w:cantSplit/>
        </w:trPr>
        <w:tc>
          <w:tcPr>
            <w:tcW w:w="5037" w:type="dxa"/>
          </w:tcPr>
          <w:p>
            <w:pPr>
              <w:pStyle w:val="Compact"/>
              <w:jc w:val="left"/>
            </w:pPr>
            <w:r>
              <w:rPr>
                <w:sz w:val="18"/>
              </w:rPr>
              <w:t xml:space="preserve">≥ 95</w:t>
            </w:r>
          </w:p>
        </w:tc>
        <w:tc>
          <w:tcPr>
            <w:tcW w:w="4035" w:type="dxa"/>
            <w:shd w:val="clear" w:color="auto" w:fill="DCFCE7"/>
          </w:tcPr>
          <w:p>
            <w:pPr>
              <w:pStyle w:val="Compact"/>
              <w:jc w:val="center"/>
            </w:pPr>
            <w:r>
              <w:rPr>
                <w:b/>
                <w:sz w:val="18"/>
                <w:color w:val="14532D"/>
              </w:rPr>
              <w:t xml:space="preserve">VERDE</w:t>
            </w:r>
          </w:p>
        </w:tc>
      </w:tr>
      <w:tr>
        <w:trPr>
          <w:cantSplit/>
        </w:trPr>
        <w:tc>
          <w:tcPr>
            <w:tcW w:w="5037" w:type="dxa"/>
            <w:shd w:val="clear" w:color="auto" w:fill="F6F8F7"/>
          </w:tcPr>
          <w:p>
            <w:pPr>
              <w:pStyle w:val="Compact"/>
              <w:jc w:val="left"/>
            </w:pPr>
            <w:r>
              <w:rPr>
                <w:sz w:val="18"/>
              </w:rPr>
              <w:t xml:space="preserve">87 – 95</w:t>
            </w:r>
          </w:p>
        </w:tc>
        <w:tc>
          <w:tcPr>
            <w:tcW w:w="4035" w:type="dxa"/>
            <w:shd w:val="clear" w:color="auto" w:fill="FEF3C7"/>
          </w:tcPr>
          <w:p>
            <w:pPr>
              <w:pStyle w:val="Compact"/>
              <w:jc w:val="center"/>
            </w:pPr>
            <w:r>
              <w:rPr>
                <w:b/>
                <w:sz w:val="18"/>
                <w:color w:val="713F12"/>
              </w:rPr>
              <w:t xml:space="preserve">AMARILLO</w:t>
            </w:r>
          </w:p>
        </w:tc>
      </w:tr>
      <w:tr>
        <w:trPr>
          <w:cantSplit/>
        </w:trPr>
        <w:tc>
          <w:tcPr>
            <w:tcW w:w="5037" w:type="dxa"/>
          </w:tcPr>
          <w:p>
            <w:pPr>
              <w:pStyle w:val="Compact"/>
              <w:jc w:val="left"/>
            </w:pPr>
            <w:r>
              <w:rPr>
                <w:sz w:val="18"/>
              </w:rPr>
              <w:t xml:space="preserve">82 – 87</w:t>
            </w:r>
          </w:p>
        </w:tc>
        <w:tc>
          <w:tcPr>
            <w:tcW w:w="4035" w:type="dxa"/>
            <w:shd w:val="clear" w:color="auto" w:fill="FFEDD5"/>
          </w:tcPr>
          <w:p>
            <w:pPr>
              <w:pStyle w:val="Compact"/>
              <w:jc w:val="center"/>
            </w:pPr>
            <w:r>
              <w:rPr>
                <w:b/>
                <w:sz w:val="18"/>
                <w:color w:val="7C2D12"/>
              </w:rPr>
              <w:t xml:space="preserve">NARANJA</w:t>
            </w:r>
          </w:p>
        </w:tc>
      </w:tr>
      <w:tr>
        <w:trPr>
          <w:cantSplit/>
        </w:trPr>
        <w:tc>
          <w:tcPr>
            <w:tcW w:w="5037" w:type="dxa"/>
            <w:shd w:val="clear" w:color="auto" w:fill="F6F8F7"/>
          </w:tcPr>
          <w:p>
            <w:pPr>
              <w:pStyle w:val="Compact"/>
              <w:jc w:val="left"/>
            </w:pPr>
            <w:r>
              <w:rPr>
                <w:sz w:val="18"/>
              </w:rPr>
              <w:t xml:space="preserve">≤ 82</w:t>
            </w:r>
          </w:p>
        </w:tc>
        <w:tc>
          <w:tcPr>
            <w:tcW w:w="4035" w:type="dxa"/>
            <w:shd w:val="clear" w:color="auto" w:fill="FEE2E2"/>
          </w:tcPr>
          <w:p>
            <w:pPr>
              <w:pStyle w:val="Compact"/>
              <w:jc w:val="center"/>
            </w:pPr>
            <w:r>
              <w:rPr>
                <w:b/>
                <w:sz w:val="18"/>
                <w:color w:val="7F1D1D"/>
              </w:rPr>
              <w:t xml:space="preserve">ROJO</w:t>
            </w:r>
          </w:p>
        </w:tc>
      </w:tr>
    </w:tbl>
    <w:bookmarkEnd w:id="98"/>
    <w:bookmarkStart w:id="99" w:name="datos-concretos-detrás-del-valor-7"/>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35"/>
        </w:numPr>
        <w:pStyle w:val="Compact"/>
      </w:pPr>
      <w:r>
        <w:t xml:space="preserve">La base imponible real está en 88,2 sobre una base de 100 en el cuarto trimestre de 2023, es decir 11,8% por debajo. Meses previos: 2026-03: 92,0 · 2026-04: 95,4 · 2026-05: 97,7. Los impuestos provinciales del Convenio Multilateral aportan 15,5% de la base medida.</w:t>
      </w:r>
    </w:p>
    <w:bookmarkEnd w:id="99"/>
    <w:bookmarkStart w:id="100" w:name="color-vigente-y-por-qué-7"/>
    <w:p>
      <w:pPr>
        <w:pStyle w:val="Heading2"/>
        <w:keepNext/>
      </w:pPr>
      <w:r>
        <w:t xml:space="preserve">Color vigente y por qué</w:t>
      </w:r>
    </w:p>
    <w:p>
      <w:pPr>
        <w:pStyle w:val="FirstParagraph"/>
      </w:pPr>
      <w:r>
        <w:t xml:space="preserve">Dato vigente: 88,2 índice (100 = 4T-2023) (2026-06).</w:t>
      </w:r>
    </w:p>
    <w:p>
      <w:pPr>
        <w:pStyle w:val="BodyText"/>
      </w:pPr>
      <w:r>
        <w:t xml:space="preserve">88,2 índice (100 = 4T-2023) cae en el tramo que corresponde a Amarillo, a 1,2 del corte más cercano.</w:t>
      </w:r>
    </w:p>
    <w:p>
      <w:pPr>
        <w:pStyle w:val="BodyText"/>
      </w:pPr>
      <w:r>
        <w:rPr>
          <w:bCs/>
          <w:b/>
        </w:rPr>
        <w:t xml:space="preserve">Color vigente: AMARILLO</w:t>
      </w:r>
    </w:p>
    <w:p>
      <w:pPr>
        <w:pStyle w:val="BodyText"/>
      </w:pPr>
      <w:r>
        <w:t xml:space="preserve">Ponderación vigente en el ITCM: 7,2 % efectivo. El color es una lectura adicional — no reemplaza ni cambia esta ponderación.</w:t>
      </w:r>
    </w:p>
    <w:bookmarkEnd w:id="100"/>
    <w:bookmarkStart w:id="101" w:name="transparencia-limitaciones-declaradas-7"/>
    <w:p>
      <w:pPr>
        <w:pStyle w:val="Heading2"/>
        <w:keepNext/>
      </w:pPr>
      <w:r>
        <w:t xml:space="preserve">Transparencia — limitaciones declaradas</w:t>
      </w:r>
    </w:p>
    <w:p>
      <w:pPr>
        <w:numPr>
          <w:ilvl w:val="0"/>
          <w:numId w:val="1036"/>
        </w:numPr>
        <w:pStyle w:val="Compact"/>
      </w:pPr>
      <w:r>
        <w:t xml:space="preserve">La parte provincial NO es la recaudación provincial total: son los Ingresos Brutos de los contribuyentes que operan en varias provincias, más los regímenes de retención y percepción. Cada provincia recauda además de sus contribuyentes puramente locales, y eso no pasa por este circuito. Es una porción grande y homogénea de la base imponible provincial, no su universo.</w:t>
      </w:r>
    </w:p>
    <w:p>
      <w:pPr>
        <w:numPr>
          <w:ilvl w:val="0"/>
          <w:numId w:val="1036"/>
        </w:numPr>
        <w:pStyle w:val="Compact"/>
      </w:pPr>
      <w:r>
        <w:t xml:space="preserve">Al medir el nivel mes a mes en lugar de la variación contra el año anterior, el indicador es más nervioso: un mes puede moverlo varios puntos. Es el precio de no diluir la señal en una ventana de doce meses, y se acepta a cambio de que un giro se vea cuando ocurre y no a lo largo del año siguiente.</w:t>
      </w:r>
    </w:p>
    <w:p>
      <w:pPr>
        <w:numPr>
          <w:ilvl w:val="0"/>
          <w:numId w:val="1036"/>
        </w:numPr>
        <w:pStyle w:val="Compact"/>
      </w:pPr>
      <w:r>
        <w:t xml:space="preserve">Los factores que corrigen la estacionalidad se estiman con la propia serie, que todavía tiene tres o cuatro observaciones por mes calendario. Al acumularse meses los factores se recalculan, de modo que los puntos ya publicados pueden moverse algo.</w:t>
      </w:r>
    </w:p>
    <w:p>
      <w:pPr>
        <w:numPr>
          <w:ilvl w:val="0"/>
          <w:numId w:val="1036"/>
        </w:numPr>
        <w:pStyle w:val="Compact"/>
      </w:pPr>
      <w:r>
        <w:t xml:space="preserve">Mide INGRESOS, no resultado fiscal: ni siquiera midiendo sólo los impuestos internos la recaudación dice por sí sola si las cuentas del Estado cierran. Por eso la dimensión incorporó el resultado primario, y este indicador se lee como lo que es: una señal de actividad y formalidad de la base imponible.</w:t>
      </w:r>
    </w:p>
    <w:p>
      <w:pPr>
        <w:numPr>
          <w:ilvl w:val="0"/>
          <w:numId w:val="1036"/>
        </w:numPr>
        <w:pStyle w:val="Compact"/>
      </w:pPr>
      <w:r>
        <w:t xml:space="preserve">Excluir la aduana resuelve el caso más grande de política tributaria contaminando la lectura, pero no todos: la propia DGI contiene impuestos cuyas alícuotas y mínimos cambiaron en el período, y las provincias también movieron alícuotas de Ingresos Brutos. El indicador no es neutral respecto de las decisiones de gobierno; una medición a legislación constante exigiría modelar cada cambio impositivo y no es reproducible de forma automática.</w:t>
      </w:r>
    </w:p>
    <w:p>
      <w:pPr>
        <w:numPr>
          <w:ilvl w:val="0"/>
          <w:numId w:val="1036"/>
        </w:numPr>
        <w:pStyle w:val="Compact"/>
      </w:pPr>
      <w:r>
        <w:t xml:space="preserve">Los aportes a la seguridad social también son base imponible doméstica y quedan afuera. Siguen su propia dinámica —cayeron en términos reales desde fines de 2025— y mezclarlos habría sumado el mercado laboral a un indicador que quiere medir actividad y formalidad.</w:t>
      </w:r>
    </w:p>
    <w:p>
      <w:pPr>
        <w:numPr>
          <w:ilvl w:val="0"/>
          <w:numId w:val="1036"/>
        </w:numPr>
        <w:pStyle w:val="Compact"/>
      </w:pPr>
      <w:r>
        <w:t xml:space="preserve">Deflactor único (índice de precios nacional), sin deflactor específico de la base imponible ni deflactores provinciales.</w:t>
      </w:r>
    </w:p>
    <w:p>
      <w:pPr>
        <w:numPr>
          <w:ilvl w:val="0"/>
          <w:numId w:val="1036"/>
        </w:numPr>
        <w:pStyle w:val="Compact"/>
      </w:pPr>
      <w:r>
        <w:t xml:space="preserve">Las bandas se fijaron sobre una grilla conceptual —pasos de diez puntos de la base imponible real de la transición— y no sobre la distribución observada. La serie disponible recorre de 88 a 115, así que la banda más baja describe una situación posible y no una observada.</w:t>
      </w:r>
    </w:p>
    <w:bookmarkEnd w:id="101"/>
    <w:bookmarkStart w:id="102" w:name="X5157a7f3dd1b7c5618784c262e1db635d54cbee"/>
    <w:p>
      <w:pPr>
        <w:pStyle w:val="Heading2"/>
        <w:keepNext/>
      </w:pPr>
      <w:r>
        <w:t xml:space="preserve">Si falta el dato / Política de revisiones</w:t>
      </w:r>
    </w:p>
    <w:p>
      <w:pPr>
        <w:numPr>
          <w:ilvl w:val="0"/>
          <w:numId w:val="1037"/>
        </w:numPr>
      </w:pPr>
      <w:r>
        <w:rPr>
          <w:bCs/>
          <w:b/>
        </w:rPr>
        <w:t xml:space="preserve">Si falta el dato:</w:t>
      </w:r>
      <w:r>
        <w:t xml:space="preserve"> </w:t>
      </w:r>
      <w:r>
        <w:t xml:space="preserve">Si falta la gacetilla provincial de un mes, ese mes no entra y el indicador mantiene el último punto disponible, señalado como desactualizado. Sin ventana suficiente para corregir estacionalidad, el indicador no publica y el saldo comercial junto con el resultado primario explican la dimensión.</w:t>
      </w:r>
    </w:p>
    <w:p>
      <w:pPr>
        <w:numPr>
          <w:ilvl w:val="0"/>
          <w:numId w:val="1037"/>
        </w:numPr>
      </w:pPr>
      <w:r>
        <w:rPr>
          <w:bCs/>
          <w:b/>
        </w:rPr>
        <w:t xml:space="preserve">Política de revisiones:</w:t>
      </w:r>
      <w:r>
        <w:t xml:space="preserve"> </w:t>
      </w:r>
      <w:r>
        <w:t xml:space="preserve">La recaudación publicada por las dos fuentes no se revisa hacia atrás, pero este indicador sí puede moverse en puntos ya publicados, porque los factores estacionales se recalculan al acumular meses. La reconstrucción de la parte provincial de 2022 está controlada contra el acumulado anual deducido por separado.</w:t>
      </w:r>
    </w:p>
    <w:bookmarkEnd w:id="102"/>
    <w:bookmarkStart w:id="103" w:name="X132198e4afb37dac2ae05929110b05dce5f3da0"/>
    <w:p>
      <w:pPr>
        <w:pStyle w:val="Heading2"/>
        <w:keepNext/>
      </w:pPr>
      <w:r>
        <w:t xml:space="preserve">Historial — cambios metodológicos documentados</w:t>
      </w:r>
    </w:p>
    <w:p>
      <w:pPr>
        <w:pStyle w:val="FirstParagraph"/>
      </w:pPr>
      <w:r>
        <w:rPr>
          <w:bCs/>
          <w:b/>
        </w:rPr>
        <w:t xml:space="preserve">2026-06</w:t>
      </w:r>
      <w:r>
        <w:t xml:space="preserve"> </w:t>
      </w:r>
      <w:r>
        <w:t xml:space="preserve">— En el índice desde la paramétrica original, entonces como variación mensual nominal.</w:t>
      </w:r>
    </w:p>
    <w:p>
      <w:pPr>
        <w:pStyle w:val="BodyText"/>
      </w:pPr>
      <w:r>
        <w:rPr>
          <w:bCs/>
          <w:b/>
        </w:rPr>
        <w:t xml:space="preserve">2026-06-26</w:t>
      </w:r>
      <w:r>
        <w:t xml:space="preserve"> </w:t>
      </w:r>
      <w:r>
        <w:t xml:space="preserve">— Pasa a variación interanual real deflactada por IPC: la variación nominal confundía inflación con recaudación.</w:t>
      </w:r>
    </w:p>
    <w:p>
      <w:pPr>
        <w:pStyle w:val="BodyText"/>
      </w:pPr>
      <w:r>
        <w:rPr>
          <w:bCs/>
          <w:b/>
        </w:rPr>
        <w:t xml:space="preserve">2026-07-03</w:t>
      </w:r>
      <w:r>
        <w:t xml:space="preserve"> </w:t>
      </w:r>
      <w:r>
        <w:t xml:space="preserve">— Puntaje interpolado entre anclas.</w:t>
      </w:r>
    </w:p>
    <w:p>
      <w:pPr>
        <w:pStyle w:val="BodyText"/>
      </w:pPr>
      <w:r>
        <w:rPr>
          <w:bCs/>
          <w:b/>
        </w:rPr>
        <w:t xml:space="preserve">2026-07-04</w:t>
      </w:r>
      <w:r>
        <w:t xml:space="preserve"> </w:t>
      </w:r>
      <w:r>
        <w:t xml:space="preserve">— Pasa a promedio móvil de tres meses sobre meses con IPC cerrado; el mes fresco queda como provisorio sin puntuar.</w:t>
      </w:r>
    </w:p>
    <w:p>
      <w:pPr>
        <w:pStyle w:val="BodyText"/>
      </w:pPr>
      <w:r>
        <w:rPr>
          <w:bCs/>
          <w:b/>
        </w:rPr>
        <w:t xml:space="preserve">2026-07-18</w:t>
      </w:r>
      <w:r>
        <w:t xml:space="preserve"> </w:t>
      </w:r>
      <w:r>
        <w:t xml:space="preserve">— Baja del 60% al 30% de la dimensión y se reinterpreta como indicador de actividad y formalidad de la base imponible: la viabilidad fiscal pasa a medirse con el resultado primario, que entra como componente principal.</w:t>
      </w:r>
    </w:p>
    <w:p>
      <w:pPr>
        <w:pStyle w:val="BodyText"/>
      </w:pPr>
      <w:r>
        <w:rPr>
          <w:bCs/>
          <w:b/>
        </w:rPr>
        <w:t xml:space="preserve">2026-07-25</w:t>
      </w:r>
      <w:r>
        <w:t xml:space="preserve"> </w:t>
      </w:r>
      <w:r>
        <w:t xml:space="preserve">— Pasa a medir la recaudación de impuestos internos en lugar de la total, a pedido del editor. Con el total, el indicador venía castigando el recorte de retenciones: durante 2026 la recaudación aduanera cayó entre quince y treinta y siete por ciento real mientras la base imponible doméstica se mantenía estable, de modo que el índice leía como deterioro económico lo que era una decisión de política tributaria. Las bandas no se tocaron: la unidad sigue siendo la variación real y el cero sigue siendo el punto de referencia.</w:t>
      </w:r>
    </w:p>
    <w:p>
      <w:pPr>
        <w:pStyle w:val="BodyText"/>
      </w:pPr>
      <w:r>
        <w:rPr>
          <w:bCs/>
          <w:b/>
        </w:rPr>
        <w:t xml:space="preserve">2026-07-29</w:t>
      </w:r>
      <w:r>
        <w:t xml:space="preserve"> </w:t>
      </w:r>
      <w:r>
        <w:t xml:space="preserve">— Suma los impuestos provinciales del Convenio Multilateral y cambia de métrica: deja la variación contra el mismo mes del año anterior y pasa al nivel de base imponible real desestacionalizada, con el cuarto trimestre de 2023 igual a 100. El motivo es que el dato es mensual y la variación interanual desperdiciaba esa resolución arrastrando la base de hace un año: en junio de 2026 informaba una mejora de tres por ciento contra un 2025 deprimido, mientras el nivel real estaba casi doce por ciento por debajo del punto de partida. Las dos lecturas eran ciertas y la del nivel es la que corresponde a un índice de tensión. La parte provincial agrega información propia y no repite a la nacional: las dos series se mueven en direcciones distintas en dieciocho de veintiocho meses, y eso se verifica también en el sistema de liquidación central, el más estable, de modo que no es un efecto de sistemas que se van incorporando. Las bandas se rehicieron porque no eran traducibles: estaban ancladas al cero de una variación y el punto con significado de un nivel es el 100.</w:t>
      </w:r>
    </w:p>
    <w:p>
      <w:r>
        <w:br w:type="page"/>
      </w:r>
    </w:p>
    <w:p>
      <w:pPr>
        <w:pStyle w:val="BodyText"/>
      </w:pPr>
      <w:r>
        <w:rPr>
          <w:bCs/>
          <w:b/>
        </w:rPr>
        <w:t xml:space="preserve">CIGOB · INFORME DE COYUNTURA</w:t>
      </w:r>
    </w:p>
    <w:p>
      <w:pPr>
        <w:pStyle w:val="BodyText"/>
      </w:pPr>
      <w:r>
        <w:rPr>
          <w:iCs/>
          <w:i/>
        </w:rPr>
        <w:t xml:space="preserve">Ficha metodológica · Cinturón Macroeconomía · Capa de semáforo (4 colores)</w:t>
      </w:r>
    </w:p>
    <w:bookmarkEnd w:id="103"/>
    <w:bookmarkEnd w:id="104"/>
    <w:bookmarkStart w:id="114" w:name="tipo-de-cambio-real-tcrm"/>
    <w:p>
      <w:pPr>
        <w:pStyle w:val="Heading1"/>
        <w:keepNext/>
      </w:pPr>
      <w:r>
        <w:t xml:space="preserve">Tipo de cambio real (TCRM)</w:t>
      </w:r>
    </w:p>
    <w:p>
      <w:pPr>
        <w:pStyle w:val="FirstParagraph"/>
        <w:spacing w:after="160"/>
      </w:pPr>
      <w:r>
        <w:t xml:space="preserve">Si el peso está caro o barato frente a los socios comerciales, en términos reales (competitividad cambiaria). Mide la dimensión de competitividad externa del índice.</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3259"/>
        <w:gridCol w:w="1382"/>
        <w:gridCol w:w="2053"/>
        <w:gridCol w:w="2378"/>
      </w:tblGrid>
      <w:tr>
        <w:trPr>
          <w:cantSplit/>
        </w:trPr>
        <w:tc>
          <w:tcPr>
            <w:tcW w:w="3259" w:type="dxa"/>
          </w:tcPr>
          <w:p>
            <w:pPr>
              <w:pStyle w:val="Compact"/>
              <w:jc w:val="left"/>
            </w:pPr>
            <w:r>
              <w:rPr>
                <w:bCs/>
                <w:b/>
                <w:sz w:val="18"/>
              </w:rPr>
              <w:t xml:space="preserve">Hoy: 85,82 Índice (base dic-2015=100)</w:t>
            </w:r>
            <w:r>
              <w:rPr>
                <w:sz w:val="18"/>
              </w:rPr>
              <w:t xml:space="preserve"> </w:t>
            </w:r>
            <w:r>
              <w:rPr>
                <w:sz w:val="18"/>
              </w:rPr>
              <w:t xml:space="preserve">(2026-07)</w:t>
            </w:r>
          </w:p>
        </w:tc>
        <w:tc>
          <w:tcPr>
            <w:tcW w:w="1382" w:type="dxa"/>
            <w:shd w:val="clear" w:color="auto" w:fill="FEF3C7"/>
          </w:tcPr>
          <w:p>
            <w:pPr>
              <w:pStyle w:val="Compact"/>
              <w:jc w:val="center"/>
            </w:pPr>
            <w:r>
              <w:rPr>
                <w:bCs/>
                <w:b/>
                <w:sz w:val="18"/>
                <w:color w:val="713F12"/>
              </w:rPr>
              <w:t xml:space="preserve">AMARILLO</w:t>
            </w:r>
          </w:p>
        </w:tc>
        <w:tc>
          <w:tcPr>
            <w:tcW w:w="2053" w:type="dxa"/>
          </w:tcPr>
          <w:p>
            <w:pPr>
              <w:pStyle w:val="Compact"/>
              <w:jc w:val="left"/>
            </w:pPr>
            <w:r>
              <w:rPr>
                <w:sz w:val="18"/>
              </w:rPr>
              <w:t xml:space="preserve">Peso efectivo 11 % del ITCM</w:t>
            </w:r>
          </w:p>
        </w:tc>
        <w:tc>
          <w:tcPr>
            <w:tcW w:w="2378" w:type="dxa"/>
          </w:tcPr>
          <w:p>
            <w:pPr>
              <w:pStyle w:val="Compact"/>
              <w:jc w:val="left"/>
            </w:pPr>
            <w:r>
              <w:rPr>
                <w:sz w:val="18"/>
              </w:rPr>
              <w:t xml:space="preserve">Cinturón Macroeconomía</w:t>
            </w:r>
          </w:p>
        </w:tc>
      </w:tr>
    </w:tbl>
    <w:bookmarkStart w:id="105" w:name="identificación-8"/>
    <w:p>
      <w:pPr>
        <w:pStyle w:val="Heading2"/>
        <w:keepNext/>
        <w:spacing w:after="160"/>
      </w:pPr>
      <w:r>
        <w:t xml:space="preserve">Identificación</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1897"/>
        <w:gridCol w:w="2460"/>
        <w:gridCol w:w="1915"/>
        <w:gridCol w:w="2800"/>
      </w:tblGrid>
      <w:tr>
        <w:trPr>
          <w:cantSplit/>
        </w:trPr>
        <w:tc>
          <w:tcPr>
            <w:tcW w:w="1897" w:type="dxa"/>
          </w:tcPr>
          <w:p>
            <w:pPr>
              <w:pStyle w:val="Compact"/>
              <w:jc w:val="left"/>
            </w:pPr>
            <w:r>
              <w:rPr>
                <w:bCs/>
                <w:b/>
                <w:sz w:val="18"/>
              </w:rPr>
              <w:t xml:space="preserve">IDENTIFICADOR TÉCNICO</w:t>
            </w:r>
          </w:p>
        </w:tc>
        <w:tc>
          <w:tcPr>
            <w:tcW w:w="2460" w:type="dxa"/>
          </w:tcPr>
          <w:p>
            <w:pPr>
              <w:pStyle w:val="Compact"/>
              <w:jc w:val="left"/>
            </w:pPr>
            <w:r>
              <w:rPr>
                <w:sz w:val="18"/>
              </w:rPr>
              <w:t xml:space="preserve">tcrm</w:t>
            </w:r>
          </w:p>
        </w:tc>
        <w:tc>
          <w:tcPr>
            <w:tcW w:w="1915" w:type="dxa"/>
          </w:tcPr>
          <w:p>
            <w:pPr>
              <w:pStyle w:val="Compact"/>
              <w:jc w:val="left"/>
            </w:pPr>
            <w:r>
              <w:rPr>
                <w:bCs/>
                <w:b/>
                <w:sz w:val="18"/>
              </w:rPr>
              <w:t xml:space="preserve">CINTURÓN</w:t>
            </w:r>
          </w:p>
        </w:tc>
        <w:tc>
          <w:tcPr>
            <w:tcW w:w="2800" w:type="dxa"/>
          </w:tcPr>
          <w:p>
            <w:pPr>
              <w:pStyle w:val="Compact"/>
              <w:jc w:val="left"/>
            </w:pPr>
            <w:r>
              <w:rPr>
                <w:sz w:val="18"/>
              </w:rPr>
              <w:t xml:space="preserve">Macroeconomía</w:t>
            </w:r>
          </w:p>
        </w:tc>
      </w:tr>
      <w:tr>
        <w:trPr>
          <w:cantSplit/>
        </w:trPr>
        <w:tc>
          <w:tcPr>
            <w:tcW w:w="1897" w:type="dxa"/>
          </w:tcPr>
          <w:p>
            <w:pPr>
              <w:pStyle w:val="Compact"/>
              <w:jc w:val="left"/>
            </w:pPr>
            <w:r>
              <w:rPr>
                <w:bCs/>
                <w:b/>
                <w:sz w:val="18"/>
              </w:rPr>
              <w:t xml:space="preserve">DIMENSIÓN EN EL ITCM</w:t>
            </w:r>
          </w:p>
        </w:tc>
        <w:tc>
          <w:tcPr>
            <w:tcW w:w="2460" w:type="dxa"/>
          </w:tcPr>
          <w:p>
            <w:pPr>
              <w:pStyle w:val="Compact"/>
              <w:jc w:val="left"/>
            </w:pPr>
            <w:r>
              <w:rPr>
                <w:sz w:val="18"/>
              </w:rPr>
              <w:t xml:space="preserve">Competitividad externa</w:t>
            </w:r>
          </w:p>
        </w:tc>
        <w:tc>
          <w:tcPr>
            <w:tcW w:w="1915" w:type="dxa"/>
          </w:tcPr>
          <w:p>
            <w:pPr>
              <w:pStyle w:val="Compact"/>
              <w:jc w:val="left"/>
            </w:pPr>
            <w:r>
              <w:rPr>
                <w:bCs/>
                <w:b/>
                <w:sz w:val="18"/>
              </w:rPr>
              <w:t xml:space="preserve">UNIDAD DE MEDIDA</w:t>
            </w:r>
          </w:p>
        </w:tc>
        <w:tc>
          <w:tcPr>
            <w:tcW w:w="2800" w:type="dxa"/>
          </w:tcPr>
          <w:p>
            <w:pPr>
              <w:pStyle w:val="Compact"/>
              <w:jc w:val="left"/>
            </w:pPr>
            <w:r>
              <w:rPr>
                <w:sz w:val="18"/>
              </w:rPr>
              <w:t xml:space="preserve">Índice (base dic-2015=100)</w:t>
            </w:r>
          </w:p>
        </w:tc>
      </w:tr>
      <w:tr>
        <w:trPr>
          <w:cantSplit/>
        </w:trPr>
        <w:tc>
          <w:tcPr>
            <w:tcW w:w="1897" w:type="dxa"/>
          </w:tcPr>
          <w:p>
            <w:pPr>
              <w:pStyle w:val="Compact"/>
              <w:jc w:val="left"/>
            </w:pPr>
            <w:r>
              <w:rPr>
                <w:bCs/>
                <w:b/>
                <w:sz w:val="18"/>
              </w:rPr>
              <w:t xml:space="preserve">SERIE DISPONIBLE</w:t>
            </w:r>
          </w:p>
        </w:tc>
        <w:tc>
          <w:tcPr>
            <w:tcW w:w="2460" w:type="dxa"/>
          </w:tcPr>
          <w:p>
            <w:pPr>
              <w:pStyle w:val="Compact"/>
              <w:jc w:val="left"/>
            </w:pPr>
            <w:r>
              <w:rPr>
                <w:sz w:val="18"/>
              </w:rPr>
              <w:t xml:space="preserve">2023-11 → 2026-07 (33 puntos)</w:t>
            </w:r>
          </w:p>
        </w:tc>
        <w:tc>
          <w:tcPr>
            <w:tcW w:w="1915" w:type="dxa"/>
          </w:tcPr>
          <w:p>
            <w:pPr>
              <w:pStyle w:val="Compact"/>
              <w:jc w:val="left"/>
            </w:pPr>
            <w:r>
              <w:rPr>
                <w:bCs/>
                <w:b/>
                <w:sz w:val="18"/>
              </w:rPr>
              <w:t xml:space="preserve">REZAGO DE PUBLICACIÓN</w:t>
            </w:r>
          </w:p>
        </w:tc>
        <w:tc>
          <w:tcPr>
            <w:tcW w:w="2800" w:type="dxa"/>
          </w:tcPr>
          <w:p>
            <w:pPr>
              <w:pStyle w:val="Compact"/>
              <w:jc w:val="left"/>
            </w:pPr>
            <w:r>
              <w:rPr>
                <w:sz w:val="18"/>
              </w:rPr>
              <w:t xml:space="preserve">La planilla oficial se actualiza a diario; el promedio mensual del mes cerrado está disponible en los primeros días del mes siguiente.</w:t>
            </w:r>
          </w:p>
        </w:tc>
      </w:tr>
      <w:tr>
        <w:trPr>
          <w:cantSplit/>
        </w:trPr>
        <w:tc>
          <w:tcPr>
            <w:tcW w:w="1897" w:type="dxa"/>
          </w:tcPr>
          <w:p>
            <w:pPr>
              <w:pStyle w:val="Compact"/>
              <w:jc w:val="left"/>
            </w:pPr>
            <w:r>
              <w:rPr>
                <w:bCs/>
                <w:b/>
                <w:sz w:val="18"/>
              </w:rPr>
              <w:t xml:space="preserve">PRODUCTOR DEL DATO</w:t>
            </w:r>
          </w:p>
        </w:tc>
        <w:tc>
          <w:tcPr>
            <w:tcW w:w="2460" w:type="dxa"/>
          </w:tcPr>
          <w:p>
            <w:pPr>
              <w:pStyle w:val="Compact"/>
              <w:jc w:val="left"/>
            </w:pPr>
            <w:r>
              <w:rPr>
                <w:sz w:val="18"/>
              </w:rPr>
              <w:t xml:space="preserve">BCRA</w:t>
            </w:r>
          </w:p>
        </w:tc>
        <w:tc>
          <w:tcPr>
            <w:tcW w:w="1915" w:type="dxa"/>
          </w:tcPr>
          <w:p>
            <w:pPr>
              <w:pStyle w:val="Compact"/>
              <w:jc w:val="left"/>
            </w:pPr>
            <w:r>
              <w:rPr>
                <w:bCs/>
                <w:b/>
                <w:sz w:val="18"/>
              </w:rPr>
              <w:t xml:space="preserve">OPERACIÓN ESTADÍSTICA</w:t>
            </w:r>
          </w:p>
        </w:tc>
        <w:tc>
          <w:tcPr>
            <w:tcW w:w="2800" w:type="dxa"/>
          </w:tcPr>
          <w:p>
            <w:pPr>
              <w:pStyle w:val="Compact"/>
              <w:jc w:val="left"/>
            </w:pPr>
            <w:r>
              <w:rPr>
                <w:sz w:val="18"/>
              </w:rPr>
              <w:t xml:space="preserve">ITCRM — Índice de Tipo de Cambio Real Multilateral (base 17-dic-2015 = 100), promedios mensuales</w:t>
            </w:r>
          </w:p>
        </w:tc>
      </w:tr>
      <w:tr>
        <w:trPr>
          <w:cantSplit/>
        </w:trPr>
        <w:tc>
          <w:tcPr>
            <w:tcW w:w="1897" w:type="dxa"/>
          </w:tcPr>
          <w:p>
            <w:pPr>
              <w:pStyle w:val="Compact"/>
              <w:jc w:val="left"/>
            </w:pPr>
            <w:r>
              <w:rPr>
                <w:bCs/>
                <w:b/>
                <w:sz w:val="18"/>
              </w:rPr>
              <w:t xml:space="preserve">MODO DE ACCESO</w:t>
            </w:r>
          </w:p>
        </w:tc>
        <w:tc>
          <w:tcPr>
            <w:tcW w:w="2460" w:type="dxa"/>
          </w:tcPr>
          <w:p>
            <w:pPr>
              <w:pStyle w:val="Compact"/>
              <w:jc w:val="left"/>
            </w:pPr>
            <w:r>
              <w:rPr>
                <w:sz w:val="18"/>
              </w:rPr>
              <w:t xml:space="preserve">Automático: descarga y lectura de la planilla oficial; una sola descarga por actualización sirve al índice y a los bilaterales de contexto.</w:t>
            </w:r>
          </w:p>
        </w:tc>
        <w:tc>
          <w:tcPr>
            <w:tcW w:w="1915" w:type="dxa"/>
          </w:tcPr>
          <w:p>
            <w:pPr>
              <w:pStyle w:val="Compact"/>
              <w:jc w:val="left"/>
            </w:pPr>
            <w:r>
              <w:rPr>
                <w:bCs/>
                <w:b/>
                <w:sz w:val="18"/>
              </w:rPr>
              <w:t xml:space="preserve">ÚLTIMA ACTUALIZACIÓN</w:t>
            </w:r>
          </w:p>
        </w:tc>
        <w:tc>
          <w:tcPr>
            <w:tcW w:w="2800" w:type="dxa"/>
          </w:tcPr>
          <w:p>
            <w:pPr>
              <w:pStyle w:val="Compact"/>
              <w:jc w:val="left"/>
            </w:pPr>
            <w:r>
              <w:rPr>
                <w:sz w:val="18"/>
              </w:rPr>
              <w:t xml:space="preserve">Dato a 2026-07 · informe generado el 2026-08-09</w:t>
            </w:r>
          </w:p>
        </w:tc>
      </w:tr>
    </w:tbl>
    <w:bookmarkEnd w:id="105"/>
    <w:bookmarkStart w:id="106" w:name="definición-qué-mide-y-por-qué-importa-8"/>
    <w:p>
      <w:pPr>
        <w:pStyle w:val="Heading2"/>
        <w:keepNext/>
      </w:pPr>
      <w:r>
        <w:t xml:space="preserve">Definición — qué mide y por qué importa</w:t>
      </w:r>
    </w:p>
    <w:p>
      <w:pPr>
        <w:pStyle w:val="FirstParagraph"/>
      </w:pPr>
      <w:r>
        <w:t xml:space="preserve">Si el peso está caro o barato frente a los socios comerciales, en términos reales (competitividad cambiaria). Mide la dimensión de competitividad externa del índice.</w:t>
      </w:r>
    </w:p>
    <w:p>
      <w:pPr>
        <w:pStyle w:val="BodyText"/>
      </w:pPr>
      <w:r>
        <w:t xml:space="preserve">Una apreciación real (peso caro) frena exportaciones y la acumulación de reservas, y suele anticipar presión cambiaria: cuanto más apreciado, más tensión. Un peso más competitivo afloja esa restricción.</w:t>
      </w:r>
    </w:p>
    <w:p>
      <w:pPr>
        <w:pStyle w:val="BodyText"/>
      </w:pPr>
      <w:r>
        <w:rPr>
          <w:bCs/>
          <w:b/>
        </w:rPr>
        <w:t xml:space="preserve">Dimensión que integra — Competitividad externa.</w:t>
      </w:r>
      <w:r>
        <w:t xml:space="preserve"> </w:t>
      </w:r>
      <w:r>
        <w:t xml:space="preserve">Si el tipo de cambio real alcanza para competir: el ITCRM oficial del BCRA contra su propia historia.</w:t>
      </w:r>
    </w:p>
    <w:bookmarkEnd w:id="106"/>
    <w:bookmarkStart w:id="107" w:name="método-de-cómputo-8"/>
    <w:p>
      <w:pPr>
        <w:pStyle w:val="Heading2"/>
        <w:keepNext/>
      </w:pPr>
      <w:r>
        <w:t xml:space="preserve">Método de cómputo</w:t>
      </w:r>
    </w:p>
    <w:p>
      <w:pPr>
        <w:numPr>
          <w:ilvl w:val="0"/>
          <w:numId w:val="1038"/>
        </w:numPr>
        <w:pStyle w:val="Compact"/>
      </w:pPr>
      <w:r>
        <w:t xml:space="preserve">Ninguna sobre el valor: se publica el promedio mensual oficial tal cual.</w:t>
      </w:r>
    </w:p>
    <w:p>
      <w:pPr>
        <w:numPr>
          <w:ilvl w:val="0"/>
          <w:numId w:val="1038"/>
        </w:numPr>
        <w:pStyle w:val="Compact"/>
      </w:pPr>
      <w:r>
        <w:t xml:space="preserve">La lectura del puntaje es invertida: un índice más bajo (peso más caro en términos reales) significa menos competitividad y más tensión.</w:t>
      </w:r>
    </w:p>
    <w:bookmarkEnd w:id="107"/>
    <w:bookmarkStart w:id="108" w:name="X87b3987c06539a9299ed64e1a1888a4d5564dfd"/>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spacing w:after="160"/>
      </w:pPr>
      <w:r>
        <w:rPr>
          <w:bCs/>
          <w:b/>
        </w:rPr>
        <w:t xml:space="preserve">Valores que definen cada color</w:t>
      </w:r>
    </w:p>
    <w:tbl>
      <w:tblPr>
        <w:tblStyle w:val="Table"/>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5324"/>
        <w:gridCol w:w="3748"/>
      </w:tblGrid>
      <w:tr>
        <w:trPr>
          <w:cantSplit/>
          <w:tblHeader/>
        </w:trPr>
        <w:tc>
          <w:tcPr>
            <w:tcW w:w="5324" w:type="dxa"/>
            <w:shd w:val="clear" w:color="auto" w:fill="1F3A34"/>
          </w:tcPr>
          <w:p>
            <w:pPr>
              <w:pStyle w:val="Compact"/>
              <w:jc w:val="left"/>
            </w:pPr>
            <w:r>
              <w:rPr>
                <w:b/>
                <w:sz w:val="18"/>
                <w:color w:val="FFFFFF"/>
              </w:rPr>
              <w:t xml:space="preserve">Rango (Índice (base dic-2015=100))</w:t>
            </w:r>
          </w:p>
        </w:tc>
        <w:tc>
          <w:tcPr>
            <w:tcW w:w="3748" w:type="dxa"/>
            <w:shd w:val="clear" w:color="auto" w:fill="1F3A34"/>
          </w:tcPr>
          <w:p>
            <w:pPr>
              <w:pStyle w:val="Compact"/>
              <w:jc w:val="left"/>
            </w:pPr>
            <w:r>
              <w:rPr>
                <w:b/>
                <w:sz w:val="18"/>
                <w:color w:val="FFFFFF"/>
              </w:rPr>
              <w:t xml:space="preserve">Color</w:t>
            </w:r>
          </w:p>
        </w:tc>
      </w:tr>
      <w:tr>
        <w:trPr>
          <w:cantSplit/>
        </w:trPr>
        <w:tc>
          <w:tcPr>
            <w:tcW w:w="5324" w:type="dxa"/>
          </w:tcPr>
          <w:p>
            <w:pPr>
              <w:pStyle w:val="Compact"/>
              <w:jc w:val="left"/>
            </w:pPr>
            <w:r>
              <w:rPr>
                <w:sz w:val="18"/>
              </w:rPr>
              <w:t xml:space="preserve">≥ 90</w:t>
            </w:r>
          </w:p>
        </w:tc>
        <w:tc>
          <w:tcPr>
            <w:tcW w:w="3748" w:type="dxa"/>
            <w:shd w:val="clear" w:color="auto" w:fill="DCFCE7"/>
          </w:tcPr>
          <w:p>
            <w:pPr>
              <w:pStyle w:val="Compact"/>
              <w:jc w:val="center"/>
            </w:pPr>
            <w:r>
              <w:rPr>
                <w:b/>
                <w:sz w:val="18"/>
                <w:color w:val="14532D"/>
              </w:rPr>
              <w:t xml:space="preserve">VERDE</w:t>
            </w:r>
          </w:p>
        </w:tc>
      </w:tr>
      <w:tr>
        <w:trPr>
          <w:cantSplit/>
        </w:trPr>
        <w:tc>
          <w:tcPr>
            <w:tcW w:w="5324" w:type="dxa"/>
            <w:shd w:val="clear" w:color="auto" w:fill="F6F8F7"/>
          </w:tcPr>
          <w:p>
            <w:pPr>
              <w:pStyle w:val="Compact"/>
              <w:jc w:val="left"/>
            </w:pPr>
            <w:r>
              <w:rPr>
                <w:sz w:val="18"/>
              </w:rPr>
              <w:t xml:space="preserve">82 – 90</w:t>
            </w:r>
          </w:p>
        </w:tc>
        <w:tc>
          <w:tcPr>
            <w:tcW w:w="3748" w:type="dxa"/>
            <w:shd w:val="clear" w:color="auto" w:fill="FEF3C7"/>
          </w:tcPr>
          <w:p>
            <w:pPr>
              <w:pStyle w:val="Compact"/>
              <w:jc w:val="center"/>
            </w:pPr>
            <w:r>
              <w:rPr>
                <w:b/>
                <w:sz w:val="18"/>
                <w:color w:val="713F12"/>
              </w:rPr>
              <w:t xml:space="preserve">AMARILLO</w:t>
            </w:r>
          </w:p>
        </w:tc>
      </w:tr>
      <w:tr>
        <w:trPr>
          <w:cantSplit/>
        </w:trPr>
        <w:tc>
          <w:tcPr>
            <w:tcW w:w="5324" w:type="dxa"/>
          </w:tcPr>
          <w:p>
            <w:pPr>
              <w:pStyle w:val="Compact"/>
              <w:jc w:val="left"/>
            </w:pPr>
            <w:r>
              <w:rPr>
                <w:sz w:val="18"/>
              </w:rPr>
              <w:t xml:space="preserve">77 – 82</w:t>
            </w:r>
          </w:p>
        </w:tc>
        <w:tc>
          <w:tcPr>
            <w:tcW w:w="3748" w:type="dxa"/>
            <w:shd w:val="clear" w:color="auto" w:fill="FFEDD5"/>
          </w:tcPr>
          <w:p>
            <w:pPr>
              <w:pStyle w:val="Compact"/>
              <w:jc w:val="center"/>
            </w:pPr>
            <w:r>
              <w:rPr>
                <w:b/>
                <w:sz w:val="18"/>
                <w:color w:val="7C2D12"/>
              </w:rPr>
              <w:t xml:space="preserve">NARANJA</w:t>
            </w:r>
          </w:p>
        </w:tc>
      </w:tr>
      <w:tr>
        <w:trPr>
          <w:cantSplit/>
        </w:trPr>
        <w:tc>
          <w:tcPr>
            <w:tcW w:w="5324" w:type="dxa"/>
            <w:shd w:val="clear" w:color="auto" w:fill="F6F8F7"/>
          </w:tcPr>
          <w:p>
            <w:pPr>
              <w:pStyle w:val="Compact"/>
              <w:jc w:val="left"/>
            </w:pPr>
            <w:r>
              <w:rPr>
                <w:sz w:val="18"/>
              </w:rPr>
              <w:t xml:space="preserve">≤ 77</w:t>
            </w:r>
          </w:p>
        </w:tc>
        <w:tc>
          <w:tcPr>
            <w:tcW w:w="3748" w:type="dxa"/>
            <w:shd w:val="clear" w:color="auto" w:fill="FEE2E2"/>
          </w:tcPr>
          <w:p>
            <w:pPr>
              <w:pStyle w:val="Compact"/>
              <w:jc w:val="center"/>
            </w:pPr>
            <w:r>
              <w:rPr>
                <w:b/>
                <w:sz w:val="18"/>
                <w:color w:val="7F1D1D"/>
              </w:rPr>
              <w:t xml:space="preserve">ROJO</w:t>
            </w:r>
          </w:p>
        </w:tc>
      </w:tr>
    </w:tbl>
    <w:bookmarkEnd w:id="108"/>
    <w:bookmarkStart w:id="109" w:name="datos-concretos-detrás-del-valor-8"/>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39"/>
        </w:numPr>
        <w:pStyle w:val="Compact"/>
      </w:pPr>
      <w:r>
        <w:t xml:space="preserve">El informe publica el valor (85,82 Índice (base dic-2015=100)) pero no los números que lo componen: la fuente entrega la serie ya calculada. Para auditar el dato hay que ir a la operación estadística citada más arriba.</w:t>
      </w:r>
    </w:p>
    <w:bookmarkEnd w:id="109"/>
    <w:bookmarkStart w:id="110" w:name="color-vigente-y-por-qué-8"/>
    <w:p>
      <w:pPr>
        <w:pStyle w:val="Heading2"/>
        <w:keepNext/>
      </w:pPr>
      <w:r>
        <w:t xml:space="preserve">Color vigente y por qué</w:t>
      </w:r>
    </w:p>
    <w:p>
      <w:pPr>
        <w:pStyle w:val="FirstParagraph"/>
      </w:pPr>
      <w:r>
        <w:t xml:space="preserve">Dato vigente: 85,82 Índice (base dic-2015=100) (2026-07).</w:t>
      </w:r>
    </w:p>
    <w:p>
      <w:pPr>
        <w:pStyle w:val="BodyText"/>
      </w:pPr>
      <w:r>
        <w:t xml:space="preserve">85,82 Índice (base dic-2015=100) cae en el tramo que corresponde a Amarillo, a 3,82 del corte más cercano.</w:t>
      </w:r>
    </w:p>
    <w:p>
      <w:pPr>
        <w:pStyle w:val="BodyText"/>
      </w:pPr>
      <w:r>
        <w:rPr>
          <w:bCs/>
          <w:b/>
        </w:rPr>
        <w:t xml:space="preserve">Color vigente: AMARILLO</w:t>
      </w:r>
    </w:p>
    <w:p>
      <w:pPr>
        <w:pStyle w:val="BodyText"/>
      </w:pPr>
      <w:r>
        <w:t xml:space="preserve">Ponderación vigente en el ITCM: 11 % efectivo. El color es una lectura adicional — no reemplaza ni cambia esta ponderación.</w:t>
      </w:r>
    </w:p>
    <w:p>
      <w:pPr>
        <w:numPr>
          <w:ilvl w:val="0"/>
          <w:numId w:val="1040"/>
        </w:numPr>
        <w:pStyle w:val="Compact"/>
      </w:pPr>
      <w:r>
        <w:rPr>
          <w:bCs/>
          <w:b/>
        </w:rPr>
        <w:t xml:space="preserve">Participación en otros indicadores.</w:t>
      </w:r>
      <w:r>
        <w:t xml:space="preserve"> </w:t>
      </w:r>
      <w:r>
        <w:t xml:space="preserve">Los tipos de cambio bilaterales con Brasil y Estados Unidos, de la misma planilla, se publican como series de contexto en el gráfico del indicador.</w:t>
      </w:r>
    </w:p>
    <w:bookmarkEnd w:id="110"/>
    <w:bookmarkStart w:id="111" w:name="transparencia-limitaciones-declaradas-8"/>
    <w:p>
      <w:pPr>
        <w:pStyle w:val="Heading2"/>
        <w:keepNext/>
      </w:pPr>
      <w:r>
        <w:t xml:space="preserve">Transparencia — limitaciones declaradas</w:t>
      </w:r>
    </w:p>
    <w:p>
      <w:pPr>
        <w:numPr>
          <w:ilvl w:val="0"/>
          <w:numId w:val="1041"/>
        </w:numPr>
        <w:pStyle w:val="Compact"/>
      </w:pPr>
      <w:r>
        <w:t xml:space="preserve">Depende de una planilla con dirección y formato fijos: si el BCRA los cambia, el indicador cae a una serie alternativa discontinuada, marcada como desactualizada.</w:t>
      </w:r>
    </w:p>
    <w:p>
      <w:pPr>
        <w:numPr>
          <w:ilvl w:val="0"/>
          <w:numId w:val="1041"/>
        </w:numPr>
        <w:pStyle w:val="Compact"/>
      </w:pPr>
      <w:r>
        <w:t xml:space="preserve">Las bandas y el peso de la dimensión (11%) son operacionalización propia calibrada con la historia 1997-2026 — el documento institucional no los define.</w:t>
      </w:r>
    </w:p>
    <w:bookmarkEnd w:id="111"/>
    <w:bookmarkStart w:id="112" w:name="Xa8ce648c431bea43f551f3baf6efe2b68743848"/>
    <w:p>
      <w:pPr>
        <w:pStyle w:val="Heading2"/>
        <w:keepNext/>
      </w:pPr>
      <w:r>
        <w:t xml:space="preserve">Si falta el dato / Política de revisiones</w:t>
      </w:r>
    </w:p>
    <w:p>
      <w:pPr>
        <w:numPr>
          <w:ilvl w:val="0"/>
          <w:numId w:val="1042"/>
        </w:numPr>
      </w:pPr>
      <w:r>
        <w:rPr>
          <w:bCs/>
          <w:b/>
        </w:rPr>
        <w:t xml:space="preserve">Si falta el dato:</w:t>
      </w:r>
      <w:r>
        <w:t xml:space="preserve"> </w:t>
      </w:r>
      <w:r>
        <w:t xml:space="preserve">Con la planilla caída, cae a la serie histórica alternativa (discontinuada a fines de 2024, marcada desactualizada); agotado eso, se mantiene el último valor disponible y los pesos se renormalizan.</w:t>
      </w:r>
    </w:p>
    <w:p>
      <w:pPr>
        <w:numPr>
          <w:ilvl w:val="0"/>
          <w:numId w:val="1042"/>
        </w:numPr>
      </w:pPr>
      <w:r>
        <w:rPr>
          <w:bCs/>
          <w:b/>
        </w:rPr>
        <w:t xml:space="preserve">Política de revisiones:</w:t>
      </w:r>
      <w:r>
        <w:t xml:space="preserve"> </w:t>
      </w:r>
      <w:r>
        <w:t xml:space="preserve">El índice oficial no se revisa hacia atrás de forma habitual; la serie del informe se reconstruye completa de la planilla en cada actualización.</w:t>
      </w:r>
    </w:p>
    <w:bookmarkEnd w:id="112"/>
    <w:bookmarkStart w:id="113" w:name="X7377c6d2efe561e453f620dd5fcb89b652fe35d"/>
    <w:p>
      <w:pPr>
        <w:pStyle w:val="Heading2"/>
        <w:keepNext/>
      </w:pPr>
      <w:r>
        <w:t xml:space="preserve">Historial — cambios metodológicos documentados</w:t>
      </w:r>
    </w:p>
    <w:p>
      <w:pPr>
        <w:pStyle w:val="FirstParagraph"/>
      </w:pPr>
      <w:r>
        <w:rPr>
          <w:bCs/>
          <w:b/>
        </w:rPr>
        <w:t xml:space="preserve">2026-06-27</w:t>
      </w:r>
      <w:r>
        <w:t xml:space="preserve"> </w:t>
      </w:r>
      <w:r>
        <w:t xml:space="preserve">— La fuente pasa de la serie del INDEC (discontinuada en diciembre de 2024, con 18 meses de rezago acumulado) al ITCRM oficial del BCRA. Era un indicador de contexto.</w:t>
      </w:r>
    </w:p>
    <w:p>
      <w:pPr>
        <w:pStyle w:val="BodyText"/>
      </w:pPr>
      <w:r>
        <w:rPr>
          <w:bCs/>
          <w:b/>
        </w:rPr>
        <w:t xml:space="preserve">2026-06-28</w:t>
      </w:r>
      <w:r>
        <w:t xml:space="preserve"> </w:t>
      </w:r>
      <w:r>
        <w:t xml:space="preserve">— Deja de ser contexto y entra al índice como quinta dimensión (competitividad externa).</w:t>
      </w:r>
    </w:p>
    <w:p>
      <w:pPr>
        <w:pStyle w:val="BodyText"/>
      </w:pPr>
      <w:r>
        <w:rPr>
          <w:bCs/>
          <w:b/>
        </w:rPr>
        <w:t xml:space="preserve">2026-06-30</w:t>
      </w:r>
      <w:r>
        <w:t xml:space="preserve"> </w:t>
      </w:r>
      <w:r>
        <w:t xml:space="preserve">— Peso de la dimensión recortado de 12% a 11% al entrar la dimensión de inversión.</w:t>
      </w:r>
    </w:p>
    <w:p>
      <w:pPr>
        <w:pStyle w:val="BodyText"/>
      </w:pPr>
      <w:r>
        <w:rPr>
          <w:bCs/>
          <w:b/>
        </w:rPr>
        <w:t xml:space="preserve">2026-07-03</w:t>
      </w:r>
      <w:r>
        <w:t xml:space="preserve"> </w:t>
      </w:r>
      <w:r>
        <w:t xml:space="preserve">— Puntaje interpolado entre anclas.</w:t>
      </w:r>
    </w:p>
    <w:p>
      <w:r>
        <w:br w:type="page"/>
      </w:r>
    </w:p>
    <w:p>
      <w:pPr>
        <w:pStyle w:val="BodyText"/>
      </w:pPr>
      <w:r>
        <w:rPr>
          <w:bCs/>
          <w:b/>
        </w:rPr>
        <w:t xml:space="preserve">CIGOB · INFORME DE COYUNTURA</w:t>
      </w:r>
    </w:p>
    <w:p>
      <w:pPr>
        <w:pStyle w:val="BodyText"/>
      </w:pPr>
      <w:r>
        <w:rPr>
          <w:iCs/>
          <w:i/>
        </w:rPr>
        <w:t xml:space="preserve">Ficha metodológica · Cinturón Macroeconomía · Capa de semáforo (4 colores)</w:t>
      </w:r>
    </w:p>
    <w:bookmarkEnd w:id="113"/>
    <w:bookmarkEnd w:id="114"/>
    <w:bookmarkStart w:id="124" w:name="expectativas-inflación-rem-12m"/>
    <w:p>
      <w:pPr>
        <w:pStyle w:val="Heading1"/>
        <w:keepNext/>
      </w:pPr>
      <w:r>
        <w:t xml:space="preserve">Expectativas inflación (REM 12m)</w:t>
      </w:r>
    </w:p>
    <w:p>
      <w:pPr>
        <w:pStyle w:val="FirstParagraph"/>
        <w:spacing w:after="160"/>
      </w:pPr>
      <w:r>
        <w:t xml:space="preserve">La inflación que el mercado espera para los próximos 12 meses.</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2883"/>
        <w:gridCol w:w="1150"/>
        <w:gridCol w:w="2409"/>
        <w:gridCol w:w="2630"/>
      </w:tblGrid>
      <w:tr>
        <w:trPr>
          <w:cantSplit/>
        </w:trPr>
        <w:tc>
          <w:tcPr>
            <w:tcW w:w="2883" w:type="dxa"/>
          </w:tcPr>
          <w:p>
            <w:pPr>
              <w:pStyle w:val="Compact"/>
              <w:jc w:val="left"/>
            </w:pPr>
            <w:r>
              <w:rPr>
                <w:bCs/>
                <w:b/>
                <w:sz w:val="18"/>
              </w:rPr>
              <w:t xml:space="preserve">Hoy: 21,8 % anual esperado</w:t>
            </w:r>
            <w:r>
              <w:rPr>
                <w:sz w:val="18"/>
              </w:rPr>
              <w:t xml:space="preserve"> </w:t>
            </w:r>
            <w:r>
              <w:rPr>
                <w:sz w:val="18"/>
              </w:rPr>
              <w:t xml:space="preserve">(2026-07)</w:t>
            </w:r>
          </w:p>
        </w:tc>
        <w:tc>
          <w:tcPr>
            <w:tcW w:w="1150" w:type="dxa"/>
            <w:shd w:val="clear" w:color="auto" w:fill="DCFCE7"/>
          </w:tcPr>
          <w:p>
            <w:pPr>
              <w:pStyle w:val="Compact"/>
              <w:jc w:val="center"/>
            </w:pPr>
            <w:r>
              <w:rPr>
                <w:bCs/>
                <w:b/>
                <w:sz w:val="18"/>
                <w:color w:val="14532D"/>
              </w:rPr>
              <w:t xml:space="preserve">VERDE</w:t>
            </w:r>
          </w:p>
        </w:tc>
        <w:tc>
          <w:tcPr>
            <w:tcW w:w="2409" w:type="dxa"/>
          </w:tcPr>
          <w:p>
            <w:pPr>
              <w:pStyle w:val="Compact"/>
              <w:jc w:val="left"/>
            </w:pPr>
            <w:r>
              <w:rPr>
                <w:sz w:val="18"/>
              </w:rPr>
              <w:t xml:space="preserve">Peso efectivo 6,5 % del ITCM</w:t>
            </w:r>
          </w:p>
        </w:tc>
        <w:tc>
          <w:tcPr>
            <w:tcW w:w="2630" w:type="dxa"/>
          </w:tcPr>
          <w:p>
            <w:pPr>
              <w:pStyle w:val="Compact"/>
              <w:jc w:val="left"/>
            </w:pPr>
            <w:r>
              <w:rPr>
                <w:sz w:val="18"/>
              </w:rPr>
              <w:t xml:space="preserve">Cinturón Macroeconomía</w:t>
            </w:r>
          </w:p>
        </w:tc>
      </w:tr>
    </w:tbl>
    <w:bookmarkStart w:id="115" w:name="identificación-9"/>
    <w:p>
      <w:pPr>
        <w:pStyle w:val="Heading2"/>
        <w:keepNext/>
        <w:spacing w:after="160"/>
      </w:pPr>
      <w:r>
        <w:t xml:space="preserve">Identificación</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1828"/>
        <w:gridCol w:w="2914"/>
        <w:gridCol w:w="1842"/>
        <w:gridCol w:w="2488"/>
      </w:tblGrid>
      <w:tr>
        <w:trPr>
          <w:cantSplit/>
        </w:trPr>
        <w:tc>
          <w:tcPr>
            <w:tcW w:w="1828" w:type="dxa"/>
          </w:tcPr>
          <w:p>
            <w:pPr>
              <w:pStyle w:val="Compact"/>
              <w:jc w:val="left"/>
            </w:pPr>
            <w:r>
              <w:rPr>
                <w:bCs/>
                <w:b/>
                <w:sz w:val="18"/>
              </w:rPr>
              <w:t xml:space="preserve">IDENTIFICADOR TÉCNICO</w:t>
            </w:r>
          </w:p>
        </w:tc>
        <w:tc>
          <w:tcPr>
            <w:tcW w:w="2914" w:type="dxa"/>
          </w:tcPr>
          <w:p>
            <w:pPr>
              <w:pStyle w:val="Compact"/>
              <w:jc w:val="left"/>
            </w:pPr>
            <w:r>
              <w:rPr>
                <w:sz w:val="18"/>
              </w:rPr>
              <w:t xml:space="preserve">rem_ipc_12m</w:t>
            </w:r>
          </w:p>
        </w:tc>
        <w:tc>
          <w:tcPr>
            <w:tcW w:w="1842" w:type="dxa"/>
          </w:tcPr>
          <w:p>
            <w:pPr>
              <w:pStyle w:val="Compact"/>
              <w:jc w:val="left"/>
            </w:pPr>
            <w:r>
              <w:rPr>
                <w:bCs/>
                <w:b/>
                <w:sz w:val="18"/>
              </w:rPr>
              <w:t xml:space="preserve">CINTURÓN</w:t>
            </w:r>
          </w:p>
        </w:tc>
        <w:tc>
          <w:tcPr>
            <w:tcW w:w="2488" w:type="dxa"/>
          </w:tcPr>
          <w:p>
            <w:pPr>
              <w:pStyle w:val="Compact"/>
              <w:jc w:val="left"/>
            </w:pPr>
            <w:r>
              <w:rPr>
                <w:sz w:val="18"/>
              </w:rPr>
              <w:t xml:space="preserve">Macroeconomía</w:t>
            </w:r>
          </w:p>
        </w:tc>
      </w:tr>
      <w:tr>
        <w:trPr>
          <w:cantSplit/>
        </w:trPr>
        <w:tc>
          <w:tcPr>
            <w:tcW w:w="1828" w:type="dxa"/>
          </w:tcPr>
          <w:p>
            <w:pPr>
              <w:pStyle w:val="Compact"/>
              <w:jc w:val="left"/>
            </w:pPr>
            <w:r>
              <w:rPr>
                <w:bCs/>
                <w:b/>
                <w:sz w:val="18"/>
              </w:rPr>
              <w:t xml:space="preserve">DIMENSIÓN EN EL ITCM</w:t>
            </w:r>
          </w:p>
        </w:tc>
        <w:tc>
          <w:tcPr>
            <w:tcW w:w="2914" w:type="dxa"/>
          </w:tcPr>
          <w:p>
            <w:pPr>
              <w:pStyle w:val="Compact"/>
              <w:jc w:val="left"/>
            </w:pPr>
            <w:r>
              <w:rPr>
                <w:sz w:val="18"/>
              </w:rPr>
              <w:t xml:space="preserve">Estabilidad monetaria-inflacionaria</w:t>
            </w:r>
          </w:p>
        </w:tc>
        <w:tc>
          <w:tcPr>
            <w:tcW w:w="1842" w:type="dxa"/>
          </w:tcPr>
          <w:p>
            <w:pPr>
              <w:pStyle w:val="Compact"/>
              <w:jc w:val="left"/>
            </w:pPr>
            <w:r>
              <w:rPr>
                <w:bCs/>
                <w:b/>
                <w:sz w:val="18"/>
              </w:rPr>
              <w:t xml:space="preserve">UNIDAD DE MEDIDA</w:t>
            </w:r>
          </w:p>
        </w:tc>
        <w:tc>
          <w:tcPr>
            <w:tcW w:w="2488" w:type="dxa"/>
          </w:tcPr>
          <w:p>
            <w:pPr>
              <w:pStyle w:val="Compact"/>
              <w:jc w:val="left"/>
            </w:pPr>
            <w:r>
              <w:rPr>
                <w:sz w:val="18"/>
              </w:rPr>
              <w:t xml:space="preserve">% anual esperado</w:t>
            </w:r>
          </w:p>
        </w:tc>
      </w:tr>
      <w:tr>
        <w:trPr>
          <w:cantSplit/>
        </w:trPr>
        <w:tc>
          <w:tcPr>
            <w:tcW w:w="1828" w:type="dxa"/>
          </w:tcPr>
          <w:p>
            <w:pPr>
              <w:pStyle w:val="Compact"/>
              <w:jc w:val="left"/>
            </w:pPr>
            <w:r>
              <w:rPr>
                <w:bCs/>
                <w:b/>
                <w:sz w:val="18"/>
              </w:rPr>
              <w:t xml:space="preserve">SERIE DISPONIBLE</w:t>
            </w:r>
          </w:p>
        </w:tc>
        <w:tc>
          <w:tcPr>
            <w:tcW w:w="2914" w:type="dxa"/>
          </w:tcPr>
          <w:p>
            <w:pPr>
              <w:pStyle w:val="Compact"/>
              <w:jc w:val="left"/>
            </w:pPr>
            <w:r>
              <w:rPr>
                <w:sz w:val="18"/>
              </w:rPr>
              <w:t xml:space="preserve">2023-12 → 2026-07 (32 puntos)</w:t>
            </w:r>
          </w:p>
        </w:tc>
        <w:tc>
          <w:tcPr>
            <w:tcW w:w="1842" w:type="dxa"/>
          </w:tcPr>
          <w:p>
            <w:pPr>
              <w:pStyle w:val="Compact"/>
              <w:jc w:val="left"/>
            </w:pPr>
            <w:r>
              <w:rPr>
                <w:bCs/>
                <w:b/>
                <w:sz w:val="18"/>
              </w:rPr>
              <w:t xml:space="preserve">REZAGO DE PUBLICACIÓN</w:t>
            </w:r>
          </w:p>
        </w:tc>
        <w:tc>
          <w:tcPr>
            <w:tcW w:w="2488" w:type="dxa"/>
          </w:tcPr>
          <w:p>
            <w:pPr>
              <w:pStyle w:val="Compact"/>
              <w:jc w:val="left"/>
            </w:pPr>
            <w:r>
              <w:rPr>
                <w:sz w:val="18"/>
              </w:rPr>
              <w:t xml:space="preserve">El BCRA releva el REM los últimos días de cada mes y publica los resultados en los primeros días hábiles del mes siguiente.</w:t>
            </w:r>
          </w:p>
        </w:tc>
      </w:tr>
      <w:tr>
        <w:trPr>
          <w:cantSplit/>
        </w:trPr>
        <w:tc>
          <w:tcPr>
            <w:tcW w:w="1828" w:type="dxa"/>
          </w:tcPr>
          <w:p>
            <w:pPr>
              <w:pStyle w:val="Compact"/>
              <w:jc w:val="left"/>
            </w:pPr>
            <w:r>
              <w:rPr>
                <w:bCs/>
                <w:b/>
                <w:sz w:val="18"/>
              </w:rPr>
              <w:t xml:space="preserve">PRODUCTOR DEL DATO</w:t>
            </w:r>
          </w:p>
        </w:tc>
        <w:tc>
          <w:tcPr>
            <w:tcW w:w="2914" w:type="dxa"/>
          </w:tcPr>
          <w:p>
            <w:pPr>
              <w:pStyle w:val="Compact"/>
              <w:jc w:val="left"/>
            </w:pPr>
            <w:r>
              <w:rPr>
                <w:sz w:val="18"/>
              </w:rPr>
              <w:t xml:space="preserve">BCRA</w:t>
            </w:r>
          </w:p>
        </w:tc>
        <w:tc>
          <w:tcPr>
            <w:tcW w:w="1842" w:type="dxa"/>
          </w:tcPr>
          <w:p>
            <w:pPr>
              <w:pStyle w:val="Compact"/>
              <w:jc w:val="left"/>
            </w:pPr>
            <w:r>
              <w:rPr>
                <w:bCs/>
                <w:b/>
                <w:sz w:val="18"/>
              </w:rPr>
              <w:t xml:space="preserve">OPERACIÓN ESTADÍSTICA</w:t>
            </w:r>
          </w:p>
        </w:tc>
        <w:tc>
          <w:tcPr>
            <w:tcW w:w="2488" w:type="dxa"/>
          </w:tcPr>
          <w:p>
            <w:pPr>
              <w:pStyle w:val="Compact"/>
              <w:jc w:val="left"/>
            </w:pPr>
            <w:r>
              <w:rPr>
                <w:sz w:val="18"/>
              </w:rPr>
              <w:t xml:space="preserve">REM — Relevamiento de Expectativas de Mercado: mediana de la inflación esperada para los próximos 12 meses</w:t>
            </w:r>
          </w:p>
        </w:tc>
      </w:tr>
      <w:tr>
        <w:trPr>
          <w:cantSplit/>
        </w:trPr>
        <w:tc>
          <w:tcPr>
            <w:tcW w:w="1828" w:type="dxa"/>
          </w:tcPr>
          <w:p>
            <w:pPr>
              <w:pStyle w:val="Compact"/>
              <w:jc w:val="left"/>
            </w:pPr>
            <w:r>
              <w:rPr>
                <w:bCs/>
                <w:b/>
                <w:sz w:val="18"/>
              </w:rPr>
              <w:t xml:space="preserve">MODO DE ACCESO</w:t>
            </w:r>
          </w:p>
        </w:tc>
        <w:tc>
          <w:tcPr>
            <w:tcW w:w="2914" w:type="dxa"/>
          </w:tcPr>
          <w:p>
            <w:pPr>
              <w:pStyle w:val="Compact"/>
              <w:jc w:val="left"/>
            </w:pPr>
            <w:r>
              <w:rPr>
                <w:sz w:val="18"/>
              </w:rPr>
              <w:t xml:space="preserve">Automático: API pública del BCRA.</w:t>
            </w:r>
          </w:p>
        </w:tc>
        <w:tc>
          <w:tcPr>
            <w:tcW w:w="1842" w:type="dxa"/>
          </w:tcPr>
          <w:p>
            <w:pPr>
              <w:pStyle w:val="Compact"/>
              <w:jc w:val="left"/>
            </w:pPr>
            <w:r>
              <w:rPr>
                <w:bCs/>
                <w:b/>
                <w:sz w:val="18"/>
              </w:rPr>
              <w:t xml:space="preserve">ÚLTIMA ACTUALIZACIÓN</w:t>
            </w:r>
          </w:p>
        </w:tc>
        <w:tc>
          <w:tcPr>
            <w:tcW w:w="2488" w:type="dxa"/>
          </w:tcPr>
          <w:p>
            <w:pPr>
              <w:pStyle w:val="Compact"/>
              <w:jc w:val="left"/>
            </w:pPr>
            <w:r>
              <w:rPr>
                <w:sz w:val="18"/>
              </w:rPr>
              <w:t xml:space="preserve">Dato a 2026-07 · informe generado el 2026-08-09</w:t>
            </w:r>
          </w:p>
        </w:tc>
      </w:tr>
    </w:tbl>
    <w:bookmarkEnd w:id="115"/>
    <w:bookmarkStart w:id="116" w:name="definición-qué-mide-y-por-qué-importa-9"/>
    <w:p>
      <w:pPr>
        <w:pStyle w:val="Heading2"/>
        <w:keepNext/>
      </w:pPr>
      <w:r>
        <w:t xml:space="preserve">Definición — qué mide y por qué importa</w:t>
      </w:r>
    </w:p>
    <w:p>
      <w:pPr>
        <w:pStyle w:val="FirstParagraph"/>
      </w:pPr>
      <w:r>
        <w:t xml:space="preserve">La inflación que el mercado espera para los próximos 12 meses.</w:t>
      </w:r>
    </w:p>
    <w:p>
      <w:pPr>
        <w:pStyle w:val="BodyText"/>
      </w:pPr>
      <w:r>
        <w:t xml:space="preserve">Captura la credibilidad del programa: si el mercado espera que la inflación siga bajando, el ancla de expectativas funciona; si la ve acelerarse, hay desconfianza.</w:t>
      </w:r>
    </w:p>
    <w:p>
      <w:pPr>
        <w:pStyle w:val="BodyText"/>
      </w:pPr>
      <w:r>
        <w:rPr>
          <w:bCs/>
          <w:b/>
        </w:rPr>
        <w:t xml:space="preserve">Dimensión que integra — Estabilidad monetaria-inflacionaria.</w:t>
      </w:r>
      <w:r>
        <w:t xml:space="preserve"> </w:t>
      </w:r>
      <w:r>
        <w:t xml:space="preserve">La estabilidad de la moneda desde cuatro señales complementarias: la inflación actual (IPC), la esperada por el mercado (REM), el desequilibrio entre oferta y demanda transaccional de pesos (IDM) y la presión por salir del peso, observada según el régimen cambiario vigente.</w:t>
      </w:r>
    </w:p>
    <w:bookmarkEnd w:id="116"/>
    <w:bookmarkStart w:id="117" w:name="método-de-cómputo-9"/>
    <w:p>
      <w:pPr>
        <w:pStyle w:val="Heading2"/>
        <w:keepNext/>
      </w:pPr>
      <w:r>
        <w:t xml:space="preserve">Método de cómputo</w:t>
      </w:r>
    </w:p>
    <w:p>
      <w:pPr>
        <w:numPr>
          <w:ilvl w:val="0"/>
          <w:numId w:val="1043"/>
        </w:numPr>
        <w:pStyle w:val="Compact"/>
      </w:pPr>
      <w:r>
        <w:t xml:space="preserve">El valor publicado en la card es el nivel anual esperado, tal cual lo releva el BCRA.</w:t>
      </w:r>
    </w:p>
    <w:p>
      <w:pPr>
        <w:numPr>
          <w:ilvl w:val="0"/>
          <w:numId w:val="1043"/>
        </w:numPr>
        <w:pStyle w:val="Compact"/>
      </w:pPr>
      <w:r>
        <w:t xml:space="preserve">Para puntuar se convierte a su equivalente mensual (raíz doceava) y se lee con la misma escala mensual que el IPC: expectativas y dato realizado quedan en la misma vara.</w:t>
      </w:r>
    </w:p>
    <w:bookmarkEnd w:id="117"/>
    <w:bookmarkStart w:id="118" w:name="X7cebc61645757546f8524c030baae18d065141e"/>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spacing w:after="160"/>
      </w:pPr>
      <w:r>
        <w:rPr>
          <w:bCs/>
          <w:b/>
        </w:rPr>
        <w:t xml:space="preserve">Valores que definen cada color</w:t>
      </w:r>
    </w:p>
    <w:tbl>
      <w:tblPr>
        <w:tblStyle w:val="Table"/>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5579"/>
        <w:gridCol w:w="3493"/>
      </w:tblGrid>
      <w:tr>
        <w:trPr>
          <w:cantSplit/>
          <w:tblHeader/>
        </w:trPr>
        <w:tc>
          <w:tcPr>
            <w:tcW w:w="5579" w:type="dxa"/>
            <w:shd w:val="clear" w:color="auto" w:fill="1F3A34"/>
          </w:tcPr>
          <w:p>
            <w:pPr>
              <w:pStyle w:val="Compact"/>
              <w:jc w:val="left"/>
            </w:pPr>
            <w:r>
              <w:rPr>
                <w:b/>
                <w:sz w:val="18"/>
                <w:color w:val="FFFFFF"/>
              </w:rPr>
              <w:t xml:space="preserve">Rango (% anual esperado)</w:t>
            </w:r>
          </w:p>
        </w:tc>
        <w:tc>
          <w:tcPr>
            <w:tcW w:w="3493" w:type="dxa"/>
            <w:shd w:val="clear" w:color="auto" w:fill="1F3A34"/>
          </w:tcPr>
          <w:p>
            <w:pPr>
              <w:pStyle w:val="Compact"/>
              <w:jc w:val="left"/>
            </w:pPr>
            <w:r>
              <w:rPr>
                <w:b/>
                <w:sz w:val="18"/>
                <w:color w:val="FFFFFF"/>
              </w:rPr>
              <w:t xml:space="preserve">Color</w:t>
            </w:r>
          </w:p>
        </w:tc>
      </w:tr>
      <w:tr>
        <w:trPr>
          <w:cantSplit/>
        </w:trPr>
        <w:tc>
          <w:tcPr>
            <w:tcW w:w="5579" w:type="dxa"/>
          </w:tcPr>
          <w:p>
            <w:pPr>
              <w:pStyle w:val="Compact"/>
              <w:jc w:val="left"/>
            </w:pPr>
            <w:r>
              <w:rPr>
                <w:sz w:val="18"/>
              </w:rPr>
              <w:t xml:space="preserve">≤ 39,29</w:t>
            </w:r>
          </w:p>
        </w:tc>
        <w:tc>
          <w:tcPr>
            <w:tcW w:w="3493" w:type="dxa"/>
            <w:shd w:val="clear" w:color="auto" w:fill="DCFCE7"/>
          </w:tcPr>
          <w:p>
            <w:pPr>
              <w:pStyle w:val="Compact"/>
              <w:jc w:val="center"/>
            </w:pPr>
            <w:r>
              <w:rPr>
                <w:b/>
                <w:sz w:val="18"/>
                <w:color w:val="14532D"/>
              </w:rPr>
              <w:t xml:space="preserve">VERDE</w:t>
            </w:r>
          </w:p>
        </w:tc>
      </w:tr>
      <w:tr>
        <w:trPr>
          <w:cantSplit/>
        </w:trPr>
        <w:tc>
          <w:tcPr>
            <w:tcW w:w="5579" w:type="dxa"/>
            <w:shd w:val="clear" w:color="auto" w:fill="F6F8F7"/>
          </w:tcPr>
          <w:p>
            <w:pPr>
              <w:pStyle w:val="Compact"/>
              <w:jc w:val="left"/>
            </w:pPr>
            <w:r>
              <w:rPr>
                <w:sz w:val="18"/>
              </w:rPr>
              <w:t xml:space="preserve">39,29 – 60,1</w:t>
            </w:r>
          </w:p>
        </w:tc>
        <w:tc>
          <w:tcPr>
            <w:tcW w:w="3493" w:type="dxa"/>
            <w:shd w:val="clear" w:color="auto" w:fill="FEF3C7"/>
          </w:tcPr>
          <w:p>
            <w:pPr>
              <w:pStyle w:val="Compact"/>
              <w:jc w:val="center"/>
            </w:pPr>
            <w:r>
              <w:rPr>
                <w:b/>
                <w:sz w:val="18"/>
                <w:color w:val="713F12"/>
              </w:rPr>
              <w:t xml:space="preserve">AMARILLO</w:t>
            </w:r>
          </w:p>
        </w:tc>
      </w:tr>
      <w:tr>
        <w:trPr>
          <w:cantSplit/>
        </w:trPr>
        <w:tc>
          <w:tcPr>
            <w:tcW w:w="5579" w:type="dxa"/>
          </w:tcPr>
          <w:p>
            <w:pPr>
              <w:pStyle w:val="Compact"/>
              <w:jc w:val="left"/>
            </w:pPr>
            <w:r>
              <w:rPr>
                <w:sz w:val="18"/>
              </w:rPr>
              <w:t xml:space="preserve">60,1 – 72,86</w:t>
            </w:r>
          </w:p>
        </w:tc>
        <w:tc>
          <w:tcPr>
            <w:tcW w:w="3493" w:type="dxa"/>
            <w:shd w:val="clear" w:color="auto" w:fill="FFEDD5"/>
          </w:tcPr>
          <w:p>
            <w:pPr>
              <w:pStyle w:val="Compact"/>
              <w:jc w:val="center"/>
            </w:pPr>
            <w:r>
              <w:rPr>
                <w:b/>
                <w:sz w:val="18"/>
                <w:color w:val="7C2D12"/>
              </w:rPr>
              <w:t xml:space="preserve">NARANJA</w:t>
            </w:r>
          </w:p>
        </w:tc>
      </w:tr>
      <w:tr>
        <w:trPr>
          <w:cantSplit/>
        </w:trPr>
        <w:tc>
          <w:tcPr>
            <w:tcW w:w="5579" w:type="dxa"/>
            <w:shd w:val="clear" w:color="auto" w:fill="F6F8F7"/>
          </w:tcPr>
          <w:p>
            <w:pPr>
              <w:pStyle w:val="Compact"/>
              <w:jc w:val="left"/>
            </w:pPr>
            <w:r>
              <w:rPr>
                <w:sz w:val="18"/>
              </w:rPr>
              <w:t xml:space="preserve">≥ 72,86</w:t>
            </w:r>
          </w:p>
        </w:tc>
        <w:tc>
          <w:tcPr>
            <w:tcW w:w="3493" w:type="dxa"/>
            <w:shd w:val="clear" w:color="auto" w:fill="FEE2E2"/>
          </w:tcPr>
          <w:p>
            <w:pPr>
              <w:pStyle w:val="Compact"/>
              <w:jc w:val="center"/>
            </w:pPr>
            <w:r>
              <w:rPr>
                <w:b/>
                <w:sz w:val="18"/>
                <w:color w:val="7F1D1D"/>
              </w:rPr>
              <w:t xml:space="preserve">ROJO</w:t>
            </w:r>
          </w:p>
        </w:tc>
      </w:tr>
    </w:tbl>
    <w:bookmarkEnd w:id="118"/>
    <w:bookmarkStart w:id="119" w:name="datos-concretos-detrás-del-valor-9"/>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44"/>
        </w:numPr>
        <w:pStyle w:val="Compact"/>
      </w:pPr>
      <w:r>
        <w:t xml:space="preserve">equiv. mensual 1,66% (raíz-12 del 21,8% anual)</w:t>
      </w:r>
    </w:p>
    <w:bookmarkEnd w:id="119"/>
    <w:bookmarkStart w:id="120" w:name="color-vigente-y-por-qué-9"/>
    <w:p>
      <w:pPr>
        <w:pStyle w:val="Heading2"/>
        <w:keepNext/>
      </w:pPr>
      <w:r>
        <w:t xml:space="preserve">Color vigente y por qué</w:t>
      </w:r>
    </w:p>
    <w:p>
      <w:pPr>
        <w:pStyle w:val="FirstParagraph"/>
      </w:pPr>
      <w:r>
        <w:t xml:space="preserve">Dato vigente: 21,8 % anual esperado (2026-07).</w:t>
      </w:r>
    </w:p>
    <w:p>
      <w:pPr>
        <w:pStyle w:val="BodyText"/>
      </w:pPr>
      <w:r>
        <w:t xml:space="preserve">21,8 % anual esperado cae en el tramo que corresponde a Verde, a 17,49 del corte más cercano.</w:t>
      </w:r>
    </w:p>
    <w:p>
      <w:pPr>
        <w:pStyle w:val="BodyText"/>
      </w:pPr>
      <w:r>
        <w:rPr>
          <w:bCs/>
          <w:b/>
        </w:rPr>
        <w:t xml:space="preserve">Color vigente: VERDE</w:t>
      </w:r>
    </w:p>
    <w:p>
      <w:pPr>
        <w:pStyle w:val="BodyText"/>
      </w:pPr>
      <w:r>
        <w:t xml:space="preserve">Ponderación vigente en el ITCM: 6,5 % efectivo. El color es una lectura adicional — no reemplaza ni cambia esta ponderación.</w:t>
      </w:r>
    </w:p>
    <w:bookmarkEnd w:id="120"/>
    <w:bookmarkStart w:id="121" w:name="transparencia-limitaciones-declaradas-9"/>
    <w:p>
      <w:pPr>
        <w:pStyle w:val="Heading2"/>
        <w:keepNext/>
      </w:pPr>
      <w:r>
        <w:t xml:space="preserve">Transparencia — limitaciones declaradas</w:t>
      </w:r>
    </w:p>
    <w:p>
      <w:pPr>
        <w:numPr>
          <w:ilvl w:val="0"/>
          <w:numId w:val="1045"/>
        </w:numPr>
        <w:pStyle w:val="Compact"/>
      </w:pPr>
      <w:r>
        <w:t xml:space="preserve">Es una expectativa (mediana de pronósticos de consultoras y bancos), no un dato realizado: mide credibilidad, no inflación.</w:t>
      </w:r>
    </w:p>
    <w:p>
      <w:pPr>
        <w:numPr>
          <w:ilvl w:val="0"/>
          <w:numId w:val="1045"/>
        </w:numPr>
        <w:pStyle w:val="Compact"/>
      </w:pPr>
      <w:r>
        <w:t xml:space="preserve">La conversión a equivalente mensual supone un ritmo constante a lo largo del año esperado.</w:t>
      </w:r>
    </w:p>
    <w:p>
      <w:pPr>
        <w:numPr>
          <w:ilvl w:val="0"/>
          <w:numId w:val="1045"/>
        </w:numPr>
        <w:pStyle w:val="Compact"/>
      </w:pPr>
      <w:r>
        <w:t xml:space="preserve">La escala vigente es una decisión propia: las bandas absolutas del documento original quedaron miscalibradas para un régimen de desinflación y se reemplazaron, con el cambio documentado.</w:t>
      </w:r>
    </w:p>
    <w:bookmarkEnd w:id="121"/>
    <w:bookmarkStart w:id="122" w:name="X0ca14a0d10aa77334bfd7717b8d9d79e39debb4"/>
    <w:p>
      <w:pPr>
        <w:pStyle w:val="Heading2"/>
        <w:keepNext/>
      </w:pPr>
      <w:r>
        <w:t xml:space="preserve">Si falta el dato / Política de revisiones</w:t>
      </w:r>
    </w:p>
    <w:p>
      <w:pPr>
        <w:numPr>
          <w:ilvl w:val="0"/>
          <w:numId w:val="1046"/>
        </w:numPr>
      </w:pPr>
      <w:r>
        <w:rPr>
          <w:bCs/>
          <w:b/>
        </w:rPr>
        <w:t xml:space="preserve">Si falta el dato:</w:t>
      </w:r>
      <w:r>
        <w:t xml:space="preserve"> </w:t>
      </w:r>
      <w:r>
        <w:t xml:space="preserve">Si el dato falta, se mantiene el último valor disponible, señalado como desactualizado; sin dato, el IPC, el IDM y la presión de dolarización renormalizan dentro de la dimensión de estabilidad monetaria.</w:t>
      </w:r>
    </w:p>
    <w:p>
      <w:pPr>
        <w:numPr>
          <w:ilvl w:val="0"/>
          <w:numId w:val="1046"/>
        </w:numPr>
      </w:pPr>
      <w:r>
        <w:rPr>
          <w:bCs/>
          <w:b/>
        </w:rPr>
        <w:t xml:space="preserve">Política de revisiones:</w:t>
      </w:r>
      <w:r>
        <w:t xml:space="preserve"> </w:t>
      </w:r>
      <w:r>
        <w:t xml:space="preserve">El REM publicado no se revisa: cada mes es un relevamiento nuevo.</w:t>
      </w:r>
    </w:p>
    <w:bookmarkEnd w:id="122"/>
    <w:bookmarkStart w:id="123" w:name="Xc4c5e47252ec9282a3f09a2ac20eb324c30e392"/>
    <w:p>
      <w:pPr>
        <w:pStyle w:val="Heading2"/>
        <w:keepNext/>
      </w:pPr>
      <w:r>
        <w:t xml:space="preserve">Historial — cambios metodológicos documentados</w:t>
      </w:r>
    </w:p>
    <w:p>
      <w:pPr>
        <w:pStyle w:val="FirstParagraph"/>
      </w:pPr>
      <w:r>
        <w:rPr>
          <w:bCs/>
          <w:b/>
        </w:rPr>
        <w:t xml:space="preserve">2026-06</w:t>
      </w:r>
      <w:r>
        <w:t xml:space="preserve"> </w:t>
      </w:r>
      <w:r>
        <w:t xml:space="preserve">— En el índice desde la paramétrica original, con bandas absolutas sobre el nivel anual.</w:t>
      </w:r>
    </w:p>
    <w:p>
      <w:pPr>
        <w:pStyle w:val="BodyText"/>
      </w:pPr>
      <w:r>
        <w:rPr>
          <w:bCs/>
          <w:b/>
        </w:rPr>
        <w:t xml:space="preserve">2026-06-26</w:t>
      </w:r>
      <w:r>
        <w:t xml:space="preserve"> </w:t>
      </w:r>
      <w:r>
        <w:t xml:space="preserve">— Pasa a puntuarse por el equivalente mensual con las bandas del IPC, tras descartarse una versión intermedia por brecha contra el ritmo corriente.</w:t>
      </w:r>
    </w:p>
    <w:p>
      <w:pPr>
        <w:pStyle w:val="BodyText"/>
      </w:pPr>
      <w:r>
        <w:rPr>
          <w:bCs/>
          <w:b/>
        </w:rPr>
        <w:t xml:space="preserve">2026-06-28</w:t>
      </w:r>
      <w:r>
        <w:t xml:space="preserve"> </w:t>
      </w:r>
      <w:r>
        <w:t xml:space="preserve">— Su peso interno baja de 50% a 30% de la dimensión al entrar el IDM.</w:t>
      </w:r>
    </w:p>
    <w:p>
      <w:pPr>
        <w:pStyle w:val="BodyText"/>
      </w:pPr>
      <w:r>
        <w:rPr>
          <w:bCs/>
          <w:b/>
        </w:rPr>
        <w:t xml:space="preserve">2026-07-03</w:t>
      </w:r>
      <w:r>
        <w:t xml:space="preserve"> </w:t>
      </w:r>
      <w:r>
        <w:t xml:space="preserve">— Puntaje interpolado entre anclas.</w:t>
      </w:r>
    </w:p>
    <w:p>
      <w:pPr>
        <w:pStyle w:val="BodyText"/>
      </w:pPr>
      <w:r>
        <w:rPr>
          <w:bCs/>
          <w:b/>
        </w:rPr>
        <w:t xml:space="preserve">2026-07-13</w:t>
      </w:r>
      <w:r>
        <w:t xml:space="preserve"> </w:t>
      </w:r>
      <w:r>
        <w:t xml:space="preserve">— Su peso interno pasa de 30% a 25% al incorporarse una cuarta señal de estabilidad monetaria, hoy medida por la presión de dolarización de carteras.</w:t>
      </w:r>
    </w:p>
    <w:p>
      <w:r>
        <w:br w:type="page"/>
      </w:r>
    </w:p>
    <w:p>
      <w:pPr>
        <w:pStyle w:val="BodyText"/>
      </w:pPr>
      <w:r>
        <w:rPr>
          <w:bCs/>
          <w:b/>
        </w:rPr>
        <w:t xml:space="preserve">CIGOB · INFORME DE COYUNTURA</w:t>
      </w:r>
    </w:p>
    <w:p>
      <w:pPr>
        <w:pStyle w:val="BodyText"/>
      </w:pPr>
      <w:r>
        <w:rPr>
          <w:iCs/>
          <w:i/>
        </w:rPr>
        <w:t xml:space="preserve">Ficha metodológica · Cinturón Macroeconomía · Capa de semáforo (4 colores)</w:t>
      </w:r>
    </w:p>
    <w:bookmarkEnd w:id="123"/>
    <w:bookmarkEnd w:id="124"/>
    <w:bookmarkStart w:id="134" w:name="desequilibrio-monetario-idm"/>
    <w:p>
      <w:pPr>
        <w:pStyle w:val="Heading1"/>
        <w:keepNext/>
      </w:pPr>
      <w:r>
        <w:t xml:space="preserve">Desequilibrio monetario (IDM)</w:t>
      </w:r>
    </w:p>
    <w:p>
      <w:pPr>
        <w:pStyle w:val="FirstParagraph"/>
        <w:spacing w:after="160"/>
      </w:pPr>
      <w:r>
        <w:t xml:space="preserve">Índice de Desequilibrio Monetario: compara cuánto crece la oferta amplia de pesos del sector privado (M3 privado) con cuánto crece su demanda transaccional (M2 privado), ambos en términos reales e interanuales. El M2 transaccional incluye el circulante en poder del público, las cuentas corrientes privadas en pesos y las cajas de ahorro privadas en pesos; excluye los depósitos a la vista remunerados de personas jurídicas.</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2936"/>
        <w:gridCol w:w="1317"/>
        <w:gridCol w:w="2285"/>
        <w:gridCol w:w="2534"/>
      </w:tblGrid>
      <w:tr>
        <w:trPr>
          <w:cantSplit/>
        </w:trPr>
        <w:tc>
          <w:tcPr>
            <w:tcW w:w="2936" w:type="dxa"/>
          </w:tcPr>
          <w:p>
            <w:pPr>
              <w:pStyle w:val="Compact"/>
              <w:jc w:val="left"/>
            </w:pPr>
            <w:r>
              <w:rPr>
                <w:bCs/>
                <w:b/>
                <w:sz w:val="18"/>
              </w:rPr>
              <w:t xml:space="preserve">Hoy: 6,24 pp (brecha i.a. real)</w:t>
            </w:r>
            <w:r>
              <w:rPr>
                <w:sz w:val="18"/>
              </w:rPr>
              <w:t xml:space="preserve"> </w:t>
            </w:r>
            <w:r>
              <w:rPr>
                <w:sz w:val="18"/>
              </w:rPr>
              <w:t xml:space="preserve">(2026-06)</w:t>
            </w:r>
          </w:p>
        </w:tc>
        <w:tc>
          <w:tcPr>
            <w:tcW w:w="1317" w:type="dxa"/>
            <w:shd w:val="clear" w:color="auto" w:fill="FFEDD5"/>
          </w:tcPr>
          <w:p>
            <w:pPr>
              <w:pStyle w:val="Compact"/>
              <w:jc w:val="center"/>
            </w:pPr>
            <w:r>
              <w:rPr>
                <w:bCs/>
                <w:b/>
                <w:sz w:val="18"/>
                <w:color w:val="7C2D12"/>
              </w:rPr>
              <w:t xml:space="preserve">NARANJA</w:t>
            </w:r>
          </w:p>
        </w:tc>
        <w:tc>
          <w:tcPr>
            <w:tcW w:w="2285" w:type="dxa"/>
          </w:tcPr>
          <w:p>
            <w:pPr>
              <w:pStyle w:val="Compact"/>
              <w:jc w:val="left"/>
            </w:pPr>
            <w:r>
              <w:rPr>
                <w:sz w:val="18"/>
              </w:rPr>
              <w:t xml:space="preserve">Peso efectivo 6,5 % del ITCM</w:t>
            </w:r>
          </w:p>
        </w:tc>
        <w:tc>
          <w:tcPr>
            <w:tcW w:w="2534" w:type="dxa"/>
          </w:tcPr>
          <w:p>
            <w:pPr>
              <w:pStyle w:val="Compact"/>
              <w:jc w:val="left"/>
            </w:pPr>
            <w:r>
              <w:rPr>
                <w:sz w:val="18"/>
              </w:rPr>
              <w:t xml:space="preserve">Cinturón Macroeconomía</w:t>
            </w:r>
          </w:p>
        </w:tc>
      </w:tr>
    </w:tbl>
    <w:bookmarkStart w:id="125" w:name="identificación-10"/>
    <w:p>
      <w:pPr>
        <w:pStyle w:val="Heading2"/>
        <w:keepNext/>
        <w:spacing w:after="160"/>
      </w:pPr>
      <w:r>
        <w:t xml:space="preserve">Identificación</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1756"/>
        <w:gridCol w:w="3069"/>
        <w:gridCol w:w="1766"/>
        <w:gridCol w:w="2481"/>
      </w:tblGrid>
      <w:tr>
        <w:trPr>
          <w:cantSplit/>
        </w:trPr>
        <w:tc>
          <w:tcPr>
            <w:tcW w:w="1756" w:type="dxa"/>
          </w:tcPr>
          <w:p>
            <w:pPr>
              <w:pStyle w:val="Compact"/>
              <w:jc w:val="left"/>
            </w:pPr>
            <w:r>
              <w:rPr>
                <w:bCs/>
                <w:b/>
                <w:sz w:val="18"/>
              </w:rPr>
              <w:t xml:space="preserve">IDENTIFICADOR TÉCNICO</w:t>
            </w:r>
          </w:p>
        </w:tc>
        <w:tc>
          <w:tcPr>
            <w:tcW w:w="3069" w:type="dxa"/>
          </w:tcPr>
          <w:p>
            <w:pPr>
              <w:pStyle w:val="Compact"/>
              <w:jc w:val="left"/>
            </w:pPr>
            <w:r>
              <w:rPr>
                <w:sz w:val="18"/>
              </w:rPr>
              <w:t xml:space="preserve">idm</w:t>
            </w:r>
          </w:p>
        </w:tc>
        <w:tc>
          <w:tcPr>
            <w:tcW w:w="1766" w:type="dxa"/>
          </w:tcPr>
          <w:p>
            <w:pPr>
              <w:pStyle w:val="Compact"/>
              <w:jc w:val="left"/>
            </w:pPr>
            <w:r>
              <w:rPr>
                <w:bCs/>
                <w:b/>
                <w:sz w:val="18"/>
              </w:rPr>
              <w:t xml:space="preserve">CINTURÓN</w:t>
            </w:r>
          </w:p>
        </w:tc>
        <w:tc>
          <w:tcPr>
            <w:tcW w:w="2481" w:type="dxa"/>
          </w:tcPr>
          <w:p>
            <w:pPr>
              <w:pStyle w:val="Compact"/>
              <w:jc w:val="left"/>
            </w:pPr>
            <w:r>
              <w:rPr>
                <w:sz w:val="18"/>
              </w:rPr>
              <w:t xml:space="preserve">Macroeconomía</w:t>
            </w:r>
          </w:p>
        </w:tc>
      </w:tr>
      <w:tr>
        <w:trPr>
          <w:cantSplit/>
        </w:trPr>
        <w:tc>
          <w:tcPr>
            <w:tcW w:w="1756" w:type="dxa"/>
          </w:tcPr>
          <w:p>
            <w:pPr>
              <w:pStyle w:val="Compact"/>
              <w:jc w:val="left"/>
            </w:pPr>
            <w:r>
              <w:rPr>
                <w:bCs/>
                <w:b/>
                <w:sz w:val="18"/>
              </w:rPr>
              <w:t xml:space="preserve">DIMENSIÓN EN EL ITCM</w:t>
            </w:r>
          </w:p>
        </w:tc>
        <w:tc>
          <w:tcPr>
            <w:tcW w:w="3069" w:type="dxa"/>
          </w:tcPr>
          <w:p>
            <w:pPr>
              <w:pStyle w:val="Compact"/>
              <w:jc w:val="left"/>
            </w:pPr>
            <w:r>
              <w:rPr>
                <w:sz w:val="18"/>
              </w:rPr>
              <w:t xml:space="preserve">Estabilidad monetaria-inflacionaria</w:t>
            </w:r>
          </w:p>
        </w:tc>
        <w:tc>
          <w:tcPr>
            <w:tcW w:w="1766" w:type="dxa"/>
          </w:tcPr>
          <w:p>
            <w:pPr>
              <w:pStyle w:val="Compact"/>
              <w:jc w:val="left"/>
            </w:pPr>
            <w:r>
              <w:rPr>
                <w:bCs/>
                <w:b/>
                <w:sz w:val="18"/>
              </w:rPr>
              <w:t xml:space="preserve">UNIDAD DE MEDIDA</w:t>
            </w:r>
          </w:p>
        </w:tc>
        <w:tc>
          <w:tcPr>
            <w:tcW w:w="2481" w:type="dxa"/>
          </w:tcPr>
          <w:p>
            <w:pPr>
              <w:pStyle w:val="Compact"/>
              <w:jc w:val="left"/>
            </w:pPr>
            <w:r>
              <w:rPr>
                <w:sz w:val="18"/>
              </w:rPr>
              <w:t xml:space="preserve">pp (brecha i.a. real)</w:t>
            </w:r>
          </w:p>
        </w:tc>
      </w:tr>
      <w:tr>
        <w:trPr>
          <w:cantSplit/>
        </w:trPr>
        <w:tc>
          <w:tcPr>
            <w:tcW w:w="1756" w:type="dxa"/>
          </w:tcPr>
          <w:p>
            <w:pPr>
              <w:pStyle w:val="Compact"/>
              <w:jc w:val="left"/>
            </w:pPr>
            <w:r>
              <w:rPr>
                <w:bCs/>
                <w:b/>
                <w:sz w:val="18"/>
              </w:rPr>
              <w:t xml:space="preserve">SERIE DISPONIBLE</w:t>
            </w:r>
          </w:p>
        </w:tc>
        <w:tc>
          <w:tcPr>
            <w:tcW w:w="3069" w:type="dxa"/>
          </w:tcPr>
          <w:p>
            <w:pPr>
              <w:pStyle w:val="Compact"/>
              <w:jc w:val="left"/>
            </w:pPr>
            <w:r>
              <w:rPr>
                <w:sz w:val="18"/>
              </w:rPr>
              <w:t xml:space="preserve">2023-10 → 2026-06 (33 puntos)</w:t>
            </w:r>
          </w:p>
        </w:tc>
        <w:tc>
          <w:tcPr>
            <w:tcW w:w="1766" w:type="dxa"/>
          </w:tcPr>
          <w:p>
            <w:pPr>
              <w:pStyle w:val="Compact"/>
              <w:jc w:val="left"/>
            </w:pPr>
            <w:r>
              <w:rPr>
                <w:bCs/>
                <w:b/>
                <w:sz w:val="18"/>
              </w:rPr>
              <w:t xml:space="preserve">REZAGO DE PUBLICACIÓN</w:t>
            </w:r>
          </w:p>
        </w:tc>
        <w:tc>
          <w:tcPr>
            <w:tcW w:w="2481" w:type="dxa"/>
          </w:tcPr>
          <w:p>
            <w:pPr>
              <w:pStyle w:val="Compact"/>
              <w:jc w:val="left"/>
            </w:pPr>
            <w:r>
              <w:rPr>
                <w:sz w:val="18"/>
              </w:rPr>
              <w:t xml:space="preserve">Necesita el IPC cerrado para deflactar: se publica para el último mes con IPC disponible, unas dos semanas después de mediados del mes siguiente.</w:t>
            </w:r>
          </w:p>
        </w:tc>
      </w:tr>
      <w:tr>
        <w:trPr>
          <w:cantSplit/>
        </w:trPr>
        <w:tc>
          <w:tcPr>
            <w:tcW w:w="1756" w:type="dxa"/>
          </w:tcPr>
          <w:p>
            <w:pPr>
              <w:pStyle w:val="Compact"/>
              <w:jc w:val="left"/>
            </w:pPr>
            <w:r>
              <w:rPr>
                <w:bCs/>
                <w:b/>
                <w:sz w:val="18"/>
              </w:rPr>
              <w:t xml:space="preserve">PRODUCTOR DEL DATO</w:t>
            </w:r>
          </w:p>
        </w:tc>
        <w:tc>
          <w:tcPr>
            <w:tcW w:w="3069" w:type="dxa"/>
          </w:tcPr>
          <w:p>
            <w:pPr>
              <w:pStyle w:val="Compact"/>
              <w:jc w:val="left"/>
            </w:pPr>
            <w:r>
              <w:rPr>
                <w:sz w:val="18"/>
              </w:rPr>
              <w:t xml:space="preserve">BCRA (agregados monetarios) + INDEC (IPC como deflactor)</w:t>
            </w:r>
          </w:p>
        </w:tc>
        <w:tc>
          <w:tcPr>
            <w:tcW w:w="1766" w:type="dxa"/>
          </w:tcPr>
          <w:p>
            <w:pPr>
              <w:pStyle w:val="Compact"/>
              <w:jc w:val="left"/>
            </w:pPr>
            <w:r>
              <w:rPr>
                <w:bCs/>
                <w:b/>
                <w:sz w:val="18"/>
              </w:rPr>
              <w:t xml:space="preserve">OPERACIÓN ESTADÍSTICA</w:t>
            </w:r>
          </w:p>
        </w:tc>
        <w:tc>
          <w:tcPr>
            <w:tcW w:w="2481" w:type="dxa"/>
          </w:tcPr>
          <w:p>
            <w:pPr>
              <w:pStyle w:val="Compact"/>
              <w:jc w:val="left"/>
            </w:pPr>
            <w:r>
              <w:rPr>
                <w:sz w:val="18"/>
              </w:rPr>
              <w:t xml:space="preserve">Agregados monetarios privados: circulante en poder del público, depósitos privados, cuentas corrientes privadas en pesos, cajas de ahorro privadas en pesos y M2 transaccional privado; índice de elaboración propia</w:t>
            </w:r>
          </w:p>
        </w:tc>
      </w:tr>
      <w:tr>
        <w:trPr>
          <w:cantSplit/>
        </w:trPr>
        <w:tc>
          <w:tcPr>
            <w:tcW w:w="1756" w:type="dxa"/>
          </w:tcPr>
          <w:p>
            <w:pPr>
              <w:pStyle w:val="Compact"/>
              <w:jc w:val="left"/>
            </w:pPr>
            <w:r>
              <w:rPr>
                <w:bCs/>
                <w:b/>
                <w:sz w:val="18"/>
              </w:rPr>
              <w:t xml:space="preserve">MODO DE ACCESO</w:t>
            </w:r>
          </w:p>
        </w:tc>
        <w:tc>
          <w:tcPr>
            <w:tcW w:w="3069" w:type="dxa"/>
          </w:tcPr>
          <w:p>
            <w:pPr>
              <w:pStyle w:val="Compact"/>
              <w:jc w:val="left"/>
            </w:pPr>
            <w:r>
              <w:rPr>
                <w:sz w:val="18"/>
              </w:rPr>
              <w:t xml:space="preserve">Automático: API pública del BCRA y API de series de datos.gob.ar; la brecha se calcula en el propio informe.</w:t>
            </w:r>
          </w:p>
        </w:tc>
        <w:tc>
          <w:tcPr>
            <w:tcW w:w="1766" w:type="dxa"/>
          </w:tcPr>
          <w:p>
            <w:pPr>
              <w:pStyle w:val="Compact"/>
              <w:jc w:val="left"/>
            </w:pPr>
            <w:r>
              <w:rPr>
                <w:bCs/>
                <w:b/>
                <w:sz w:val="18"/>
              </w:rPr>
              <w:t xml:space="preserve">ÚLTIMA ACTUALIZACIÓN</w:t>
            </w:r>
          </w:p>
        </w:tc>
        <w:tc>
          <w:tcPr>
            <w:tcW w:w="2481" w:type="dxa"/>
          </w:tcPr>
          <w:p>
            <w:pPr>
              <w:pStyle w:val="Compact"/>
              <w:jc w:val="left"/>
            </w:pPr>
            <w:r>
              <w:rPr>
                <w:sz w:val="18"/>
              </w:rPr>
              <w:t xml:space="preserve">Dato a 2026-06 · informe generado el 2026-08-09</w:t>
            </w:r>
          </w:p>
        </w:tc>
      </w:tr>
    </w:tbl>
    <w:bookmarkEnd w:id="125"/>
    <w:bookmarkStart w:id="126" w:name="definición-qué-mide-y-por-qué-importa-10"/>
    <w:p>
      <w:pPr>
        <w:pStyle w:val="Heading2"/>
        <w:keepNext/>
      </w:pPr>
      <w:r>
        <w:t xml:space="preserve">Definición — qué mide y por qué importa</w:t>
      </w:r>
    </w:p>
    <w:p>
      <w:pPr>
        <w:pStyle w:val="FirstParagraph"/>
      </w:pPr>
      <w:r>
        <w:t xml:space="preserve">Índice de Desequilibrio Monetario: compara cuánto crece la oferta amplia de pesos del sector privado (M3 privado) con cuánto crece su demanda transaccional (M2 privado), ambos en términos reales e interanuales. El M2 transaccional incluye el circulante en poder del público, las cuentas corrientes privadas en pesos y las cajas de ahorro privadas en pesos; excluye los depósitos a la vista remunerados de personas jurídicas.</w:t>
      </w:r>
    </w:p>
    <w:p>
      <w:pPr>
        <w:pStyle w:val="BodyText"/>
      </w:pPr>
      <w:r>
        <w:t xml:space="preserve">Detecta si sobran pesos respecto de lo que la economía quiere retener: una brecha positiva señala excedente monetario que puede presionar precios y brecha cambiaria; una negativa, remonetización traccionada por demanda real de dinero.</w:t>
      </w:r>
    </w:p>
    <w:p>
      <w:pPr>
        <w:pStyle w:val="BodyText"/>
      </w:pPr>
      <w:r>
        <w:rPr>
          <w:bCs/>
          <w:b/>
        </w:rPr>
        <w:t xml:space="preserve">Dimensión que integra — Estabilidad monetaria-inflacionaria.</w:t>
      </w:r>
      <w:r>
        <w:t xml:space="preserve"> </w:t>
      </w:r>
      <w:r>
        <w:t xml:space="preserve">La estabilidad de la moneda desde cuatro señales complementarias: la inflación actual (IPC), la esperada por el mercado (REM), el desequilibrio entre oferta y demanda transaccional de pesos (IDM) y la presión por salir del peso, observada según el régimen cambiario vigente.</w:t>
      </w:r>
    </w:p>
    <w:bookmarkEnd w:id="126"/>
    <w:bookmarkStart w:id="127" w:name="método-de-cómputo-10"/>
    <w:p>
      <w:pPr>
        <w:pStyle w:val="Heading2"/>
        <w:keepNext/>
      </w:pPr>
      <w:r>
        <w:t xml:space="preserve">Método de cómputo</w:t>
      </w:r>
    </w:p>
    <w:p>
      <w:pPr>
        <w:numPr>
          <w:ilvl w:val="0"/>
          <w:numId w:val="1047"/>
        </w:numPr>
        <w:pStyle w:val="Compact"/>
      </w:pPr>
      <w:r>
        <w:t xml:space="preserve">M3 privado construido = circulante en poder del público + depósitos privados, a fin de mes (no existe como serie directa del BCRA).</w:t>
      </w:r>
    </w:p>
    <w:p>
      <w:pPr>
        <w:numPr>
          <w:ilvl w:val="0"/>
          <w:numId w:val="1047"/>
        </w:numPr>
        <w:pStyle w:val="Compact"/>
      </w:pPr>
      <w:r>
        <w:t xml:space="preserve">M2 privado transaccional = circulante en poder del público + cuentas corrientes privadas en pesos + cajas de ahorro privadas en pesos. Excluye los depósitos a la vista remunerados de personas jurídicas.</w:t>
      </w:r>
    </w:p>
    <w:p>
      <w:pPr>
        <w:numPr>
          <w:ilvl w:val="0"/>
          <w:numId w:val="1047"/>
        </w:numPr>
        <w:pStyle w:val="Compact"/>
      </w:pPr>
      <w:r>
        <w:t xml:space="preserve">IDM = crecimiento interanual real del M3 privado − crecimiento interanual real del M2 privado, ambos deflactados por IPC, en puntos porcentuales.</w:t>
      </w:r>
    </w:p>
    <w:p>
      <w:pPr>
        <w:numPr>
          <w:ilvl w:val="0"/>
          <w:numId w:val="1047"/>
        </w:numPr>
        <w:pStyle w:val="Compact"/>
      </w:pPr>
      <w:r>
        <w:t xml:space="preserve">Positivo = sobran pesos respecto de lo que la economía quiere retener (presión latente sobre precios y brecha); negativo = remonetización genuina.</w:t>
      </w:r>
    </w:p>
    <w:bookmarkEnd w:id="127"/>
    <w:bookmarkStart w:id="128" w:name="Xfb29aba7f4cabebf712c4a7a435b3b78f3aa559"/>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spacing w:after="160"/>
      </w:pPr>
      <w:r>
        <w:rPr>
          <w:bCs/>
          <w:b/>
        </w:rPr>
        <w:t xml:space="preserve">Valores que definen cada color</w:t>
      </w:r>
    </w:p>
    <w:tbl>
      <w:tblPr>
        <w:tblStyle w:val="Table"/>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5208"/>
        <w:gridCol w:w="3864"/>
      </w:tblGrid>
      <w:tr>
        <w:trPr>
          <w:cantSplit/>
          <w:tblHeader/>
        </w:trPr>
        <w:tc>
          <w:tcPr>
            <w:tcW w:w="5208" w:type="dxa"/>
            <w:shd w:val="clear" w:color="auto" w:fill="1F3A34"/>
          </w:tcPr>
          <w:p>
            <w:pPr>
              <w:pStyle w:val="Compact"/>
              <w:jc w:val="left"/>
            </w:pPr>
            <w:r>
              <w:rPr>
                <w:b/>
                <w:sz w:val="18"/>
                <w:color w:val="FFFFFF"/>
              </w:rPr>
              <w:t xml:space="preserve">Rango (pp (brecha i.a. real))</w:t>
            </w:r>
          </w:p>
        </w:tc>
        <w:tc>
          <w:tcPr>
            <w:tcW w:w="3864" w:type="dxa"/>
            <w:shd w:val="clear" w:color="auto" w:fill="1F3A34"/>
          </w:tcPr>
          <w:p>
            <w:pPr>
              <w:pStyle w:val="Compact"/>
              <w:jc w:val="left"/>
            </w:pPr>
            <w:r>
              <w:rPr>
                <w:b/>
                <w:sz w:val="18"/>
                <w:color w:val="FFFFFF"/>
              </w:rPr>
              <w:t xml:space="preserve">Color</w:t>
            </w:r>
          </w:p>
        </w:tc>
      </w:tr>
      <w:tr>
        <w:trPr>
          <w:cantSplit/>
        </w:trPr>
        <w:tc>
          <w:tcPr>
            <w:tcW w:w="5208" w:type="dxa"/>
          </w:tcPr>
          <w:p>
            <w:pPr>
              <w:pStyle w:val="Compact"/>
              <w:jc w:val="left"/>
            </w:pPr>
            <w:r>
              <w:rPr>
                <w:sz w:val="18"/>
              </w:rPr>
              <w:t xml:space="preserve">≤ 3,5</w:t>
            </w:r>
          </w:p>
        </w:tc>
        <w:tc>
          <w:tcPr>
            <w:tcW w:w="3864" w:type="dxa"/>
            <w:shd w:val="clear" w:color="auto" w:fill="DCFCE7"/>
          </w:tcPr>
          <w:p>
            <w:pPr>
              <w:pStyle w:val="Compact"/>
              <w:jc w:val="center"/>
            </w:pPr>
            <w:r>
              <w:rPr>
                <w:b/>
                <w:sz w:val="18"/>
                <w:color w:val="14532D"/>
              </w:rPr>
              <w:t xml:space="preserve">VERDE</w:t>
            </w:r>
          </w:p>
        </w:tc>
      </w:tr>
      <w:tr>
        <w:trPr>
          <w:cantSplit/>
        </w:trPr>
        <w:tc>
          <w:tcPr>
            <w:tcW w:w="5208" w:type="dxa"/>
            <w:shd w:val="clear" w:color="auto" w:fill="F6F8F7"/>
          </w:tcPr>
          <w:p>
            <w:pPr>
              <w:pStyle w:val="Compact"/>
              <w:jc w:val="left"/>
            </w:pPr>
            <w:r>
              <w:rPr>
                <w:sz w:val="18"/>
              </w:rPr>
              <w:t xml:space="preserve">3,5 – 5,9</w:t>
            </w:r>
          </w:p>
        </w:tc>
        <w:tc>
          <w:tcPr>
            <w:tcW w:w="3864" w:type="dxa"/>
            <w:shd w:val="clear" w:color="auto" w:fill="FEF3C7"/>
          </w:tcPr>
          <w:p>
            <w:pPr>
              <w:pStyle w:val="Compact"/>
              <w:jc w:val="center"/>
            </w:pPr>
            <w:r>
              <w:rPr>
                <w:b/>
                <w:sz w:val="18"/>
                <w:color w:val="713F12"/>
              </w:rPr>
              <w:t xml:space="preserve">AMARILLO</w:t>
            </w:r>
          </w:p>
        </w:tc>
      </w:tr>
      <w:tr>
        <w:trPr>
          <w:cantSplit/>
        </w:trPr>
        <w:tc>
          <w:tcPr>
            <w:tcW w:w="5208" w:type="dxa"/>
          </w:tcPr>
          <w:p>
            <w:pPr>
              <w:pStyle w:val="Compact"/>
              <w:jc w:val="left"/>
            </w:pPr>
            <w:r>
              <w:rPr>
                <w:sz w:val="18"/>
              </w:rPr>
              <w:t xml:space="preserve">5,9 – 7,4</w:t>
            </w:r>
          </w:p>
        </w:tc>
        <w:tc>
          <w:tcPr>
            <w:tcW w:w="3864" w:type="dxa"/>
            <w:shd w:val="clear" w:color="auto" w:fill="FFEDD5"/>
          </w:tcPr>
          <w:p>
            <w:pPr>
              <w:pStyle w:val="Compact"/>
              <w:jc w:val="center"/>
            </w:pPr>
            <w:r>
              <w:rPr>
                <w:b/>
                <w:sz w:val="18"/>
                <w:color w:val="7C2D12"/>
              </w:rPr>
              <w:t xml:space="preserve">NARANJA</w:t>
            </w:r>
          </w:p>
        </w:tc>
      </w:tr>
      <w:tr>
        <w:trPr>
          <w:cantSplit/>
        </w:trPr>
        <w:tc>
          <w:tcPr>
            <w:tcW w:w="5208" w:type="dxa"/>
            <w:shd w:val="clear" w:color="auto" w:fill="F6F8F7"/>
          </w:tcPr>
          <w:p>
            <w:pPr>
              <w:pStyle w:val="Compact"/>
              <w:jc w:val="left"/>
            </w:pPr>
            <w:r>
              <w:rPr>
                <w:sz w:val="18"/>
              </w:rPr>
              <w:t xml:space="preserve">≥ 7,4</w:t>
            </w:r>
          </w:p>
        </w:tc>
        <w:tc>
          <w:tcPr>
            <w:tcW w:w="3864" w:type="dxa"/>
            <w:shd w:val="clear" w:color="auto" w:fill="FEE2E2"/>
          </w:tcPr>
          <w:p>
            <w:pPr>
              <w:pStyle w:val="Compact"/>
              <w:jc w:val="center"/>
            </w:pPr>
            <w:r>
              <w:rPr>
                <w:b/>
                <w:sz w:val="18"/>
                <w:color w:val="7F1D1D"/>
              </w:rPr>
              <w:t xml:space="preserve">ROJO</w:t>
            </w:r>
          </w:p>
        </w:tc>
      </w:tr>
    </w:tbl>
    <w:bookmarkEnd w:id="128"/>
    <w:bookmarkStart w:id="129" w:name="datos-concretos-detrás-del-valor-10"/>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48"/>
        </w:numPr>
        <w:pStyle w:val="Compact"/>
      </w:pPr>
      <w:r>
        <w:t xml:space="preserve">brecha 6,24 pp = M3 priv. real i.a. −2,63% − M2 priv. real i.a. −8,87%</w:t>
      </w:r>
    </w:p>
    <w:bookmarkEnd w:id="129"/>
    <w:bookmarkStart w:id="130" w:name="color-vigente-y-por-qué-10"/>
    <w:p>
      <w:pPr>
        <w:pStyle w:val="Heading2"/>
        <w:keepNext/>
      </w:pPr>
      <w:r>
        <w:t xml:space="preserve">Color vigente y por qué</w:t>
      </w:r>
    </w:p>
    <w:p>
      <w:pPr>
        <w:pStyle w:val="FirstParagraph"/>
      </w:pPr>
      <w:r>
        <w:t xml:space="preserve">Dato vigente: 6,24 pp (brecha i.a. real) (2026-06).</w:t>
      </w:r>
    </w:p>
    <w:p>
      <w:pPr>
        <w:pStyle w:val="BodyText"/>
      </w:pPr>
      <w:r>
        <w:t xml:space="preserve">6,24 pp (brecha i.a. real) cae en el tramo que corresponde a Naranja, a 0,34 del corte más cercano.</w:t>
      </w:r>
    </w:p>
    <w:p>
      <w:pPr>
        <w:pStyle w:val="BodyText"/>
      </w:pPr>
      <w:r>
        <w:rPr>
          <w:bCs/>
          <w:b/>
        </w:rPr>
        <w:t xml:space="preserve">Color vigente: NARANJA</w:t>
      </w:r>
    </w:p>
    <w:p>
      <w:pPr>
        <w:pStyle w:val="BodyText"/>
      </w:pPr>
      <w:r>
        <w:t xml:space="preserve">Ponderación vigente en el ITCM: 6,5 % efectivo. El color es una lectura adicional — no reemplaza ni cambia esta ponderación.</w:t>
      </w:r>
    </w:p>
    <w:p>
      <w:pPr>
        <w:numPr>
          <w:ilvl w:val="0"/>
          <w:numId w:val="1049"/>
        </w:numPr>
        <w:pStyle w:val="Compact"/>
      </w:pPr>
      <w:r>
        <w:rPr>
          <w:bCs/>
          <w:b/>
        </w:rPr>
        <w:t xml:space="preserve">Participación en otros indicadores.</w:t>
      </w:r>
      <w:r>
        <w:t xml:space="preserve"> </w:t>
      </w:r>
      <w:r>
        <w:t xml:space="preserve">Comparte insumos con el IdC (depósitos privados y el IPC como deflactor).</w:t>
      </w:r>
    </w:p>
    <w:bookmarkEnd w:id="130"/>
    <w:bookmarkStart w:id="131" w:name="transparencia-limitaciones-declaradas-10"/>
    <w:p>
      <w:pPr>
        <w:pStyle w:val="Heading2"/>
        <w:keepNext/>
      </w:pPr>
      <w:r>
        <w:t xml:space="preserve">Transparencia — limitaciones declaradas</w:t>
      </w:r>
    </w:p>
    <w:p>
      <w:pPr>
        <w:numPr>
          <w:ilvl w:val="0"/>
          <w:numId w:val="1050"/>
        </w:numPr>
        <w:pStyle w:val="Compact"/>
      </w:pPr>
      <w:r>
        <w:t xml:space="preserve">Las bandas están calibradas con una historia corta (fines de 2024 en adelante): desde −11 puntos en la remonetización hasta +7 en el pico de excedente.</w:t>
      </w:r>
    </w:p>
    <w:p>
      <w:pPr>
        <w:numPr>
          <w:ilvl w:val="0"/>
          <w:numId w:val="1050"/>
        </w:numPr>
        <w:pStyle w:val="Compact"/>
      </w:pPr>
      <w:r>
        <w:t xml:space="preserve">La fórmula es una reinterpretación documentada de la propuesta institucional: la versión literal (nominal contra real, mensual) tenía sesgo inflacionario y estacionalidad de aguinaldo, y se reemplazó por la versión interanual real-real.</w:t>
      </w:r>
    </w:p>
    <w:bookmarkEnd w:id="131"/>
    <w:bookmarkStart w:id="132" w:name="Xf65b40f3e12a517bfafe6b61886253a31c0106d"/>
    <w:p>
      <w:pPr>
        <w:pStyle w:val="Heading2"/>
        <w:keepNext/>
      </w:pPr>
      <w:r>
        <w:t xml:space="preserve">Si falta el dato / Política de revisiones</w:t>
      </w:r>
    </w:p>
    <w:p>
      <w:pPr>
        <w:numPr>
          <w:ilvl w:val="0"/>
          <w:numId w:val="1051"/>
        </w:numPr>
      </w:pPr>
      <w:r>
        <w:rPr>
          <w:bCs/>
          <w:b/>
        </w:rPr>
        <w:t xml:space="preserve">Si falta el dato:</w:t>
      </w:r>
      <w:r>
        <w:t xml:space="preserve"> </w:t>
      </w:r>
      <w:r>
        <w:t xml:space="preserve">Si falta un insumo, se mantiene el último valor disponible, señalado como desactualizado; sin dato, IPC, REM y presión de dolarización renormalizan dentro de la dimensión.</w:t>
      </w:r>
    </w:p>
    <w:p>
      <w:pPr>
        <w:numPr>
          <w:ilvl w:val="0"/>
          <w:numId w:val="1051"/>
        </w:numPr>
      </w:pPr>
      <w:r>
        <w:rPr>
          <w:bCs/>
          <w:b/>
        </w:rPr>
        <w:t xml:space="preserve">Política de revisiones:</w:t>
      </w:r>
      <w:r>
        <w:t xml:space="preserve"> </w:t>
      </w:r>
      <w:r>
        <w:t xml:space="preserve">Los stocks del BCRA no se revisan de forma habitual; la serie se regenera completa en cada actualización.</w:t>
      </w:r>
    </w:p>
    <w:bookmarkEnd w:id="132"/>
    <w:bookmarkStart w:id="133" w:name="Xc507494f83e44c325b7cca217ae571956777eab"/>
    <w:p>
      <w:pPr>
        <w:pStyle w:val="Heading2"/>
        <w:keepNext/>
      </w:pPr>
      <w:r>
        <w:t xml:space="preserve">Historial — cambios metodológicos documentados</w:t>
      </w:r>
    </w:p>
    <w:p>
      <w:pPr>
        <w:pStyle w:val="FirstParagraph"/>
      </w:pPr>
      <w:r>
        <w:rPr>
          <w:bCs/>
          <w:b/>
        </w:rPr>
        <w:t xml:space="preserve">2026-06-28</w:t>
      </w:r>
      <w:r>
        <w:t xml:space="preserve"> </w:t>
      </w:r>
      <w:r>
        <w:t xml:space="preserve">— Nace y entra al índice: la dimensión de estabilidad monetaria pasa de IPC 50% / REM 50% a IPC 40% / REM 30% / IDM 30%, en versión interanual real-real.</w:t>
      </w:r>
    </w:p>
    <w:p>
      <w:pPr>
        <w:pStyle w:val="BodyText"/>
      </w:pPr>
      <w:r>
        <w:rPr>
          <w:bCs/>
          <w:b/>
        </w:rPr>
        <w:t xml:space="preserve">2026-07-03</w:t>
      </w:r>
      <w:r>
        <w:t xml:space="preserve"> </w:t>
      </w:r>
      <w:r>
        <w:t xml:space="preserve">— Puntaje interpolado entre anclas.</w:t>
      </w:r>
    </w:p>
    <w:p>
      <w:pPr>
        <w:pStyle w:val="BodyText"/>
      </w:pPr>
      <w:r>
        <w:rPr>
          <w:bCs/>
          <w:b/>
        </w:rPr>
        <w:t xml:space="preserve">2026-07-13</w:t>
      </w:r>
      <w:r>
        <w:t xml:space="preserve"> </w:t>
      </w:r>
      <w:r>
        <w:t xml:space="preserve">— Aclaración de transparencia, sin cambio metodológico: la ficha explicita la composición del M2 transaccional y publica la cadena completa de ponderación y el aporte vigente del IDM al ITCM.</w:t>
      </w:r>
    </w:p>
    <w:p>
      <w:pPr>
        <w:pStyle w:val="BodyText"/>
      </w:pPr>
      <w:r>
        <w:rPr>
          <w:bCs/>
          <w:b/>
        </w:rPr>
        <w:t xml:space="preserve">2026-07-13</w:t>
      </w:r>
      <w:r>
        <w:t xml:space="preserve"> </w:t>
      </w:r>
      <w:r>
        <w:t xml:space="preserve">— Su peso interno pasa de 30% a 25% al incorporarse una señal de presión de dolarización; su peso nominal efectivo en el ITCM pasa de 7,8% a 6,5%.</w:t>
      </w:r>
    </w:p>
    <w:p>
      <w:r>
        <w:br w:type="page"/>
      </w:r>
    </w:p>
    <w:p>
      <w:pPr>
        <w:pStyle w:val="BodyText"/>
      </w:pPr>
      <w:r>
        <w:rPr>
          <w:bCs/>
          <w:b/>
        </w:rPr>
        <w:t xml:space="preserve">CIGOB · INFORME DE COYUNTURA</w:t>
      </w:r>
    </w:p>
    <w:p>
      <w:pPr>
        <w:pStyle w:val="BodyText"/>
      </w:pPr>
      <w:r>
        <w:rPr>
          <w:iCs/>
          <w:i/>
        </w:rPr>
        <w:t xml:space="preserve">Ficha metodológica · Cinturón Macroeconomía · Capa de semáforo (4 colores)</w:t>
      </w:r>
    </w:p>
    <w:bookmarkEnd w:id="133"/>
    <w:bookmarkEnd w:id="134"/>
    <w:bookmarkStart w:id="144" w:name="presión-de-dolarización-de-carteras"/>
    <w:p>
      <w:pPr>
        <w:pStyle w:val="Heading1"/>
        <w:keepNext/>
      </w:pPr>
      <w:r>
        <w:t xml:space="preserve">Presión de dolarización de carteras</w:t>
      </w:r>
    </w:p>
    <w:p>
      <w:pPr>
        <w:pStyle w:val="FirstParagraph"/>
        <w:spacing w:after="160"/>
      </w:pPr>
      <w:r>
        <w:t xml:space="preserve">Una medida de 0 a 100 de la presión por salir del peso. Bajo restricciones cambiarias observa la brecha entre el dólar CCL y el mayorista; desde abril de 2025 combina las compras netas de dólares de personas humanas en relación con el M2 privado (canal bancarizado) con la brecha del dólar cripto frente al mayorista (canal no bancarizado).</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2763"/>
        <w:gridCol w:w="1166"/>
        <w:gridCol w:w="2467"/>
        <w:gridCol w:w="2676"/>
      </w:tblGrid>
      <w:tr>
        <w:trPr>
          <w:cantSplit/>
        </w:trPr>
        <w:tc>
          <w:tcPr>
            <w:tcW w:w="2763" w:type="dxa"/>
          </w:tcPr>
          <w:p>
            <w:pPr>
              <w:pStyle w:val="Compact"/>
              <w:jc w:val="left"/>
            </w:pPr>
            <w:r>
              <w:rPr>
                <w:bCs/>
                <w:b/>
                <w:sz w:val="18"/>
              </w:rPr>
              <w:t xml:space="preserve">Hoy: 45,53 pts (0-100)</w:t>
            </w:r>
            <w:r>
              <w:rPr>
                <w:sz w:val="18"/>
              </w:rPr>
              <w:t xml:space="preserve"> </w:t>
            </w:r>
            <w:r>
              <w:rPr>
                <w:sz w:val="18"/>
              </w:rPr>
              <w:t xml:space="preserve">(2026-06)</w:t>
            </w:r>
          </w:p>
        </w:tc>
        <w:tc>
          <w:tcPr>
            <w:tcW w:w="1166" w:type="dxa"/>
            <w:shd w:val="clear" w:color="auto" w:fill="DCFCE7"/>
          </w:tcPr>
          <w:p>
            <w:pPr>
              <w:pStyle w:val="Compact"/>
              <w:jc w:val="center"/>
            </w:pPr>
            <w:r>
              <w:rPr>
                <w:bCs/>
                <w:b/>
                <w:sz w:val="18"/>
                <w:color w:val="14532D"/>
              </w:rPr>
              <w:t xml:space="preserve">VERDE</w:t>
            </w:r>
          </w:p>
        </w:tc>
        <w:tc>
          <w:tcPr>
            <w:tcW w:w="2467" w:type="dxa"/>
          </w:tcPr>
          <w:p>
            <w:pPr>
              <w:pStyle w:val="Compact"/>
              <w:jc w:val="left"/>
            </w:pPr>
            <w:r>
              <w:rPr>
                <w:sz w:val="18"/>
              </w:rPr>
              <w:t xml:space="preserve">Peso efectivo 2,6 % del ITCM</w:t>
            </w:r>
          </w:p>
        </w:tc>
        <w:tc>
          <w:tcPr>
            <w:tcW w:w="2676" w:type="dxa"/>
          </w:tcPr>
          <w:p>
            <w:pPr>
              <w:pStyle w:val="Compact"/>
              <w:jc w:val="left"/>
            </w:pPr>
            <w:r>
              <w:rPr>
                <w:sz w:val="18"/>
              </w:rPr>
              <w:t xml:space="preserve">Cinturón Macroeconomía</w:t>
            </w:r>
          </w:p>
        </w:tc>
      </w:tr>
    </w:tbl>
    <w:bookmarkStart w:id="135" w:name="identificación-11"/>
    <w:p>
      <w:pPr>
        <w:pStyle w:val="Heading2"/>
        <w:keepNext/>
        <w:spacing w:after="160"/>
      </w:pPr>
      <w:r>
        <w:t xml:space="preserve">Identificación</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1735"/>
        <w:gridCol w:w="3010"/>
        <w:gridCol w:w="1744"/>
        <w:gridCol w:w="2583"/>
      </w:tblGrid>
      <w:tr>
        <w:trPr>
          <w:cantSplit/>
        </w:trPr>
        <w:tc>
          <w:tcPr>
            <w:tcW w:w="1735" w:type="dxa"/>
          </w:tcPr>
          <w:p>
            <w:pPr>
              <w:pStyle w:val="Compact"/>
              <w:jc w:val="left"/>
            </w:pPr>
            <w:r>
              <w:rPr>
                <w:bCs/>
                <w:b/>
                <w:sz w:val="18"/>
              </w:rPr>
              <w:t xml:space="preserve">IDENTIFICADOR TÉCNICO</w:t>
            </w:r>
          </w:p>
        </w:tc>
        <w:tc>
          <w:tcPr>
            <w:tcW w:w="3010" w:type="dxa"/>
          </w:tcPr>
          <w:p>
            <w:pPr>
              <w:pStyle w:val="Compact"/>
              <w:jc w:val="left"/>
            </w:pPr>
            <w:r>
              <w:rPr>
                <w:sz w:val="18"/>
              </w:rPr>
              <w:t xml:space="preserve">presion_dolarizacion</w:t>
            </w:r>
          </w:p>
        </w:tc>
        <w:tc>
          <w:tcPr>
            <w:tcW w:w="1744" w:type="dxa"/>
          </w:tcPr>
          <w:p>
            <w:pPr>
              <w:pStyle w:val="Compact"/>
              <w:jc w:val="left"/>
            </w:pPr>
            <w:r>
              <w:rPr>
                <w:bCs/>
                <w:b/>
                <w:sz w:val="18"/>
              </w:rPr>
              <w:t xml:space="preserve">CINTURÓN</w:t>
            </w:r>
          </w:p>
        </w:tc>
        <w:tc>
          <w:tcPr>
            <w:tcW w:w="2583" w:type="dxa"/>
          </w:tcPr>
          <w:p>
            <w:pPr>
              <w:pStyle w:val="Compact"/>
              <w:jc w:val="left"/>
            </w:pPr>
            <w:r>
              <w:rPr>
                <w:sz w:val="18"/>
              </w:rPr>
              <w:t xml:space="preserve">Macroeconomía</w:t>
            </w:r>
          </w:p>
        </w:tc>
      </w:tr>
      <w:tr>
        <w:trPr>
          <w:cantSplit/>
        </w:trPr>
        <w:tc>
          <w:tcPr>
            <w:tcW w:w="1735" w:type="dxa"/>
          </w:tcPr>
          <w:p>
            <w:pPr>
              <w:pStyle w:val="Compact"/>
              <w:jc w:val="left"/>
            </w:pPr>
            <w:r>
              <w:rPr>
                <w:bCs/>
                <w:b/>
                <w:sz w:val="18"/>
              </w:rPr>
              <w:t xml:space="preserve">DIMENSIÓN EN EL ITCM</w:t>
            </w:r>
          </w:p>
        </w:tc>
        <w:tc>
          <w:tcPr>
            <w:tcW w:w="3010" w:type="dxa"/>
          </w:tcPr>
          <w:p>
            <w:pPr>
              <w:pStyle w:val="Compact"/>
              <w:jc w:val="left"/>
            </w:pPr>
            <w:r>
              <w:rPr>
                <w:sz w:val="18"/>
              </w:rPr>
              <w:t xml:space="preserve">Estabilidad monetaria-inflacionaria</w:t>
            </w:r>
          </w:p>
        </w:tc>
        <w:tc>
          <w:tcPr>
            <w:tcW w:w="1744" w:type="dxa"/>
          </w:tcPr>
          <w:p>
            <w:pPr>
              <w:pStyle w:val="Compact"/>
              <w:jc w:val="left"/>
            </w:pPr>
            <w:r>
              <w:rPr>
                <w:bCs/>
                <w:b/>
                <w:sz w:val="18"/>
              </w:rPr>
              <w:t xml:space="preserve">UNIDAD DE MEDIDA</w:t>
            </w:r>
          </w:p>
        </w:tc>
        <w:tc>
          <w:tcPr>
            <w:tcW w:w="2583" w:type="dxa"/>
          </w:tcPr>
          <w:p>
            <w:pPr>
              <w:pStyle w:val="Compact"/>
              <w:jc w:val="left"/>
            </w:pPr>
            <w:r>
              <w:rPr>
                <w:sz w:val="18"/>
              </w:rPr>
              <w:t xml:space="preserve">pts (0-100)</w:t>
            </w:r>
          </w:p>
        </w:tc>
      </w:tr>
      <w:tr>
        <w:trPr>
          <w:cantSplit/>
        </w:trPr>
        <w:tc>
          <w:tcPr>
            <w:tcW w:w="1735" w:type="dxa"/>
          </w:tcPr>
          <w:p>
            <w:pPr>
              <w:pStyle w:val="Compact"/>
              <w:jc w:val="left"/>
            </w:pPr>
            <w:r>
              <w:rPr>
                <w:bCs/>
                <w:b/>
                <w:sz w:val="18"/>
              </w:rPr>
              <w:t xml:space="preserve">SERIE DISPONIBLE</w:t>
            </w:r>
          </w:p>
        </w:tc>
        <w:tc>
          <w:tcPr>
            <w:tcW w:w="3010" w:type="dxa"/>
          </w:tcPr>
          <w:p>
            <w:pPr>
              <w:pStyle w:val="Compact"/>
              <w:jc w:val="left"/>
            </w:pPr>
            <w:r>
              <w:rPr>
                <w:sz w:val="18"/>
              </w:rPr>
              <w:t xml:space="preserve">2023-12 → 2026-06 (31 puntos)</w:t>
            </w:r>
          </w:p>
        </w:tc>
        <w:tc>
          <w:tcPr>
            <w:tcW w:w="1744" w:type="dxa"/>
          </w:tcPr>
          <w:p>
            <w:pPr>
              <w:pStyle w:val="Compact"/>
              <w:jc w:val="left"/>
            </w:pPr>
            <w:r>
              <w:rPr>
                <w:bCs/>
                <w:b/>
                <w:sz w:val="18"/>
              </w:rPr>
              <w:t xml:space="preserve">REZAGO DE PUBLICACIÓN</w:t>
            </w:r>
          </w:p>
        </w:tc>
        <w:tc>
          <w:tcPr>
            <w:tcW w:w="2583" w:type="dxa"/>
          </w:tcPr>
          <w:p>
            <w:pPr>
              <w:pStyle w:val="Compact"/>
              <w:jc w:val="left"/>
            </w:pPr>
            <w:r>
              <w:rPr>
                <w:sz w:val="18"/>
              </w:rPr>
              <w:t xml:space="preserve">Se publica para el último mes con todos los insumos del régimen correspondiente. Bajo apertura, el cierre queda condicionado por la planilla mensual del mercado de cambios.</w:t>
            </w:r>
          </w:p>
        </w:tc>
      </w:tr>
      <w:tr>
        <w:trPr>
          <w:cantSplit/>
        </w:trPr>
        <w:tc>
          <w:tcPr>
            <w:tcW w:w="1735" w:type="dxa"/>
          </w:tcPr>
          <w:p>
            <w:pPr>
              <w:pStyle w:val="Compact"/>
              <w:jc w:val="left"/>
            </w:pPr>
            <w:r>
              <w:rPr>
                <w:bCs/>
                <w:b/>
                <w:sz w:val="18"/>
              </w:rPr>
              <w:t xml:space="preserve">PRODUCTOR DEL DATO</w:t>
            </w:r>
          </w:p>
        </w:tc>
        <w:tc>
          <w:tcPr>
            <w:tcW w:w="3010" w:type="dxa"/>
          </w:tcPr>
          <w:p>
            <w:pPr>
              <w:pStyle w:val="Compact"/>
              <w:jc w:val="left"/>
            </w:pPr>
            <w:r>
              <w:rPr>
                <w:sz w:val="18"/>
              </w:rPr>
              <w:t xml:space="preserve">ArgentinaDatos (dólar CCL y dólar cripto) + BCRA</w:t>
            </w:r>
          </w:p>
        </w:tc>
        <w:tc>
          <w:tcPr>
            <w:tcW w:w="1744" w:type="dxa"/>
          </w:tcPr>
          <w:p>
            <w:pPr>
              <w:pStyle w:val="Compact"/>
              <w:jc w:val="left"/>
            </w:pPr>
            <w:r>
              <w:rPr>
                <w:bCs/>
                <w:b/>
                <w:sz w:val="18"/>
              </w:rPr>
              <w:t xml:space="preserve">OPERACIÓN ESTADÍSTICA</w:t>
            </w:r>
          </w:p>
        </w:tc>
        <w:tc>
          <w:tcPr>
            <w:tcW w:w="2583" w:type="dxa"/>
          </w:tcPr>
          <w:p>
            <w:pPr>
              <w:pStyle w:val="Compact"/>
              <w:jc w:val="left"/>
            </w:pPr>
            <w:r>
              <w:rPr>
                <w:sz w:val="18"/>
              </w:rPr>
              <w:t xml:space="preserve">Cotización CCL, dólar cripto, tipo de cambio mayorista, M2 transaccional privado y compras netas de divisas de personas humanas sin fines específicos</w:t>
            </w:r>
          </w:p>
        </w:tc>
      </w:tr>
      <w:tr>
        <w:trPr>
          <w:cantSplit/>
        </w:trPr>
        <w:tc>
          <w:tcPr>
            <w:tcW w:w="1735" w:type="dxa"/>
          </w:tcPr>
          <w:p>
            <w:pPr>
              <w:pStyle w:val="Compact"/>
              <w:jc w:val="left"/>
            </w:pPr>
            <w:r>
              <w:rPr>
                <w:bCs/>
                <w:b/>
                <w:sz w:val="18"/>
              </w:rPr>
              <w:t xml:space="preserve">MODO DE ACCESO</w:t>
            </w:r>
          </w:p>
        </w:tc>
        <w:tc>
          <w:tcPr>
            <w:tcW w:w="3010" w:type="dxa"/>
          </w:tcPr>
          <w:p>
            <w:pPr>
              <w:pStyle w:val="Compact"/>
              <w:jc w:val="left"/>
            </w:pPr>
            <w:r>
              <w:rPr>
                <w:sz w:val="18"/>
              </w:rPr>
              <w:t xml:space="preserve">Automático: API diaria de ArgentinaDatos, API monetaria del BCRA y planilla acumulativa del mercado de cambios.</w:t>
            </w:r>
          </w:p>
        </w:tc>
        <w:tc>
          <w:tcPr>
            <w:tcW w:w="1744" w:type="dxa"/>
          </w:tcPr>
          <w:p>
            <w:pPr>
              <w:pStyle w:val="Compact"/>
              <w:jc w:val="left"/>
            </w:pPr>
            <w:r>
              <w:rPr>
                <w:bCs/>
                <w:b/>
                <w:sz w:val="18"/>
              </w:rPr>
              <w:t xml:space="preserve">ÚLTIMA ACTUALIZACIÓN</w:t>
            </w:r>
          </w:p>
        </w:tc>
        <w:tc>
          <w:tcPr>
            <w:tcW w:w="2583" w:type="dxa"/>
          </w:tcPr>
          <w:p>
            <w:pPr>
              <w:pStyle w:val="Compact"/>
              <w:jc w:val="left"/>
            </w:pPr>
            <w:r>
              <w:rPr>
                <w:sz w:val="18"/>
              </w:rPr>
              <w:t xml:space="preserve">Dato a 2026-06 · informe generado el 2026-08-09</w:t>
            </w:r>
          </w:p>
        </w:tc>
      </w:tr>
    </w:tbl>
    <w:bookmarkEnd w:id="135"/>
    <w:bookmarkStart w:id="136" w:name="definición-qué-mide-y-por-qué-importa-11"/>
    <w:p>
      <w:pPr>
        <w:pStyle w:val="Heading2"/>
        <w:keepNext/>
      </w:pPr>
      <w:r>
        <w:t xml:space="preserve">Definición — qué mide y por qué importa</w:t>
      </w:r>
    </w:p>
    <w:p>
      <w:pPr>
        <w:pStyle w:val="FirstParagraph"/>
      </w:pPr>
      <w:r>
        <w:t xml:space="preserve">Una medida de 0 a 100 de la presión por salir del peso. Bajo restricciones cambiarias observa la brecha entre el dólar CCL y el mayorista; desde abril de 2025 combina las compras netas de dólares de personas humanas en relación con el M2 privado (canal bancarizado) con la brecha del dólar cripto frente al mayorista (canal no bancarizado).</w:t>
      </w:r>
    </w:p>
    <w:p>
      <w:pPr>
        <w:pStyle w:val="BodyText"/>
      </w:pPr>
      <w:r>
        <w:t xml:space="preserve">Distingue la presión de cartera que se expresa en precios paralelos de la que, con acceso abierto, se expresa en compras efectivas de divisas — y ya no se queda ciega a la demanda que elige un canal no bancarizado. Mayor presión reduce el puntaje de estabilidad monetaria.</w:t>
      </w:r>
    </w:p>
    <w:p>
      <w:pPr>
        <w:pStyle w:val="BodyText"/>
      </w:pPr>
      <w:r>
        <w:rPr>
          <w:bCs/>
          <w:b/>
        </w:rPr>
        <w:t xml:space="preserve">Dimensión que integra — Estabilidad monetaria-inflacionaria.</w:t>
      </w:r>
      <w:r>
        <w:t xml:space="preserve"> </w:t>
      </w:r>
      <w:r>
        <w:t xml:space="preserve">La estabilidad de la moneda desde cuatro señales complementarias: la inflación actual (IPC), la esperada por el mercado (REM), el desequilibrio entre oferta y demanda transaccional de pesos (IDM) y la presión por salir del peso, observada según el régimen cambiario vigente.</w:t>
      </w:r>
    </w:p>
    <w:bookmarkEnd w:id="136"/>
    <w:bookmarkStart w:id="137" w:name="método-de-cómputo-11"/>
    <w:p>
      <w:pPr>
        <w:pStyle w:val="Heading2"/>
        <w:keepNext/>
      </w:pPr>
      <w:r>
        <w:t xml:space="preserve">Método de cómputo</w:t>
      </w:r>
    </w:p>
    <w:p>
      <w:pPr>
        <w:numPr>
          <w:ilvl w:val="0"/>
          <w:numId w:val="1052"/>
        </w:numPr>
        <w:pStyle w:val="Compact"/>
      </w:pPr>
      <w:r>
        <w:t xml:space="preserve">Régimen restringido, hasta marzo de 2025: se calcula la brecha porcentual entre el CCL y el tipo de cambio mayorista y se promedia sobre tres meses estrictamente consecutivos.</w:t>
      </w:r>
    </w:p>
    <w:p>
      <w:pPr>
        <w:numPr>
          <w:ilvl w:val="0"/>
          <w:numId w:val="1052"/>
        </w:numPr>
        <w:pStyle w:val="Compact"/>
      </w:pPr>
      <w:r>
        <w:t xml:space="preserve">La brecha se convierte a presión 0–100 con estas anclas: 5% → 0; 15% → 25; 30% → 50; 50% → 75; 70% → 100.</w:t>
      </w:r>
    </w:p>
    <w:p>
      <w:pPr>
        <w:numPr>
          <w:ilvl w:val="0"/>
          <w:numId w:val="1052"/>
        </w:numPr>
        <w:pStyle w:val="Compact"/>
      </w:pPr>
      <w:r>
        <w:t xml:space="preserve">Régimen abierto, desde abril de 2025: se suman las compras netas de USD de personas humanas (canal formal, bancarizado) y se dividen por el M2 privado de los mismos meses, convertido a USD al tipo de cambio mayorista.</w:t>
      </w:r>
    </w:p>
    <w:p>
      <w:pPr>
        <w:numPr>
          <w:ilvl w:val="0"/>
          <w:numId w:val="1052"/>
        </w:numPr>
        <w:pStyle w:val="Compact"/>
      </w:pPr>
      <w:r>
        <w:t xml:space="preserve">El flujo relativo se convierte a presión 0–100 con estas anclas: 0% → 0; 3% → 25; 6% → 50; 10% → 75; 15% → 100.</w:t>
      </w:r>
    </w:p>
    <w:p>
      <w:pPr>
        <w:numPr>
          <w:ilvl w:val="0"/>
          <w:numId w:val="1052"/>
        </w:numPr>
        <w:pStyle w:val="Compact"/>
      </w:pPr>
      <w:r>
        <w:t xml:space="preserve">Sobre la misma ventana, se calcula además la brecha entre el dólar cripto y el mayorista — un canal que no pasa por el circuito bancario — y se traduce a presión con las mismas anclas del flujo formal.</w:t>
      </w:r>
    </w:p>
    <w:p>
      <w:pPr>
        <w:numPr>
          <w:ilvl w:val="0"/>
          <w:numId w:val="1052"/>
        </w:numPr>
        <w:pStyle w:val="Compact"/>
      </w:pPr>
      <w:r>
        <w:t xml:space="preserve">La presión del régimen abierto combina ambos canales: 70% la señal formal (flujo bancarizado) y 30% la informal (brecha cripto). Si falta el dato del dólar cripto para algún mes de la ventana, la presión queda 100% formal para ese mes, sin inventar el faltante.</w:t>
      </w:r>
    </w:p>
    <w:p>
      <w:pPr>
        <w:numPr>
          <w:ilvl w:val="0"/>
          <w:numId w:val="1052"/>
        </w:numPr>
        <w:pStyle w:val="Compact"/>
      </w:pPr>
      <w:r>
        <w:t xml:space="preserve">La transición usa una ventana de 1 mes en abril de 2025, 2 meses en mayo y 3 meses estrictamente consecutivos desde junio de 2025. No se unen meses salteados ni se imputan faltantes como cero.</w:t>
      </w:r>
    </w:p>
    <w:p>
      <w:pPr>
        <w:numPr>
          <w:ilvl w:val="0"/>
          <w:numId w:val="1052"/>
        </w:numPr>
        <w:pStyle w:val="Compact"/>
      </w:pPr>
      <w:r>
        <w:t xml:space="preserve">La presión común se traduce al ITCM con anclas explícitas: 0 → 100; 25 → 85; 50 → 60; 75 → 35; 100 → 10. Mayor presión reduce el puntaje.</w:t>
      </w:r>
    </w:p>
    <w:p>
      <w:pPr>
        <w:numPr>
          <w:ilvl w:val="0"/>
          <w:numId w:val="1052"/>
        </w:numPr>
        <w:pStyle w:val="Compact"/>
      </w:pPr>
      <w:r>
        <w:t xml:space="preserve">Pesa 10% dentro de estabilidad monetaria, dimensión que representa 26% del ITCM: su peso nominal efectivo es 2,6% del índice.</w:t>
      </w:r>
    </w:p>
    <w:bookmarkEnd w:id="137"/>
    <w:bookmarkStart w:id="138" w:name="X4b7f9d42ad5d49ec575647c9c43b05a66f437ec"/>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spacing w:after="160"/>
      </w:pPr>
      <w:r>
        <w:rPr>
          <w:bCs/>
          <w:b/>
        </w:rPr>
        <w:t xml:space="preserve">Valores que definen cada color</w:t>
      </w:r>
    </w:p>
    <w:tbl>
      <w:tblPr>
        <w:tblStyle w:val="Table"/>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4758"/>
        <w:gridCol w:w="4314"/>
      </w:tblGrid>
      <w:tr>
        <w:trPr>
          <w:cantSplit/>
          <w:tblHeader/>
        </w:trPr>
        <w:tc>
          <w:tcPr>
            <w:tcW w:w="4758" w:type="dxa"/>
            <w:shd w:val="clear" w:color="auto" w:fill="1F3A34"/>
          </w:tcPr>
          <w:p>
            <w:pPr>
              <w:pStyle w:val="Compact"/>
              <w:jc w:val="left"/>
            </w:pPr>
            <w:r>
              <w:rPr>
                <w:b/>
                <w:sz w:val="18"/>
                <w:color w:val="FFFFFF"/>
              </w:rPr>
              <w:t xml:space="preserve">Rango (pts (0-100))</w:t>
            </w:r>
          </w:p>
        </w:tc>
        <w:tc>
          <w:tcPr>
            <w:tcW w:w="4314" w:type="dxa"/>
            <w:shd w:val="clear" w:color="auto" w:fill="1F3A34"/>
          </w:tcPr>
          <w:p>
            <w:pPr>
              <w:pStyle w:val="Compact"/>
              <w:jc w:val="left"/>
            </w:pPr>
            <w:r>
              <w:rPr>
                <w:b/>
                <w:sz w:val="18"/>
                <w:color w:val="FFFFFF"/>
              </w:rPr>
              <w:t xml:space="preserve">Color</w:t>
            </w:r>
          </w:p>
        </w:tc>
      </w:tr>
      <w:tr>
        <w:trPr>
          <w:cantSplit/>
        </w:trPr>
        <w:tc>
          <w:tcPr>
            <w:tcW w:w="4758" w:type="dxa"/>
          </w:tcPr>
          <w:p>
            <w:pPr>
              <w:pStyle w:val="Compact"/>
              <w:jc w:val="left"/>
            </w:pPr>
            <w:r>
              <w:rPr>
                <w:sz w:val="18"/>
              </w:rPr>
              <w:t xml:space="preserve">≤ 50</w:t>
            </w:r>
          </w:p>
        </w:tc>
        <w:tc>
          <w:tcPr>
            <w:tcW w:w="4314" w:type="dxa"/>
            <w:shd w:val="clear" w:color="auto" w:fill="DCFCE7"/>
          </w:tcPr>
          <w:p>
            <w:pPr>
              <w:pStyle w:val="Compact"/>
              <w:jc w:val="center"/>
            </w:pPr>
            <w:r>
              <w:rPr>
                <w:b/>
                <w:sz w:val="18"/>
                <w:color w:val="14532D"/>
              </w:rPr>
              <w:t xml:space="preserve">VERDE</w:t>
            </w:r>
          </w:p>
        </w:tc>
      </w:tr>
      <w:tr>
        <w:trPr>
          <w:cantSplit/>
        </w:trPr>
        <w:tc>
          <w:tcPr>
            <w:tcW w:w="4758" w:type="dxa"/>
            <w:shd w:val="clear" w:color="auto" w:fill="F6F8F7"/>
          </w:tcPr>
          <w:p>
            <w:pPr>
              <w:pStyle w:val="Compact"/>
              <w:jc w:val="left"/>
            </w:pPr>
            <w:r>
              <w:rPr>
                <w:sz w:val="18"/>
              </w:rPr>
              <w:t xml:space="preserve">50 – 70</w:t>
            </w:r>
          </w:p>
        </w:tc>
        <w:tc>
          <w:tcPr>
            <w:tcW w:w="4314" w:type="dxa"/>
            <w:shd w:val="clear" w:color="auto" w:fill="FEF3C7"/>
          </w:tcPr>
          <w:p>
            <w:pPr>
              <w:pStyle w:val="Compact"/>
              <w:jc w:val="center"/>
            </w:pPr>
            <w:r>
              <w:rPr>
                <w:b/>
                <w:sz w:val="18"/>
                <w:color w:val="713F12"/>
              </w:rPr>
              <w:t xml:space="preserve">AMARILLO</w:t>
            </w:r>
          </w:p>
        </w:tc>
      </w:tr>
      <w:tr>
        <w:trPr>
          <w:cantSplit/>
        </w:trPr>
        <w:tc>
          <w:tcPr>
            <w:tcW w:w="4758" w:type="dxa"/>
          </w:tcPr>
          <w:p>
            <w:pPr>
              <w:pStyle w:val="Compact"/>
              <w:jc w:val="left"/>
            </w:pPr>
            <w:r>
              <w:rPr>
                <w:sz w:val="18"/>
              </w:rPr>
              <w:t xml:space="preserve">70 – 90</w:t>
            </w:r>
          </w:p>
        </w:tc>
        <w:tc>
          <w:tcPr>
            <w:tcW w:w="4314" w:type="dxa"/>
            <w:shd w:val="clear" w:color="auto" w:fill="FFEDD5"/>
          </w:tcPr>
          <w:p>
            <w:pPr>
              <w:pStyle w:val="Compact"/>
              <w:jc w:val="center"/>
            </w:pPr>
            <w:r>
              <w:rPr>
                <w:b/>
                <w:sz w:val="18"/>
                <w:color w:val="7C2D12"/>
              </w:rPr>
              <w:t xml:space="preserve">NARANJA</w:t>
            </w:r>
          </w:p>
        </w:tc>
      </w:tr>
      <w:tr>
        <w:trPr>
          <w:cantSplit/>
        </w:trPr>
        <w:tc>
          <w:tcPr>
            <w:tcW w:w="4758" w:type="dxa"/>
            <w:shd w:val="clear" w:color="auto" w:fill="F6F8F7"/>
          </w:tcPr>
          <w:p>
            <w:pPr>
              <w:pStyle w:val="Compact"/>
              <w:jc w:val="left"/>
            </w:pPr>
            <w:r>
              <w:rPr>
                <w:sz w:val="18"/>
              </w:rPr>
              <w:t xml:space="preserve">≥ 90</w:t>
            </w:r>
          </w:p>
        </w:tc>
        <w:tc>
          <w:tcPr>
            <w:tcW w:w="4314" w:type="dxa"/>
            <w:shd w:val="clear" w:color="auto" w:fill="FEE2E2"/>
          </w:tcPr>
          <w:p>
            <w:pPr>
              <w:pStyle w:val="Compact"/>
              <w:jc w:val="center"/>
            </w:pPr>
            <w:r>
              <w:rPr>
                <w:b/>
                <w:sz w:val="18"/>
                <w:color w:val="7F1D1D"/>
              </w:rPr>
              <w:t xml:space="preserve">ROJO</w:t>
            </w:r>
          </w:p>
        </w:tc>
      </w:tr>
    </w:tbl>
    <w:bookmarkEnd w:id="138"/>
    <w:bookmarkStart w:id="139" w:name="datos-concretos-detrás-del-valor-11"/>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53"/>
        </w:numPr>
        <w:pStyle w:val="Compact"/>
      </w:pPr>
      <w:r>
        <w:t xml:space="preserve">presión 45,53 pts = compras netas de USD de personas humanas 5,46% del M2 privado (ventana móvil 3 meses)</w:t>
      </w:r>
    </w:p>
    <w:bookmarkEnd w:id="139"/>
    <w:bookmarkStart w:id="140" w:name="color-vigente-y-por-qué-11"/>
    <w:p>
      <w:pPr>
        <w:pStyle w:val="Heading2"/>
        <w:keepNext/>
      </w:pPr>
      <w:r>
        <w:t xml:space="preserve">Color vigente y por qué</w:t>
      </w:r>
    </w:p>
    <w:p>
      <w:pPr>
        <w:pStyle w:val="FirstParagraph"/>
      </w:pPr>
      <w:r>
        <w:t xml:space="preserve">Dato vigente: 45,53 pts (0-100) (2026-06).</w:t>
      </w:r>
    </w:p>
    <w:p>
      <w:pPr>
        <w:pStyle w:val="BodyText"/>
      </w:pPr>
      <w:r>
        <w:t xml:space="preserve">45,53 pts (0-100) cae en el tramo que corresponde a Verde, a 4,47 del corte más cercano.</w:t>
      </w:r>
    </w:p>
    <w:p>
      <w:pPr>
        <w:pStyle w:val="BodyText"/>
      </w:pPr>
      <w:r>
        <w:rPr>
          <w:bCs/>
          <w:b/>
        </w:rPr>
        <w:t xml:space="preserve">Color vigente: VERDE</w:t>
      </w:r>
    </w:p>
    <w:p>
      <w:pPr>
        <w:pStyle w:val="BodyText"/>
      </w:pPr>
      <w:r>
        <w:t xml:space="preserve">Ponderación vigente en el ITCM: 2,6 % efectivo. El color es una lectura adicional — no reemplaza ni cambia esta ponderación.</w:t>
      </w:r>
    </w:p>
    <w:p>
      <w:pPr>
        <w:numPr>
          <w:ilvl w:val="0"/>
          <w:numId w:val="1054"/>
        </w:numPr>
        <w:pStyle w:val="Compact"/>
      </w:pPr>
      <w:r>
        <w:rPr>
          <w:bCs/>
          <w:b/>
        </w:rPr>
        <w:t xml:space="preserve">Participación en otros indicadores.</w:t>
      </w:r>
      <w:r>
        <w:t xml:space="preserve"> </w:t>
      </w:r>
      <w:r>
        <w:t xml:space="preserve">Complementa al IDM, al TCRM y a las reservas sin reemplazarlos: mide presión de cartera, no cantidad de pesos, competitividad externa ni capacidad de intervención.</w:t>
      </w:r>
    </w:p>
    <w:bookmarkEnd w:id="140"/>
    <w:bookmarkStart w:id="141" w:name="transparencia-limitaciones-declaradas-11"/>
    <w:p>
      <w:pPr>
        <w:pStyle w:val="Heading2"/>
        <w:keepNext/>
      </w:pPr>
      <w:r>
        <w:t xml:space="preserve">Transparencia — limitaciones declaradas</w:t>
      </w:r>
    </w:p>
    <w:p>
      <w:pPr>
        <w:numPr>
          <w:ilvl w:val="0"/>
          <w:numId w:val="1055"/>
        </w:numPr>
        <w:pStyle w:val="Compact"/>
      </w:pPr>
      <w:r>
        <w:t xml:space="preserve">La serie cambia de observable en abril de 2025 porque la presión se manifiesta de modo distinto bajo restricciones y bajo acceso abierto al mercado. Los niveles son comparables por la escala común, pero no por la métrica bruta.</w:t>
      </w:r>
    </w:p>
    <w:p>
      <w:pPr>
        <w:numPr>
          <w:ilvl w:val="0"/>
          <w:numId w:val="1055"/>
        </w:numPr>
        <w:pStyle w:val="Compact"/>
      </w:pPr>
      <w:r>
        <w:t xml:space="preserve">La brecha CCL es un proxy de presión mientras existen restricciones y se superpone parcialmente con la señal histórica del cepo cambiario.</w:t>
      </w:r>
    </w:p>
    <w:p>
      <w:pPr>
        <w:numPr>
          <w:ilvl w:val="0"/>
          <w:numId w:val="1055"/>
        </w:numPr>
        <w:pStyle w:val="Compact"/>
      </w:pPr>
      <w:r>
        <w:t xml:space="preserve">Las compras registradas por personas humanas no captan toda la cobertura privada; el complemento con dólar cripto amplía la mirada a un canal no bancarizado, pero sigue sin captar efectivo fuera del sistema, atesoramiento físico ni dolarización corporativa no declarada.</w:t>
      </w:r>
    </w:p>
    <w:p>
      <w:pPr>
        <w:numPr>
          <w:ilvl w:val="0"/>
          <w:numId w:val="1055"/>
        </w:numPr>
        <w:pStyle w:val="Compact"/>
      </w:pPr>
      <w:r>
        <w:t xml:space="preserve">El dólar cripto no tiene un organismo oficial que lo regule ni publique: el precio puede diferir entre plataformas. Se usa como proxy razonable, reproducible y de la misma fuente pública que ya provee el CCL, no como una cotización oficial.</w:t>
      </w:r>
    </w:p>
    <w:p>
      <w:pPr>
        <w:numPr>
          <w:ilvl w:val="0"/>
          <w:numId w:val="1055"/>
        </w:numPr>
        <w:pStyle w:val="Compact"/>
      </w:pPr>
      <w:r>
        <w:t xml:space="preserve">El indicador anterior basado en stocks de depósitos fue sustituido porque el blanqueo mediante Cuentas Especiales de Regularización de Activos (CERA) alteró contemporáneamente la serie y luego produjo efectos de base que podían invertir su lectura.</w:t>
      </w:r>
    </w:p>
    <w:p>
      <w:pPr>
        <w:numPr>
          <w:ilvl w:val="0"/>
          <w:numId w:val="1055"/>
        </w:numPr>
        <w:pStyle w:val="Compact"/>
      </w:pPr>
      <w:r>
        <w:t xml:space="preserve">La historia bajo régimen abierto todavía es corta; las anclas deberán revisarse cuando exista más evidencia posterior al cambio regulatorio.</w:t>
      </w:r>
    </w:p>
    <w:bookmarkEnd w:id="141"/>
    <w:bookmarkStart w:id="142" w:name="X4ff462a9d09394c6f7304e0055101f0f4b71003"/>
    <w:p>
      <w:pPr>
        <w:pStyle w:val="Heading2"/>
        <w:keepNext/>
      </w:pPr>
      <w:r>
        <w:t xml:space="preserve">Si falta el dato / Política de revisiones</w:t>
      </w:r>
    </w:p>
    <w:p>
      <w:pPr>
        <w:numPr>
          <w:ilvl w:val="0"/>
          <w:numId w:val="1056"/>
        </w:numPr>
      </w:pPr>
      <w:r>
        <w:rPr>
          <w:bCs/>
          <w:b/>
        </w:rPr>
        <w:t xml:space="preserve">Si falta el dato:</w:t>
      </w:r>
      <w:r>
        <w:t xml:space="preserve"> </w:t>
      </w:r>
      <w:r>
        <w:t xml:space="preserve">Si falta un mes o un insumo de la ventana, ese punto no se calcula: nunca se imputa cero ni se unen meses no contiguos. La card conserva el último valor válido, señalado como desactualizado; sin dato utilizable, el ITCM renormaliza los componentes disponibles.</w:t>
      </w:r>
    </w:p>
    <w:p>
      <w:pPr>
        <w:numPr>
          <w:ilvl w:val="0"/>
          <w:numId w:val="1056"/>
        </w:numPr>
      </w:pPr>
      <w:r>
        <w:rPr>
          <w:bCs/>
          <w:b/>
        </w:rPr>
        <w:t xml:space="preserve">Política de revisiones:</w:t>
      </w:r>
      <w:r>
        <w:t xml:space="preserve"> </w:t>
      </w:r>
      <w:r>
        <w:t xml:space="preserve">La serie se reconstruye desde diciembre de 2023 con las fuentes vigentes. Las revisiones de la planilla del mercado de cambios se incorporan en la siguiente actualización y se conserva el cambio de régimen de abril de 2025.</w:t>
      </w:r>
    </w:p>
    <w:bookmarkEnd w:id="142"/>
    <w:bookmarkStart w:id="143" w:name="X32af8005611dd896c50146a828f6519660aac81"/>
    <w:p>
      <w:pPr>
        <w:pStyle w:val="Heading2"/>
        <w:keepNext/>
      </w:pPr>
      <w:r>
        <w:t xml:space="preserve">Historial — cambios metodológicos documentados</w:t>
      </w:r>
    </w:p>
    <w:p>
      <w:pPr>
        <w:pStyle w:val="FirstParagraph"/>
      </w:pPr>
      <w:r>
        <w:rPr>
          <w:bCs/>
          <w:b/>
        </w:rPr>
        <w:t xml:space="preserve">2026-07-13</w:t>
      </w:r>
      <w:r>
        <w:t xml:space="preserve"> </w:t>
      </w:r>
      <w:r>
        <w:t xml:space="preserve">— Se incorporó una primera señal basada en stocks de depósitos como cuarto componente de estabilidad monetaria.</w:t>
      </w:r>
    </w:p>
    <w:p>
      <w:pPr>
        <w:pStyle w:val="BodyText"/>
      </w:pPr>
      <w:r>
        <w:rPr>
          <w:bCs/>
          <w:b/>
        </w:rPr>
        <w:t xml:space="preserve">2026-07-14</w:t>
      </w:r>
      <w:r>
        <w:t xml:space="preserve"> </w:t>
      </w:r>
      <w:r>
        <w:t xml:space="preserve">— La señal de stocks fue sustituida por presión de dolarización de carteras sensible al régimen, para evitar las distorsiones contemporáneas y de base del CERA.</w:t>
      </w:r>
    </w:p>
    <w:p>
      <w:pPr>
        <w:pStyle w:val="BodyText"/>
      </w:pPr>
      <w:r>
        <w:rPr>
          <w:bCs/>
          <w:b/>
        </w:rPr>
        <w:t xml:space="preserve">2026-07-15</w:t>
      </w:r>
      <w:r>
        <w:t xml:space="preserve"> </w:t>
      </w:r>
      <w:r>
        <w:t xml:space="preserve">— El régimen abierto sumó un canal informal (brecha del dólar cripto contra el mayorista), combinado 70/30 con el canal formal — hasta ahora la presión del régimen abierto dependía solo de compras bancarizadas.</w:t>
      </w:r>
    </w:p>
    <w:p>
      <w:pPr>
        <w:pStyle w:val="BodyText"/>
      </w:pPr>
      <w:r>
        <w:rPr>
          <w:bCs/>
          <w:b/>
        </w:rPr>
        <w:t xml:space="preserve">2026-07-18</w:t>
      </w:r>
      <w:r>
        <w:t xml:space="preserve"> </w:t>
      </w:r>
      <w:r>
        <w:t xml:space="preserve">— Los dos canales del régimen abierto dejan de promediarse: la presión pasa a ser la mayor de las dos. Son canales sustitutos —cuando el mercado está abierto la demanda se vuelca al bancarizado y la brecha del cripto se desploma— y el promedio apagaba la señal del canal activo.</w:t>
      </w:r>
    </w:p>
    <w:p>
      <w:r>
        <w:br w:type="page"/>
      </w:r>
    </w:p>
    <w:p>
      <w:pPr>
        <w:pStyle w:val="BodyText"/>
      </w:pPr>
      <w:r>
        <w:rPr>
          <w:bCs/>
          <w:b/>
        </w:rPr>
        <w:t xml:space="preserve">CIGOB · INFORME DE COYUNTURA</w:t>
      </w:r>
    </w:p>
    <w:p>
      <w:pPr>
        <w:pStyle w:val="BodyText"/>
      </w:pPr>
      <w:r>
        <w:rPr>
          <w:iCs/>
          <w:i/>
        </w:rPr>
        <w:t xml:space="preserve">Ficha metodológica · Cinturón Macroeconomía · Capa de semáforo (4 colores)</w:t>
      </w:r>
    </w:p>
    <w:bookmarkEnd w:id="143"/>
    <w:bookmarkEnd w:id="144"/>
    <w:bookmarkStart w:id="154" w:name="inversión-física-iai"/>
    <w:p>
      <w:pPr>
        <w:pStyle w:val="Heading1"/>
        <w:keepNext/>
      </w:pPr>
      <w:r>
        <w:t xml:space="preserve">Inversión física (IAI)</w:t>
      </w:r>
    </w:p>
    <w:p>
      <w:pPr>
        <w:pStyle w:val="FirstParagraph"/>
        <w:spacing w:after="160"/>
      </w:pPr>
      <w:r>
        <w:t xml:space="preserve">Índice Anticipador de Inversión: mide la inversión física/tradicional combinando la actividad de la construcción (ISAC) y la importación de bienes de capital, en variación interanual.</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2785"/>
        <w:gridCol w:w="1442"/>
        <w:gridCol w:w="2300"/>
        <w:gridCol w:w="2545"/>
      </w:tblGrid>
      <w:tr>
        <w:trPr>
          <w:cantSplit/>
        </w:trPr>
        <w:tc>
          <w:tcPr>
            <w:tcW w:w="2785" w:type="dxa"/>
          </w:tcPr>
          <w:p>
            <w:pPr>
              <w:pStyle w:val="Compact"/>
              <w:jc w:val="left"/>
            </w:pPr>
            <w:r>
              <w:rPr>
                <w:bCs/>
                <w:b/>
                <w:sz w:val="18"/>
              </w:rPr>
              <w:t xml:space="preserve">Hoy: −0,18 % i.a. ponderado</w:t>
            </w:r>
            <w:r>
              <w:rPr>
                <w:sz w:val="18"/>
              </w:rPr>
              <w:t xml:space="preserve"> </w:t>
            </w:r>
            <w:r>
              <w:rPr>
                <w:sz w:val="18"/>
              </w:rPr>
              <w:t xml:space="preserve">(2026-06)</w:t>
            </w:r>
          </w:p>
        </w:tc>
        <w:tc>
          <w:tcPr>
            <w:tcW w:w="1442" w:type="dxa"/>
            <w:shd w:val="clear" w:color="auto" w:fill="FEF3C7"/>
          </w:tcPr>
          <w:p>
            <w:pPr>
              <w:pStyle w:val="Compact"/>
              <w:jc w:val="center"/>
            </w:pPr>
            <w:r>
              <w:rPr>
                <w:bCs/>
                <w:b/>
                <w:sz w:val="18"/>
                <w:color w:val="713F12"/>
              </w:rPr>
              <w:t xml:space="preserve">AMARILLO</w:t>
            </w:r>
          </w:p>
        </w:tc>
        <w:tc>
          <w:tcPr>
            <w:tcW w:w="2300" w:type="dxa"/>
          </w:tcPr>
          <w:p>
            <w:pPr>
              <w:pStyle w:val="Compact"/>
              <w:jc w:val="left"/>
            </w:pPr>
            <w:r>
              <w:rPr>
                <w:sz w:val="18"/>
              </w:rPr>
              <w:t xml:space="preserve">Peso efectivo 7,2 % del ITCM</w:t>
            </w:r>
          </w:p>
        </w:tc>
        <w:tc>
          <w:tcPr>
            <w:tcW w:w="2545" w:type="dxa"/>
          </w:tcPr>
          <w:p>
            <w:pPr>
              <w:pStyle w:val="Compact"/>
              <w:jc w:val="left"/>
            </w:pPr>
            <w:r>
              <w:rPr>
                <w:sz w:val="18"/>
              </w:rPr>
              <w:t xml:space="preserve">Cinturón Macroeconomía</w:t>
            </w:r>
          </w:p>
        </w:tc>
      </w:tr>
    </w:tbl>
    <w:bookmarkStart w:id="145" w:name="identificación-12"/>
    <w:p>
      <w:pPr>
        <w:pStyle w:val="Heading2"/>
        <w:keepNext/>
        <w:spacing w:after="160"/>
      </w:pPr>
      <w:r>
        <w:t xml:space="preserve">Identificación</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1821"/>
        <w:gridCol w:w="2692"/>
        <w:gridCol w:w="1835"/>
        <w:gridCol w:w="2724"/>
      </w:tblGrid>
      <w:tr>
        <w:trPr>
          <w:cantSplit/>
        </w:trPr>
        <w:tc>
          <w:tcPr>
            <w:tcW w:w="1821" w:type="dxa"/>
          </w:tcPr>
          <w:p>
            <w:pPr>
              <w:pStyle w:val="Compact"/>
              <w:jc w:val="left"/>
            </w:pPr>
            <w:r>
              <w:rPr>
                <w:bCs/>
                <w:b/>
                <w:sz w:val="18"/>
              </w:rPr>
              <w:t xml:space="preserve">IDENTIFICADOR TÉCNICO</w:t>
            </w:r>
          </w:p>
        </w:tc>
        <w:tc>
          <w:tcPr>
            <w:tcW w:w="2692" w:type="dxa"/>
          </w:tcPr>
          <w:p>
            <w:pPr>
              <w:pStyle w:val="Compact"/>
              <w:jc w:val="left"/>
            </w:pPr>
            <w:r>
              <w:rPr>
                <w:sz w:val="18"/>
              </w:rPr>
              <w:t xml:space="preserve">iai</w:t>
            </w:r>
          </w:p>
        </w:tc>
        <w:tc>
          <w:tcPr>
            <w:tcW w:w="1835" w:type="dxa"/>
          </w:tcPr>
          <w:p>
            <w:pPr>
              <w:pStyle w:val="Compact"/>
              <w:jc w:val="left"/>
            </w:pPr>
            <w:r>
              <w:rPr>
                <w:bCs/>
                <w:b/>
                <w:sz w:val="18"/>
              </w:rPr>
              <w:t xml:space="preserve">CINTURÓN</w:t>
            </w:r>
          </w:p>
        </w:tc>
        <w:tc>
          <w:tcPr>
            <w:tcW w:w="2724" w:type="dxa"/>
          </w:tcPr>
          <w:p>
            <w:pPr>
              <w:pStyle w:val="Compact"/>
              <w:jc w:val="left"/>
            </w:pPr>
            <w:r>
              <w:rPr>
                <w:sz w:val="18"/>
              </w:rPr>
              <w:t xml:space="preserve">Macroeconomía</w:t>
            </w:r>
          </w:p>
        </w:tc>
      </w:tr>
      <w:tr>
        <w:trPr>
          <w:cantSplit/>
        </w:trPr>
        <w:tc>
          <w:tcPr>
            <w:tcW w:w="1821" w:type="dxa"/>
          </w:tcPr>
          <w:p>
            <w:pPr>
              <w:pStyle w:val="Compact"/>
              <w:jc w:val="left"/>
            </w:pPr>
            <w:r>
              <w:rPr>
                <w:bCs/>
                <w:b/>
                <w:sz w:val="18"/>
              </w:rPr>
              <w:t xml:space="preserve">DIMENSIÓN EN EL ITCM</w:t>
            </w:r>
          </w:p>
        </w:tc>
        <w:tc>
          <w:tcPr>
            <w:tcW w:w="2692" w:type="dxa"/>
          </w:tcPr>
          <w:p>
            <w:pPr>
              <w:pStyle w:val="Compact"/>
              <w:jc w:val="left"/>
            </w:pPr>
            <w:r>
              <w:rPr>
                <w:sz w:val="18"/>
              </w:rPr>
              <w:t xml:space="preserve">Inversión</w:t>
            </w:r>
          </w:p>
        </w:tc>
        <w:tc>
          <w:tcPr>
            <w:tcW w:w="1835" w:type="dxa"/>
          </w:tcPr>
          <w:p>
            <w:pPr>
              <w:pStyle w:val="Compact"/>
              <w:jc w:val="left"/>
            </w:pPr>
            <w:r>
              <w:rPr>
                <w:bCs/>
                <w:b/>
                <w:sz w:val="18"/>
              </w:rPr>
              <w:t xml:space="preserve">UNIDAD DE MEDIDA</w:t>
            </w:r>
          </w:p>
        </w:tc>
        <w:tc>
          <w:tcPr>
            <w:tcW w:w="2724" w:type="dxa"/>
          </w:tcPr>
          <w:p>
            <w:pPr>
              <w:pStyle w:val="Compact"/>
              <w:jc w:val="left"/>
            </w:pPr>
            <w:r>
              <w:rPr>
                <w:sz w:val="18"/>
              </w:rPr>
              <w:t xml:space="preserve">% i.a. ponderado</w:t>
            </w:r>
          </w:p>
        </w:tc>
      </w:tr>
      <w:tr>
        <w:trPr>
          <w:cantSplit/>
        </w:trPr>
        <w:tc>
          <w:tcPr>
            <w:tcW w:w="1821" w:type="dxa"/>
          </w:tcPr>
          <w:p>
            <w:pPr>
              <w:pStyle w:val="Compact"/>
              <w:jc w:val="left"/>
            </w:pPr>
            <w:r>
              <w:rPr>
                <w:bCs/>
                <w:b/>
                <w:sz w:val="18"/>
              </w:rPr>
              <w:t xml:space="preserve">SERIE DISPONIBLE</w:t>
            </w:r>
          </w:p>
        </w:tc>
        <w:tc>
          <w:tcPr>
            <w:tcW w:w="2692" w:type="dxa"/>
          </w:tcPr>
          <w:p>
            <w:pPr>
              <w:pStyle w:val="Compact"/>
              <w:jc w:val="left"/>
            </w:pPr>
            <w:r>
              <w:rPr>
                <w:sz w:val="18"/>
              </w:rPr>
              <w:t xml:space="preserve">2023-10 → 2026-06 (33 puntos)</w:t>
            </w:r>
          </w:p>
        </w:tc>
        <w:tc>
          <w:tcPr>
            <w:tcW w:w="1835" w:type="dxa"/>
          </w:tcPr>
          <w:p>
            <w:pPr>
              <w:pStyle w:val="Compact"/>
              <w:jc w:val="left"/>
            </w:pPr>
            <w:r>
              <w:rPr>
                <w:bCs/>
                <w:b/>
                <w:sz w:val="18"/>
              </w:rPr>
              <w:t xml:space="preserve">REZAGO DE PUBLICACIÓN</w:t>
            </w:r>
          </w:p>
        </w:tc>
        <w:tc>
          <w:tcPr>
            <w:tcW w:w="2724" w:type="dxa"/>
          </w:tcPr>
          <w:p>
            <w:pPr>
              <w:pStyle w:val="Compact"/>
              <w:jc w:val="left"/>
            </w:pPr>
            <w:r>
              <w:rPr>
                <w:sz w:val="18"/>
              </w:rPr>
              <w:t xml:space="preserve">El titular se calcula al último mes común de la construcción (ISAC) y los bienes de capital importados (~2 meses y medio); el componente más fresco se muestra como provisorio sin puntuar.</w:t>
            </w:r>
          </w:p>
        </w:tc>
      </w:tr>
      <w:tr>
        <w:trPr>
          <w:cantSplit/>
        </w:trPr>
        <w:tc>
          <w:tcPr>
            <w:tcW w:w="1821" w:type="dxa"/>
          </w:tcPr>
          <w:p>
            <w:pPr>
              <w:pStyle w:val="Compact"/>
              <w:jc w:val="left"/>
            </w:pPr>
            <w:r>
              <w:rPr>
                <w:bCs/>
                <w:b/>
                <w:sz w:val="18"/>
              </w:rPr>
              <w:t xml:space="preserve">PRODUCTOR DEL DATO</w:t>
            </w:r>
          </w:p>
        </w:tc>
        <w:tc>
          <w:tcPr>
            <w:tcW w:w="2692" w:type="dxa"/>
          </w:tcPr>
          <w:p>
            <w:pPr>
              <w:pStyle w:val="Compact"/>
              <w:jc w:val="left"/>
            </w:pPr>
            <w:r>
              <w:rPr>
                <w:sz w:val="18"/>
              </w:rPr>
              <w:t xml:space="preserve">INDEC (construcción y bienes de capital) + DNRPA (patentamientos comerciales, en acumulación)</w:t>
            </w:r>
          </w:p>
        </w:tc>
        <w:tc>
          <w:tcPr>
            <w:tcW w:w="1835" w:type="dxa"/>
          </w:tcPr>
          <w:p>
            <w:pPr>
              <w:pStyle w:val="Compact"/>
              <w:jc w:val="left"/>
            </w:pPr>
            <w:r>
              <w:rPr>
                <w:bCs/>
                <w:b/>
                <w:sz w:val="18"/>
              </w:rPr>
              <w:t xml:space="preserve">OPERACIÓN ESTADÍSTICA</w:t>
            </w:r>
          </w:p>
        </w:tc>
        <w:tc>
          <w:tcPr>
            <w:tcW w:w="2724" w:type="dxa"/>
          </w:tcPr>
          <w:p>
            <w:pPr>
              <w:pStyle w:val="Compact"/>
              <w:jc w:val="left"/>
            </w:pPr>
            <w:r>
              <w:rPr>
                <w:sz w:val="18"/>
              </w:rPr>
              <w:t xml:space="preserve">ISAC nivel general (serie original) + importaciones de bienes de capital del ICA + inscripciones iniciales de vehículos comerciales</w:t>
            </w:r>
          </w:p>
        </w:tc>
      </w:tr>
      <w:tr>
        <w:trPr>
          <w:cantSplit/>
        </w:trPr>
        <w:tc>
          <w:tcPr>
            <w:tcW w:w="1821" w:type="dxa"/>
          </w:tcPr>
          <w:p>
            <w:pPr>
              <w:pStyle w:val="Compact"/>
              <w:jc w:val="left"/>
            </w:pPr>
            <w:r>
              <w:rPr>
                <w:bCs/>
                <w:b/>
                <w:sz w:val="18"/>
              </w:rPr>
              <w:t xml:space="preserve">MODO DE ACCESO</w:t>
            </w:r>
          </w:p>
        </w:tc>
        <w:tc>
          <w:tcPr>
            <w:tcW w:w="2692" w:type="dxa"/>
          </w:tcPr>
          <w:p>
            <w:pPr>
              <w:pStyle w:val="Compact"/>
              <w:jc w:val="left"/>
            </w:pPr>
            <w:r>
              <w:rPr>
                <w:sz w:val="18"/>
              </w:rPr>
              <w:t xml:space="preserve">Automático: API de series de datos.gob.ar; los patentamientos comerciales se acumulan mes a mes desde el portal de datos de justicia (la fuente solo publica el mes corriente).</w:t>
            </w:r>
          </w:p>
        </w:tc>
        <w:tc>
          <w:tcPr>
            <w:tcW w:w="1835" w:type="dxa"/>
          </w:tcPr>
          <w:p>
            <w:pPr>
              <w:pStyle w:val="Compact"/>
              <w:jc w:val="left"/>
            </w:pPr>
            <w:r>
              <w:rPr>
                <w:bCs/>
                <w:b/>
                <w:sz w:val="18"/>
              </w:rPr>
              <w:t xml:space="preserve">ÚLTIMA ACTUALIZACIÓN</w:t>
            </w:r>
          </w:p>
        </w:tc>
        <w:tc>
          <w:tcPr>
            <w:tcW w:w="2724" w:type="dxa"/>
          </w:tcPr>
          <w:p>
            <w:pPr>
              <w:pStyle w:val="Compact"/>
              <w:jc w:val="left"/>
            </w:pPr>
            <w:r>
              <w:rPr>
                <w:sz w:val="18"/>
              </w:rPr>
              <w:t xml:space="preserve">Dato a 2026-06 · informe generado el 2026-08-09</w:t>
            </w:r>
          </w:p>
        </w:tc>
      </w:tr>
    </w:tbl>
    <w:bookmarkEnd w:id="145"/>
    <w:bookmarkStart w:id="146" w:name="definición-qué-mide-y-por-qué-importa-12"/>
    <w:p>
      <w:pPr>
        <w:pStyle w:val="Heading2"/>
        <w:keepNext/>
      </w:pPr>
      <w:r>
        <w:t xml:space="preserve">Definición — qué mide y por qué importa</w:t>
      </w:r>
    </w:p>
    <w:p>
      <w:pPr>
        <w:pStyle w:val="FirstParagraph"/>
      </w:pPr>
      <w:r>
        <w:t xml:space="preserve">Índice Anticipador de Inversión: mide la inversión física/tradicional combinando la actividad de la construcción (ISAC) y la importación de bienes de capital, en variación interanual.</w:t>
      </w:r>
    </w:p>
    <w:p>
      <w:pPr>
        <w:pStyle w:val="BodyText"/>
      </w:pPr>
      <w:r>
        <w:t xml:space="preserve">Anticipa si el país amplía su capacidad productiva (máquinas, obra, equipo) o se descapitaliza. Mayor = la inversión se expande por encima de la reposición; negativo = se consume más stock de capital del que se genera. Se construye con datos del INDEC (ISAC + ICA bienes de capital).</w:t>
      </w:r>
    </w:p>
    <w:p>
      <w:pPr>
        <w:pStyle w:val="BodyText"/>
      </w:pPr>
      <w:r>
        <w:rPr>
          <w:bCs/>
          <w:b/>
        </w:rPr>
        <w:t xml:space="preserve">Dimensión que integra — Inversión.</w:t>
      </w:r>
      <w:r>
        <w:t xml:space="preserve"> </w:t>
      </w:r>
      <w:r>
        <w:t xml:space="preserve">Si alguien está apostando al futuro: inversión física (construcción, bienes de capital) y capitalización digital e intangible.</w:t>
      </w:r>
    </w:p>
    <w:bookmarkEnd w:id="146"/>
    <w:bookmarkStart w:id="147" w:name="método-de-cómputo-12"/>
    <w:p>
      <w:pPr>
        <w:pStyle w:val="Heading2"/>
        <w:keepNext/>
      </w:pPr>
      <w:r>
        <w:t xml:space="preserve">Método de cómputo</w:t>
      </w:r>
    </w:p>
    <w:p>
      <w:pPr>
        <w:numPr>
          <w:ilvl w:val="0"/>
          <w:numId w:val="1057"/>
        </w:numPr>
        <w:pStyle w:val="Compact"/>
      </w:pPr>
      <w:r>
        <w:t xml:space="preserve">Variación interanual de cada componente al mes común.</w:t>
      </w:r>
    </w:p>
    <w:p>
      <w:pPr>
        <w:numPr>
          <w:ilvl w:val="0"/>
          <w:numId w:val="1057"/>
        </w:numPr>
        <w:pStyle w:val="Compact"/>
      </w:pPr>
      <w:r>
        <w:t xml:space="preserve">Promedio ponderado de construcción y bienes de capital. La composición está prevista para cambiar sola: cuando los patentamientos de vehículos comerciales acumulen trece meses de historia propia entran como tercer componente y los dos actuales ceden peso. Los porcentajes vigentes se leen en la tabla de composición, que se recalcula con cada actualización.</w:t>
      </w:r>
    </w:p>
    <w:bookmarkEnd w:id="147"/>
    <w:bookmarkStart w:id="148" w:name="Xc4b49c3d9969b89bf56c0c7c0dc3d292940a05d"/>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spacing w:after="160"/>
      </w:pPr>
      <w:r>
        <w:rPr>
          <w:bCs/>
          <w:b/>
        </w:rPr>
        <w:t xml:space="preserve">Valores que definen cada color</w:t>
      </w:r>
    </w:p>
    <w:tbl>
      <w:tblPr>
        <w:tblStyle w:val="Table"/>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5244"/>
        <w:gridCol w:w="3828"/>
      </w:tblGrid>
      <w:tr>
        <w:trPr>
          <w:cantSplit/>
          <w:tblHeader/>
        </w:trPr>
        <w:tc>
          <w:tcPr>
            <w:tcW w:w="5244" w:type="dxa"/>
            <w:shd w:val="clear" w:color="auto" w:fill="1F3A34"/>
          </w:tcPr>
          <w:p>
            <w:pPr>
              <w:pStyle w:val="Compact"/>
              <w:jc w:val="left"/>
            </w:pPr>
            <w:r>
              <w:rPr>
                <w:b/>
                <w:sz w:val="18"/>
                <w:color w:val="FFFFFF"/>
              </w:rPr>
              <w:t xml:space="preserve">Rango (% i.a. ponderado)</w:t>
            </w:r>
          </w:p>
        </w:tc>
        <w:tc>
          <w:tcPr>
            <w:tcW w:w="3828" w:type="dxa"/>
            <w:shd w:val="clear" w:color="auto" w:fill="1F3A34"/>
          </w:tcPr>
          <w:p>
            <w:pPr>
              <w:pStyle w:val="Compact"/>
              <w:jc w:val="left"/>
            </w:pPr>
            <w:r>
              <w:rPr>
                <w:b/>
                <w:sz w:val="18"/>
                <w:color w:val="FFFFFF"/>
              </w:rPr>
              <w:t xml:space="preserve">Color</w:t>
            </w:r>
          </w:p>
        </w:tc>
      </w:tr>
      <w:tr>
        <w:trPr>
          <w:cantSplit/>
        </w:trPr>
        <w:tc>
          <w:tcPr>
            <w:tcW w:w="5244" w:type="dxa"/>
          </w:tcPr>
          <w:p>
            <w:pPr>
              <w:pStyle w:val="Compact"/>
              <w:jc w:val="left"/>
            </w:pPr>
            <w:r>
              <w:rPr>
                <w:sz w:val="18"/>
              </w:rPr>
              <w:t xml:space="preserve">≥ 0</w:t>
            </w:r>
          </w:p>
        </w:tc>
        <w:tc>
          <w:tcPr>
            <w:tcW w:w="3828" w:type="dxa"/>
            <w:shd w:val="clear" w:color="auto" w:fill="DCFCE7"/>
          </w:tcPr>
          <w:p>
            <w:pPr>
              <w:pStyle w:val="Compact"/>
              <w:jc w:val="center"/>
            </w:pPr>
            <w:r>
              <w:rPr>
                <w:b/>
                <w:sz w:val="18"/>
                <w:color w:val="14532D"/>
              </w:rPr>
              <w:t xml:space="preserve">VERDE</w:t>
            </w:r>
          </w:p>
        </w:tc>
      </w:tr>
      <w:tr>
        <w:trPr>
          <w:cantSplit/>
        </w:trPr>
        <w:tc>
          <w:tcPr>
            <w:tcW w:w="5244" w:type="dxa"/>
            <w:shd w:val="clear" w:color="auto" w:fill="F6F8F7"/>
          </w:tcPr>
          <w:p>
            <w:pPr>
              <w:pStyle w:val="Compact"/>
              <w:jc w:val="left"/>
            </w:pPr>
            <w:r>
              <w:rPr>
                <w:sz w:val="18"/>
              </w:rPr>
              <w:t xml:space="preserve">−4,8 – 0</w:t>
            </w:r>
          </w:p>
        </w:tc>
        <w:tc>
          <w:tcPr>
            <w:tcW w:w="3828" w:type="dxa"/>
            <w:shd w:val="clear" w:color="auto" w:fill="FEF3C7"/>
          </w:tcPr>
          <w:p>
            <w:pPr>
              <w:pStyle w:val="Compact"/>
              <w:jc w:val="center"/>
            </w:pPr>
            <w:r>
              <w:rPr>
                <w:b/>
                <w:sz w:val="18"/>
                <w:color w:val="713F12"/>
              </w:rPr>
              <w:t xml:space="preserve">AMARILLO</w:t>
            </w:r>
          </w:p>
        </w:tc>
      </w:tr>
      <w:tr>
        <w:trPr>
          <w:cantSplit/>
        </w:trPr>
        <w:tc>
          <w:tcPr>
            <w:tcW w:w="5244" w:type="dxa"/>
          </w:tcPr>
          <w:p>
            <w:pPr>
              <w:pStyle w:val="Compact"/>
              <w:jc w:val="left"/>
            </w:pPr>
            <w:r>
              <w:rPr>
                <w:sz w:val="18"/>
              </w:rPr>
              <w:t xml:space="preserve">−8,4 – −4,8</w:t>
            </w:r>
          </w:p>
        </w:tc>
        <w:tc>
          <w:tcPr>
            <w:tcW w:w="3828" w:type="dxa"/>
            <w:shd w:val="clear" w:color="auto" w:fill="FFEDD5"/>
          </w:tcPr>
          <w:p>
            <w:pPr>
              <w:pStyle w:val="Compact"/>
              <w:jc w:val="center"/>
            </w:pPr>
            <w:r>
              <w:rPr>
                <w:b/>
                <w:sz w:val="18"/>
                <w:color w:val="7C2D12"/>
              </w:rPr>
              <w:t xml:space="preserve">NARANJA</w:t>
            </w:r>
          </w:p>
        </w:tc>
      </w:tr>
      <w:tr>
        <w:trPr>
          <w:cantSplit/>
        </w:trPr>
        <w:tc>
          <w:tcPr>
            <w:tcW w:w="5244" w:type="dxa"/>
            <w:shd w:val="clear" w:color="auto" w:fill="F6F8F7"/>
          </w:tcPr>
          <w:p>
            <w:pPr>
              <w:pStyle w:val="Compact"/>
              <w:jc w:val="left"/>
            </w:pPr>
            <w:r>
              <w:rPr>
                <w:sz w:val="18"/>
              </w:rPr>
              <w:t xml:space="preserve">≤ −8,4</w:t>
            </w:r>
          </w:p>
        </w:tc>
        <w:tc>
          <w:tcPr>
            <w:tcW w:w="3828" w:type="dxa"/>
            <w:shd w:val="clear" w:color="auto" w:fill="FEE2E2"/>
          </w:tcPr>
          <w:p>
            <w:pPr>
              <w:pStyle w:val="Compact"/>
              <w:jc w:val="center"/>
            </w:pPr>
            <w:r>
              <w:rPr>
                <w:b/>
                <w:sz w:val="18"/>
                <w:color w:val="7F1D1D"/>
              </w:rPr>
              <w:t xml:space="preserve">ROJO</w:t>
            </w:r>
          </w:p>
        </w:tc>
      </w:tr>
    </w:tbl>
    <w:bookmarkEnd w:id="148"/>
    <w:bookmarkStart w:id="149" w:name="datos-concretos-detrás-del-valor-12"/>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58"/>
        </w:numPr>
        <w:pStyle w:val="Compact"/>
      </w:pPr>
      <w:r>
        <w:t xml:space="preserve">-0.2 % i.a. = ISAC +4.0% · BK importados -8.0% (mes común: 2026-06)</w:t>
      </w:r>
    </w:p>
    <w:bookmarkEnd w:id="149"/>
    <w:bookmarkStart w:id="150" w:name="color-vigente-y-por-qué-12"/>
    <w:p>
      <w:pPr>
        <w:pStyle w:val="Heading2"/>
        <w:keepNext/>
      </w:pPr>
      <w:r>
        <w:t xml:space="preserve">Color vigente y por qué</w:t>
      </w:r>
    </w:p>
    <w:p>
      <w:pPr>
        <w:pStyle w:val="FirstParagraph"/>
      </w:pPr>
      <w:r>
        <w:t xml:space="preserve">Dato vigente: −0,18 % i.a. ponderado (2026-06).</w:t>
      </w:r>
    </w:p>
    <w:p>
      <w:pPr>
        <w:pStyle w:val="BodyText"/>
      </w:pPr>
      <w:r>
        <w:t xml:space="preserve">−0,18 % i.a. ponderado cae en el tramo que corresponde a Amarillo, a 0,18 del corte más cercano.</w:t>
      </w:r>
    </w:p>
    <w:p>
      <w:pPr>
        <w:pStyle w:val="BodyText"/>
      </w:pPr>
      <w:r>
        <w:rPr>
          <w:bCs/>
          <w:b/>
        </w:rPr>
        <w:t xml:space="preserve">Color vigente: AMARILLO</w:t>
      </w:r>
    </w:p>
    <w:p>
      <w:pPr>
        <w:pStyle w:val="BodyText"/>
      </w:pPr>
      <w:r>
        <w:t xml:space="preserve">Ponderación vigente en el ITCM: 7,2 % efectivo. El color es una lectura adicional — no reemplaza ni cambia esta ponderación.</w:t>
      </w:r>
    </w:p>
    <w:p>
      <w:pPr>
        <w:numPr>
          <w:ilvl w:val="0"/>
          <w:numId w:val="1059"/>
        </w:numPr>
        <w:pStyle w:val="Compact"/>
      </w:pPr>
      <w:r>
        <w:rPr>
          <w:bCs/>
          <w:b/>
        </w:rPr>
        <w:t xml:space="preserve">Participación en otros indicadores.</w:t>
      </w:r>
      <w:r>
        <w:t xml:space="preserve"> </w:t>
      </w:r>
      <w:r>
        <w:t xml:space="preserve">La operación ISAC también alimenta (en su variante desestacionalizada) un componente del ITVC de vida cotidiana; los bienes de capital son una subserie del ICA que alimenta el saldo comercial.</w:t>
      </w:r>
    </w:p>
    <w:bookmarkEnd w:id="150"/>
    <w:bookmarkStart w:id="151" w:name="transparencia-limitaciones-declaradas-12"/>
    <w:p>
      <w:pPr>
        <w:pStyle w:val="Heading2"/>
        <w:keepNext/>
      </w:pPr>
      <w:r>
        <w:t xml:space="preserve">Transparencia — limitaciones declaradas</w:t>
      </w:r>
    </w:p>
    <w:p>
      <w:pPr>
        <w:numPr>
          <w:ilvl w:val="0"/>
          <w:numId w:val="1060"/>
        </w:numPr>
        <w:pStyle w:val="Compact"/>
      </w:pPr>
      <w:r>
        <w:t xml:space="preserve">Los bienes de capital se miden en dólares corrientes e incluyen el efecto de los precios internacionales: el índice de cantidades oficial es solo trimestral.</w:t>
      </w:r>
    </w:p>
    <w:p>
      <w:pPr>
        <w:numPr>
          <w:ilvl w:val="0"/>
          <w:numId w:val="1060"/>
        </w:numPr>
        <w:pStyle w:val="Compact"/>
      </w:pPr>
      <w:r>
        <w:t xml:space="preserve">El tercer componente (patentamientos comerciales) no tiene serie histórica pública: se acumula desde mediados de 2026 y recién tendrá comparación interanual a mediados de 2027.</w:t>
      </w:r>
    </w:p>
    <w:p>
      <w:pPr>
        <w:numPr>
          <w:ilvl w:val="0"/>
          <w:numId w:val="1060"/>
        </w:numPr>
        <w:pStyle w:val="Compact"/>
      </w:pPr>
      <w:r>
        <w:t xml:space="preserve">Las bandas anchas son calibración propia declarada: el umbral fino del documento no sobrevivía a la volatilidad del dato argentino reciente.</w:t>
      </w:r>
    </w:p>
    <w:bookmarkEnd w:id="151"/>
    <w:bookmarkStart w:id="152" w:name="Xef80c7ba60ac922c16c234403633099d6fa1a96"/>
    <w:p>
      <w:pPr>
        <w:pStyle w:val="Heading2"/>
        <w:keepNext/>
      </w:pPr>
      <w:r>
        <w:t xml:space="preserve">Si falta el dato / Política de revisiones</w:t>
      </w:r>
    </w:p>
    <w:p>
      <w:pPr>
        <w:numPr>
          <w:ilvl w:val="0"/>
          <w:numId w:val="1061"/>
        </w:numPr>
      </w:pPr>
      <w:r>
        <w:rPr>
          <w:bCs/>
          <w:b/>
        </w:rPr>
        <w:t xml:space="preserve">Si falta el dato:</w:t>
      </w:r>
      <w:r>
        <w:t xml:space="preserve"> </w:t>
      </w:r>
      <w:r>
        <w:t xml:space="preserve">Sin patentamientos, la composición renormaliza a 65/35 (situación actual); sin mes común de las otras dos fuentes, se mantiene el último valor disponible señalado como desactualizado y la dimensión se renormaliza.</w:t>
      </w:r>
    </w:p>
    <w:p>
      <w:pPr>
        <w:numPr>
          <w:ilvl w:val="0"/>
          <w:numId w:val="1061"/>
        </w:numPr>
      </w:pPr>
      <w:r>
        <w:rPr>
          <w:bCs/>
          <w:b/>
        </w:rPr>
        <w:t xml:space="preserve">Política de revisiones:</w:t>
      </w:r>
      <w:r>
        <w:t xml:space="preserve"> </w:t>
      </w:r>
      <w:r>
        <w:t xml:space="preserve">El titular se calcula sobre un panel alineado por mes común y no se revisa; las revisiones de las fuentes se absorben al regenerar las series.</w:t>
      </w:r>
    </w:p>
    <w:bookmarkEnd w:id="152"/>
    <w:bookmarkStart w:id="153" w:name="X95a58e26bcd11004daa5592872527917495b2ed"/>
    <w:p>
      <w:pPr>
        <w:pStyle w:val="Heading2"/>
        <w:keepNext/>
      </w:pPr>
      <w:r>
        <w:t xml:space="preserve">Historial — cambios metodológicos documentados</w:t>
      </w:r>
    </w:p>
    <w:p>
      <w:pPr>
        <w:pStyle w:val="FirstParagraph"/>
      </w:pPr>
      <w:r>
        <w:rPr>
          <w:bCs/>
          <w:b/>
        </w:rPr>
        <w:t xml:space="preserve">2026-06-30</w:t>
      </w:r>
      <w:r>
        <w:t xml:space="preserve"> </w:t>
      </w:r>
      <w:r>
        <w:t xml:space="preserve">— Nace y entra al índice como parte de la sexta dimensión (inversión, 12%), sin el componente de patentamientos por falta de historia.</w:t>
      </w:r>
    </w:p>
    <w:p>
      <w:pPr>
        <w:pStyle w:val="BodyText"/>
      </w:pPr>
      <w:r>
        <w:rPr>
          <w:bCs/>
          <w:b/>
        </w:rPr>
        <w:t xml:space="preserve">2026-07-03</w:t>
      </w:r>
      <w:r>
        <w:t xml:space="preserve"> </w:t>
      </w:r>
      <w:r>
        <w:t xml:space="preserve">— Puntaje interpolado entre anclas.</w:t>
      </w:r>
    </w:p>
    <w:p>
      <w:pPr>
        <w:pStyle w:val="BodyText"/>
      </w:pPr>
      <w:r>
        <w:rPr>
          <w:bCs/>
          <w:b/>
        </w:rPr>
        <w:t xml:space="preserve">2026-07-04</w:t>
      </w:r>
      <w:r>
        <w:t xml:space="preserve"> </w:t>
      </w:r>
      <w:r>
        <w:t xml:space="preserve">— El titular pasa al último mes común de las fuentes (antes podía mezclar meses distintos bajo una sola etiqueta); el componente fresco queda como provisorio.</w:t>
      </w:r>
    </w:p>
    <w:p>
      <w:r>
        <w:br w:type="page"/>
      </w:r>
    </w:p>
    <w:p>
      <w:pPr>
        <w:pStyle w:val="BodyText"/>
      </w:pPr>
      <w:r>
        <w:rPr>
          <w:bCs/>
          <w:b/>
        </w:rPr>
        <w:t xml:space="preserve">CIGOB · INFORME DE COYUNTURA</w:t>
      </w:r>
    </w:p>
    <w:p>
      <w:pPr>
        <w:pStyle w:val="BodyText"/>
      </w:pPr>
      <w:r>
        <w:rPr>
          <w:iCs/>
          <w:i/>
        </w:rPr>
        <w:t xml:space="preserve">Ficha metodológica · Cinturón Macroeconomía · Capa de semáforo (4 colores)</w:t>
      </w:r>
    </w:p>
    <w:bookmarkEnd w:id="153"/>
    <w:bookmarkEnd w:id="154"/>
    <w:bookmarkStart w:id="164" w:name="capitalización-digital-icip"/>
    <w:p>
      <w:pPr>
        <w:pStyle w:val="Heading1"/>
        <w:keepNext/>
      </w:pPr>
      <w:r>
        <w:t xml:space="preserve">Capitalización digital (ICIP)</w:t>
      </w:r>
    </w:p>
    <w:p>
      <w:pPr>
        <w:pStyle w:val="FirstParagraph"/>
        <w:spacing w:after="160"/>
      </w:pPr>
      <w:r>
        <w:t xml:space="preserve">Índice de Capitalización Inteligente y Productividad: mide la inversión digital/intangible —pagos al exterior por servicios de informática (software, nube, IA) y productividad laboral (IPI/empleo)— en variación interanual.</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2883"/>
        <w:gridCol w:w="1150"/>
        <w:gridCol w:w="2409"/>
        <w:gridCol w:w="2630"/>
      </w:tblGrid>
      <w:tr>
        <w:trPr>
          <w:cantSplit/>
        </w:trPr>
        <w:tc>
          <w:tcPr>
            <w:tcW w:w="2883" w:type="dxa"/>
          </w:tcPr>
          <w:p>
            <w:pPr>
              <w:pStyle w:val="Compact"/>
              <w:jc w:val="left"/>
            </w:pPr>
            <w:r>
              <w:rPr>
                <w:bCs/>
                <w:b/>
                <w:sz w:val="18"/>
              </w:rPr>
              <w:t xml:space="preserve">Hoy: 8,36 % i.a. ponderado</w:t>
            </w:r>
            <w:r>
              <w:rPr>
                <w:sz w:val="18"/>
              </w:rPr>
              <w:t xml:space="preserve"> </w:t>
            </w:r>
            <w:r>
              <w:rPr>
                <w:sz w:val="18"/>
              </w:rPr>
              <w:t xml:space="preserve">(2026-04)</w:t>
            </w:r>
          </w:p>
        </w:tc>
        <w:tc>
          <w:tcPr>
            <w:tcW w:w="1150" w:type="dxa"/>
            <w:shd w:val="clear" w:color="auto" w:fill="DCFCE7"/>
          </w:tcPr>
          <w:p>
            <w:pPr>
              <w:pStyle w:val="Compact"/>
              <w:jc w:val="center"/>
            </w:pPr>
            <w:r>
              <w:rPr>
                <w:bCs/>
                <w:b/>
                <w:sz w:val="18"/>
                <w:color w:val="14532D"/>
              </w:rPr>
              <w:t xml:space="preserve">VERDE</w:t>
            </w:r>
          </w:p>
        </w:tc>
        <w:tc>
          <w:tcPr>
            <w:tcW w:w="2409" w:type="dxa"/>
          </w:tcPr>
          <w:p>
            <w:pPr>
              <w:pStyle w:val="Compact"/>
              <w:jc w:val="left"/>
            </w:pPr>
            <w:r>
              <w:rPr>
                <w:sz w:val="18"/>
              </w:rPr>
              <w:t xml:space="preserve">Peso efectivo 4,8 % del ITCM</w:t>
            </w:r>
          </w:p>
        </w:tc>
        <w:tc>
          <w:tcPr>
            <w:tcW w:w="2630" w:type="dxa"/>
          </w:tcPr>
          <w:p>
            <w:pPr>
              <w:pStyle w:val="Compact"/>
              <w:jc w:val="left"/>
            </w:pPr>
            <w:r>
              <w:rPr>
                <w:sz w:val="18"/>
              </w:rPr>
              <w:t xml:space="preserve">Cinturón Macroeconomía</w:t>
            </w:r>
          </w:p>
        </w:tc>
      </w:tr>
    </w:tbl>
    <w:bookmarkStart w:id="155" w:name="identificación-13"/>
    <w:p>
      <w:pPr>
        <w:pStyle w:val="Heading2"/>
        <w:keepNext/>
        <w:spacing w:after="160"/>
      </w:pPr>
      <w:r>
        <w:t xml:space="preserve">Identificación</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1931"/>
        <w:gridCol w:w="2074"/>
        <w:gridCol w:w="1952"/>
        <w:gridCol w:w="3115"/>
      </w:tblGrid>
      <w:tr>
        <w:trPr>
          <w:cantSplit/>
        </w:trPr>
        <w:tc>
          <w:tcPr>
            <w:tcW w:w="1931" w:type="dxa"/>
          </w:tcPr>
          <w:p>
            <w:pPr>
              <w:pStyle w:val="Compact"/>
              <w:jc w:val="left"/>
            </w:pPr>
            <w:r>
              <w:rPr>
                <w:bCs/>
                <w:b/>
                <w:sz w:val="18"/>
              </w:rPr>
              <w:t xml:space="preserve">IDENTIFICADOR TÉCNICO</w:t>
            </w:r>
          </w:p>
        </w:tc>
        <w:tc>
          <w:tcPr>
            <w:tcW w:w="2074" w:type="dxa"/>
          </w:tcPr>
          <w:p>
            <w:pPr>
              <w:pStyle w:val="Compact"/>
              <w:jc w:val="left"/>
            </w:pPr>
            <w:r>
              <w:rPr>
                <w:sz w:val="18"/>
              </w:rPr>
              <w:t xml:space="preserve">icip</w:t>
            </w:r>
          </w:p>
        </w:tc>
        <w:tc>
          <w:tcPr>
            <w:tcW w:w="1952" w:type="dxa"/>
          </w:tcPr>
          <w:p>
            <w:pPr>
              <w:pStyle w:val="Compact"/>
              <w:jc w:val="left"/>
            </w:pPr>
            <w:r>
              <w:rPr>
                <w:bCs/>
                <w:b/>
                <w:sz w:val="18"/>
              </w:rPr>
              <w:t xml:space="preserve">CINTURÓN</w:t>
            </w:r>
          </w:p>
        </w:tc>
        <w:tc>
          <w:tcPr>
            <w:tcW w:w="3115" w:type="dxa"/>
          </w:tcPr>
          <w:p>
            <w:pPr>
              <w:pStyle w:val="Compact"/>
              <w:jc w:val="left"/>
            </w:pPr>
            <w:r>
              <w:rPr>
                <w:sz w:val="18"/>
              </w:rPr>
              <w:t xml:space="preserve">Macroeconomía</w:t>
            </w:r>
          </w:p>
        </w:tc>
      </w:tr>
      <w:tr>
        <w:trPr>
          <w:cantSplit/>
        </w:trPr>
        <w:tc>
          <w:tcPr>
            <w:tcW w:w="1931" w:type="dxa"/>
          </w:tcPr>
          <w:p>
            <w:pPr>
              <w:pStyle w:val="Compact"/>
              <w:jc w:val="left"/>
            </w:pPr>
            <w:r>
              <w:rPr>
                <w:bCs/>
                <w:b/>
                <w:sz w:val="18"/>
              </w:rPr>
              <w:t xml:space="preserve">DIMENSIÓN EN EL ITCM</w:t>
            </w:r>
          </w:p>
        </w:tc>
        <w:tc>
          <w:tcPr>
            <w:tcW w:w="2074" w:type="dxa"/>
          </w:tcPr>
          <w:p>
            <w:pPr>
              <w:pStyle w:val="Compact"/>
              <w:jc w:val="left"/>
            </w:pPr>
            <w:r>
              <w:rPr>
                <w:sz w:val="18"/>
              </w:rPr>
              <w:t xml:space="preserve">Inversión</w:t>
            </w:r>
          </w:p>
        </w:tc>
        <w:tc>
          <w:tcPr>
            <w:tcW w:w="1952" w:type="dxa"/>
          </w:tcPr>
          <w:p>
            <w:pPr>
              <w:pStyle w:val="Compact"/>
              <w:jc w:val="left"/>
            </w:pPr>
            <w:r>
              <w:rPr>
                <w:bCs/>
                <w:b/>
                <w:sz w:val="18"/>
              </w:rPr>
              <w:t xml:space="preserve">UNIDAD DE MEDIDA</w:t>
            </w:r>
          </w:p>
        </w:tc>
        <w:tc>
          <w:tcPr>
            <w:tcW w:w="3115" w:type="dxa"/>
          </w:tcPr>
          <w:p>
            <w:pPr>
              <w:pStyle w:val="Compact"/>
              <w:jc w:val="left"/>
            </w:pPr>
            <w:r>
              <w:rPr>
                <w:sz w:val="18"/>
              </w:rPr>
              <w:t xml:space="preserve">% i.a. ponderado</w:t>
            </w:r>
          </w:p>
        </w:tc>
      </w:tr>
      <w:tr>
        <w:trPr>
          <w:cantSplit/>
        </w:trPr>
        <w:tc>
          <w:tcPr>
            <w:tcW w:w="1931" w:type="dxa"/>
          </w:tcPr>
          <w:p>
            <w:pPr>
              <w:pStyle w:val="Compact"/>
              <w:jc w:val="left"/>
            </w:pPr>
            <w:r>
              <w:rPr>
                <w:bCs/>
                <w:b/>
                <w:sz w:val="18"/>
              </w:rPr>
              <w:t xml:space="preserve">SERIE DISPONIBLE</w:t>
            </w:r>
          </w:p>
        </w:tc>
        <w:tc>
          <w:tcPr>
            <w:tcW w:w="2074" w:type="dxa"/>
          </w:tcPr>
          <w:p>
            <w:pPr>
              <w:pStyle w:val="Compact"/>
              <w:jc w:val="left"/>
            </w:pPr>
            <w:r>
              <w:rPr>
                <w:sz w:val="18"/>
              </w:rPr>
              <w:t xml:space="preserve">2023-08 → 2026-04 (33 puntos)</w:t>
            </w:r>
          </w:p>
        </w:tc>
        <w:tc>
          <w:tcPr>
            <w:tcW w:w="1952" w:type="dxa"/>
          </w:tcPr>
          <w:p>
            <w:pPr>
              <w:pStyle w:val="Compact"/>
              <w:jc w:val="left"/>
            </w:pPr>
            <w:r>
              <w:rPr>
                <w:bCs/>
                <w:b/>
                <w:sz w:val="18"/>
              </w:rPr>
              <w:t xml:space="preserve">REZAGO DE PUBLICACIÓN</w:t>
            </w:r>
          </w:p>
        </w:tc>
        <w:tc>
          <w:tcPr>
            <w:tcW w:w="3115" w:type="dxa"/>
          </w:tcPr>
          <w:p>
            <w:pPr>
              <w:pStyle w:val="Compact"/>
              <w:jc w:val="left"/>
            </w:pPr>
            <w:r>
              <w:rPr>
                <w:sz w:val="18"/>
              </w:rPr>
              <w:t xml:space="preserve">El titular se calcula al último mes común de los tres insumos (~2 meses y medio a 3); el insumo más fresco se muestra como provisorio.</w:t>
            </w:r>
          </w:p>
        </w:tc>
      </w:tr>
      <w:tr>
        <w:trPr>
          <w:cantSplit/>
        </w:trPr>
        <w:tc>
          <w:tcPr>
            <w:tcW w:w="1931" w:type="dxa"/>
          </w:tcPr>
          <w:p>
            <w:pPr>
              <w:pStyle w:val="Compact"/>
              <w:jc w:val="left"/>
            </w:pPr>
            <w:r>
              <w:rPr>
                <w:bCs/>
                <w:b/>
                <w:sz w:val="18"/>
              </w:rPr>
              <w:t xml:space="preserve">PRODUCTOR DEL DATO</w:t>
            </w:r>
          </w:p>
        </w:tc>
        <w:tc>
          <w:tcPr>
            <w:tcW w:w="2074" w:type="dxa"/>
          </w:tcPr>
          <w:p>
            <w:pPr>
              <w:pStyle w:val="Compact"/>
              <w:jc w:val="left"/>
            </w:pPr>
            <w:r>
              <w:rPr>
                <w:sz w:val="18"/>
              </w:rPr>
              <w:t xml:space="preserve">INDEC (los tres insumos)</w:t>
            </w:r>
          </w:p>
        </w:tc>
        <w:tc>
          <w:tcPr>
            <w:tcW w:w="1952" w:type="dxa"/>
          </w:tcPr>
          <w:p>
            <w:pPr>
              <w:pStyle w:val="Compact"/>
              <w:jc w:val="left"/>
            </w:pPr>
            <w:r>
              <w:rPr>
                <w:bCs/>
                <w:b/>
                <w:sz w:val="18"/>
              </w:rPr>
              <w:t xml:space="preserve">OPERACIÓN ESTADÍSTICA</w:t>
            </w:r>
          </w:p>
        </w:tc>
        <w:tc>
          <w:tcPr>
            <w:tcW w:w="3115" w:type="dxa"/>
          </w:tcPr>
          <w:p>
            <w:pPr>
              <w:pStyle w:val="Compact"/>
              <w:jc w:val="left"/>
            </w:pPr>
            <w:r>
              <w:rPr>
                <w:sz w:val="18"/>
              </w:rPr>
              <w:t xml:space="preserve">Balanza de servicios (pagos al exterior de servicios de informática) + IPI manufacturero + índice de empleo de la Encuesta de Indicadores Laborales</w:t>
            </w:r>
          </w:p>
        </w:tc>
      </w:tr>
      <w:tr>
        <w:trPr>
          <w:cantSplit/>
        </w:trPr>
        <w:tc>
          <w:tcPr>
            <w:tcW w:w="1931" w:type="dxa"/>
          </w:tcPr>
          <w:p>
            <w:pPr>
              <w:pStyle w:val="Compact"/>
              <w:jc w:val="left"/>
            </w:pPr>
            <w:r>
              <w:rPr>
                <w:bCs/>
                <w:b/>
                <w:sz w:val="18"/>
              </w:rPr>
              <w:t xml:space="preserve">MODO DE ACCESO</w:t>
            </w:r>
          </w:p>
        </w:tc>
        <w:tc>
          <w:tcPr>
            <w:tcW w:w="2074" w:type="dxa"/>
          </w:tcPr>
          <w:p>
            <w:pPr>
              <w:pStyle w:val="Compact"/>
              <w:jc w:val="left"/>
            </w:pPr>
            <w:r>
              <w:rPr>
                <w:sz w:val="18"/>
              </w:rPr>
              <w:t xml:space="preserve">Automático: API pública de series de tiempo; la composición se calcula en el propio informe.</w:t>
            </w:r>
          </w:p>
        </w:tc>
        <w:tc>
          <w:tcPr>
            <w:tcW w:w="1952" w:type="dxa"/>
          </w:tcPr>
          <w:p>
            <w:pPr>
              <w:pStyle w:val="Compact"/>
              <w:jc w:val="left"/>
            </w:pPr>
            <w:r>
              <w:rPr>
                <w:bCs/>
                <w:b/>
                <w:sz w:val="18"/>
              </w:rPr>
              <w:t xml:space="preserve">ÚLTIMA ACTUALIZACIÓN</w:t>
            </w:r>
          </w:p>
        </w:tc>
        <w:tc>
          <w:tcPr>
            <w:tcW w:w="3115" w:type="dxa"/>
          </w:tcPr>
          <w:p>
            <w:pPr>
              <w:pStyle w:val="Compact"/>
              <w:jc w:val="left"/>
            </w:pPr>
            <w:r>
              <w:rPr>
                <w:sz w:val="18"/>
              </w:rPr>
              <w:t xml:space="preserve">Dato a 2026-04 · informe generado el 2026-08-09</w:t>
            </w:r>
          </w:p>
        </w:tc>
      </w:tr>
    </w:tbl>
    <w:bookmarkEnd w:id="155"/>
    <w:bookmarkStart w:id="156" w:name="definición-qué-mide-y-por-qué-importa-13"/>
    <w:p>
      <w:pPr>
        <w:pStyle w:val="Heading2"/>
        <w:keepNext/>
      </w:pPr>
      <w:r>
        <w:t xml:space="preserve">Definición — qué mide y por qué importa</w:t>
      </w:r>
    </w:p>
    <w:p>
      <w:pPr>
        <w:pStyle w:val="FirstParagraph"/>
      </w:pPr>
      <w:r>
        <w:t xml:space="preserve">Índice de Capitalización Inteligente y Productividad: mide la inversión digital/intangible —pagos al exterior por servicios de informática (software, nube, IA) y productividad laboral (IPI/empleo)— en variación interanual.</w:t>
      </w:r>
    </w:p>
    <w:p>
      <w:pPr>
        <w:pStyle w:val="BodyText"/>
      </w:pPr>
      <w:r>
        <w:t xml:space="preserve">Sigue la incorporación de tecnología que no pasa por aduana como bien de capital. Leído junto al IAI apunta a la</w:t>
      </w:r>
      <w:r>
        <w:t xml:space="preserve"> </w:t>
      </w:r>
      <w:r>
        <w:t xml:space="preserve">‘</w:t>
      </w:r>
      <w:r>
        <w:t xml:space="preserve">trampa de la madurez</w:t>
      </w:r>
      <w:r>
        <w:t xml:space="preserve">’</w:t>
      </w:r>
      <w:r>
        <w:t xml:space="preserve">: un país puede invertir en ladrillos y camiones pero estancarse si no se digitaliza. Con una advertencia declarada en la ficha: un aumento de los pagos al exterior por software admite leerse como digitalización o como dependencia tecnológica, y el indicador puntúa la primera. Se construye con datos del INDEC (balanza de servicios + IPI/empleo).</w:t>
      </w:r>
    </w:p>
    <w:p>
      <w:pPr>
        <w:pStyle w:val="BodyText"/>
      </w:pPr>
      <w:r>
        <w:rPr>
          <w:bCs/>
          <w:b/>
        </w:rPr>
        <w:t xml:space="preserve">Dimensión que integra — Inversión.</w:t>
      </w:r>
      <w:r>
        <w:t xml:space="preserve"> </w:t>
      </w:r>
      <w:r>
        <w:t xml:space="preserve">Si alguien está apostando al futuro: inversión física (construcción, bienes de capital) y capitalización digital e intangible.</w:t>
      </w:r>
    </w:p>
    <w:bookmarkEnd w:id="156"/>
    <w:bookmarkStart w:id="157" w:name="método-de-cómputo-13"/>
    <w:p>
      <w:pPr>
        <w:pStyle w:val="Heading2"/>
        <w:keepNext/>
      </w:pPr>
      <w:r>
        <w:t xml:space="preserve">Método de cómputo</w:t>
      </w:r>
    </w:p>
    <w:p>
      <w:pPr>
        <w:numPr>
          <w:ilvl w:val="0"/>
          <w:numId w:val="1062"/>
        </w:numPr>
        <w:pStyle w:val="Compact"/>
      </w:pPr>
      <w:r>
        <w:t xml:space="preserve">Servicios tecnológicos: variación interanual de los pagos al exterior por software, nube e inteligencia artificial.</w:t>
      </w:r>
    </w:p>
    <w:p>
      <w:pPr>
        <w:numPr>
          <w:ilvl w:val="0"/>
          <w:numId w:val="1062"/>
        </w:numPr>
        <w:pStyle w:val="Compact"/>
      </w:pPr>
      <w:r>
        <w:t xml:space="preserve">Productividad: variación interanual del cociente producción industrial / empleo.</w:t>
      </w:r>
    </w:p>
    <w:p>
      <w:pPr>
        <w:numPr>
          <w:ilvl w:val="0"/>
          <w:numId w:val="1062"/>
        </w:numPr>
        <w:pStyle w:val="Compact"/>
      </w:pPr>
      <w:r>
        <w:t xml:space="preserve">Promedio ponderado 57% servicios + 43% productividad.</w:t>
      </w:r>
    </w:p>
    <w:bookmarkEnd w:id="157"/>
    <w:bookmarkStart w:id="158" w:name="Xaab4efafd10175937bfe344609501e53d799b16"/>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spacing w:after="160"/>
      </w:pPr>
      <w:r>
        <w:rPr>
          <w:bCs/>
          <w:b/>
        </w:rPr>
        <w:t xml:space="preserve">Valores que definen cada color</w:t>
      </w:r>
    </w:p>
    <w:tbl>
      <w:tblPr>
        <w:tblStyle w:val="Table"/>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5061"/>
        <w:gridCol w:w="4011"/>
      </w:tblGrid>
      <w:tr>
        <w:trPr>
          <w:cantSplit/>
          <w:tblHeader/>
        </w:trPr>
        <w:tc>
          <w:tcPr>
            <w:tcW w:w="5061" w:type="dxa"/>
            <w:shd w:val="clear" w:color="auto" w:fill="1F3A34"/>
          </w:tcPr>
          <w:p>
            <w:pPr>
              <w:pStyle w:val="Compact"/>
              <w:jc w:val="left"/>
            </w:pPr>
            <w:r>
              <w:rPr>
                <w:b/>
                <w:sz w:val="18"/>
                <w:color w:val="FFFFFF"/>
              </w:rPr>
              <w:t xml:space="preserve">Rango (% i.a. ponderado)</w:t>
            </w:r>
          </w:p>
        </w:tc>
        <w:tc>
          <w:tcPr>
            <w:tcW w:w="4011" w:type="dxa"/>
            <w:shd w:val="clear" w:color="auto" w:fill="1F3A34"/>
          </w:tcPr>
          <w:p>
            <w:pPr>
              <w:pStyle w:val="Compact"/>
              <w:jc w:val="left"/>
            </w:pPr>
            <w:r>
              <w:rPr>
                <w:b/>
                <w:sz w:val="18"/>
                <w:color w:val="FFFFFF"/>
              </w:rPr>
              <w:t xml:space="preserve">Color</w:t>
            </w:r>
          </w:p>
        </w:tc>
      </w:tr>
      <w:tr>
        <w:trPr>
          <w:cantSplit/>
        </w:trPr>
        <w:tc>
          <w:tcPr>
            <w:tcW w:w="5061" w:type="dxa"/>
          </w:tcPr>
          <w:p>
            <w:pPr>
              <w:pStyle w:val="Compact"/>
              <w:jc w:val="left"/>
            </w:pPr>
            <w:r>
              <w:rPr>
                <w:sz w:val="18"/>
              </w:rPr>
              <w:t xml:space="preserve">≥ 0</w:t>
            </w:r>
          </w:p>
        </w:tc>
        <w:tc>
          <w:tcPr>
            <w:tcW w:w="4011" w:type="dxa"/>
            <w:shd w:val="clear" w:color="auto" w:fill="DCFCE7"/>
          </w:tcPr>
          <w:p>
            <w:pPr>
              <w:pStyle w:val="Compact"/>
              <w:jc w:val="center"/>
            </w:pPr>
            <w:r>
              <w:rPr>
                <w:b/>
                <w:sz w:val="18"/>
                <w:color w:val="14532D"/>
              </w:rPr>
              <w:t xml:space="preserve">VERDE</w:t>
            </w:r>
          </w:p>
        </w:tc>
      </w:tr>
      <w:tr>
        <w:trPr>
          <w:cantSplit/>
        </w:trPr>
        <w:tc>
          <w:tcPr>
            <w:tcW w:w="5061" w:type="dxa"/>
            <w:shd w:val="clear" w:color="auto" w:fill="F6F8F7"/>
          </w:tcPr>
          <w:p>
            <w:pPr>
              <w:pStyle w:val="Compact"/>
              <w:jc w:val="left"/>
            </w:pPr>
            <w:r>
              <w:rPr>
                <w:sz w:val="18"/>
              </w:rPr>
              <w:t xml:space="preserve">−10 – 0</w:t>
            </w:r>
          </w:p>
        </w:tc>
        <w:tc>
          <w:tcPr>
            <w:tcW w:w="4011" w:type="dxa"/>
            <w:shd w:val="clear" w:color="auto" w:fill="FEF3C7"/>
          </w:tcPr>
          <w:p>
            <w:pPr>
              <w:pStyle w:val="Compact"/>
              <w:jc w:val="center"/>
            </w:pPr>
            <w:r>
              <w:rPr>
                <w:b/>
                <w:sz w:val="18"/>
                <w:color w:val="713F12"/>
              </w:rPr>
              <w:t xml:space="preserve">AMARILLO</w:t>
            </w:r>
          </w:p>
        </w:tc>
      </w:tr>
      <w:tr>
        <w:trPr>
          <w:cantSplit/>
        </w:trPr>
        <w:tc>
          <w:tcPr>
            <w:tcW w:w="5061" w:type="dxa"/>
          </w:tcPr>
          <w:p>
            <w:pPr>
              <w:pStyle w:val="Compact"/>
              <w:jc w:val="left"/>
            </w:pPr>
            <w:r>
              <w:rPr>
                <w:sz w:val="18"/>
              </w:rPr>
              <w:t xml:space="preserve">−17 – −10</w:t>
            </w:r>
          </w:p>
        </w:tc>
        <w:tc>
          <w:tcPr>
            <w:tcW w:w="4011" w:type="dxa"/>
            <w:shd w:val="clear" w:color="auto" w:fill="FFEDD5"/>
          </w:tcPr>
          <w:p>
            <w:pPr>
              <w:pStyle w:val="Compact"/>
              <w:jc w:val="center"/>
            </w:pPr>
            <w:r>
              <w:rPr>
                <w:b/>
                <w:sz w:val="18"/>
                <w:color w:val="7C2D12"/>
              </w:rPr>
              <w:t xml:space="preserve">NARANJA</w:t>
            </w:r>
          </w:p>
        </w:tc>
      </w:tr>
      <w:tr>
        <w:trPr>
          <w:cantSplit/>
        </w:trPr>
        <w:tc>
          <w:tcPr>
            <w:tcW w:w="5061" w:type="dxa"/>
            <w:shd w:val="clear" w:color="auto" w:fill="F6F8F7"/>
          </w:tcPr>
          <w:p>
            <w:pPr>
              <w:pStyle w:val="Compact"/>
              <w:jc w:val="left"/>
            </w:pPr>
            <w:r>
              <w:rPr>
                <w:sz w:val="18"/>
              </w:rPr>
              <w:t xml:space="preserve">≤ −17</w:t>
            </w:r>
          </w:p>
        </w:tc>
        <w:tc>
          <w:tcPr>
            <w:tcW w:w="4011" w:type="dxa"/>
            <w:shd w:val="clear" w:color="auto" w:fill="FEE2E2"/>
          </w:tcPr>
          <w:p>
            <w:pPr>
              <w:pStyle w:val="Compact"/>
              <w:jc w:val="center"/>
            </w:pPr>
            <w:r>
              <w:rPr>
                <w:b/>
                <w:sz w:val="18"/>
                <w:color w:val="7F1D1D"/>
              </w:rPr>
              <w:t xml:space="preserve">ROJO</w:t>
            </w:r>
          </w:p>
        </w:tc>
      </w:tr>
    </w:tbl>
    <w:bookmarkEnd w:id="158"/>
    <w:bookmarkStart w:id="159" w:name="datos-concretos-detrás-del-valor-13"/>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63"/>
        </w:numPr>
        <w:pStyle w:val="Compact"/>
      </w:pPr>
      <w:r>
        <w:t xml:space="preserve">+8.4 % i.a. = servicios tech +15.6% · productividad -1.2% (mes común: 2026-04) — servicios tech 2026-06 (provisorio, no puntúa): +2.5%</w:t>
      </w:r>
    </w:p>
    <w:bookmarkEnd w:id="159"/>
    <w:bookmarkStart w:id="160" w:name="color-vigente-y-por-qué-13"/>
    <w:p>
      <w:pPr>
        <w:pStyle w:val="Heading2"/>
        <w:keepNext/>
      </w:pPr>
      <w:r>
        <w:t xml:space="preserve">Color vigente y por qué</w:t>
      </w:r>
    </w:p>
    <w:p>
      <w:pPr>
        <w:pStyle w:val="FirstParagraph"/>
      </w:pPr>
      <w:r>
        <w:t xml:space="preserve">Dato vigente: 8,36 % i.a. ponderado (2026-04).</w:t>
      </w:r>
    </w:p>
    <w:p>
      <w:pPr>
        <w:pStyle w:val="BodyText"/>
      </w:pPr>
      <w:r>
        <w:t xml:space="preserve">8,36 % i.a. ponderado cae en el tramo que corresponde a Verde, a 8,36 del corte más cercano.</w:t>
      </w:r>
    </w:p>
    <w:p>
      <w:pPr>
        <w:pStyle w:val="BodyText"/>
      </w:pPr>
      <w:r>
        <w:rPr>
          <w:bCs/>
          <w:b/>
        </w:rPr>
        <w:t xml:space="preserve">Color vigente: VERDE</w:t>
      </w:r>
    </w:p>
    <w:p>
      <w:pPr>
        <w:pStyle w:val="BodyText"/>
      </w:pPr>
      <w:r>
        <w:t xml:space="preserve">Ponderación vigente en el ITCM: 4,8 % efectivo. El color es una lectura adicional — no reemplaza ni cambia esta ponderación.</w:t>
      </w:r>
    </w:p>
    <w:p>
      <w:pPr>
        <w:numPr>
          <w:ilvl w:val="0"/>
          <w:numId w:val="1064"/>
        </w:numPr>
        <w:pStyle w:val="Compact"/>
      </w:pPr>
      <w:r>
        <w:rPr>
          <w:bCs/>
          <w:b/>
        </w:rPr>
        <w:t xml:space="preserve">Participación en otros indicadores.</w:t>
      </w:r>
      <w:r>
        <w:t xml:space="preserve"> </w:t>
      </w:r>
      <w:r>
        <w:t xml:space="preserve">La operación IPI también alimenta (en su variante desestacionalizada) un componente del ITVC de vida cotidiana.</w:t>
      </w:r>
    </w:p>
    <w:bookmarkEnd w:id="160"/>
    <w:bookmarkStart w:id="161" w:name="transparencia-limitaciones-declaradas-13"/>
    <w:p>
      <w:pPr>
        <w:pStyle w:val="Heading2"/>
        <w:keepNext/>
      </w:pPr>
      <w:r>
        <w:t xml:space="preserve">Transparencia — limitaciones declaradas</w:t>
      </w:r>
    </w:p>
    <w:p>
      <w:pPr>
        <w:numPr>
          <w:ilvl w:val="0"/>
          <w:numId w:val="1065"/>
        </w:numPr>
        <w:pStyle w:val="Compact"/>
      </w:pPr>
      <w:r>
        <w:t xml:space="preserve">El diseño institucional incluía la importación de hardware de alta tecnología, que no es automatizable con las fuentes públicas actuales: el índice quedó con dos de tres componentes, renormalizados y declarados.</w:t>
      </w:r>
    </w:p>
    <w:p>
      <w:pPr>
        <w:numPr>
          <w:ilvl w:val="0"/>
          <w:numId w:val="1065"/>
        </w:numPr>
        <w:pStyle w:val="Compact"/>
      </w:pPr>
      <w:r>
        <w:t xml:space="preserve">AMBIGÜEDAD DE INTERPRETACIÓN, declarada. Un aumento de los pagos al exterior por servicios de informática admite dos lecturas opuestas y el índice adopta una: puede significar que la economía se está digitalizando —incorpora software, nube e inteligencia artificial para producir mejor— o que depende de tecnología que no produce y gira divisas para conseguirla. El indicador puntúa la primera lectura: más pagos, mejor puntaje. La evidencia disponible la respalda sólo en parte. Sobre ciento siete meses, los pagos anticipan a la productividad con una correlación de 0,28 cuando se los adelanta un trimestre: una asociación real pero modesta, compatible también con que ambas variables suban juntas cuando la economía crece, sin que una cause a la otra. Quien lea el indicador debe saber que un valor alto no distingue por sí solo entre capitalización tecnológica y dependencia tecnológica.</w:t>
      </w:r>
    </w:p>
    <w:p>
      <w:pPr>
        <w:numPr>
          <w:ilvl w:val="0"/>
          <w:numId w:val="1065"/>
        </w:numPr>
        <w:pStyle w:val="Compact"/>
      </w:pPr>
      <w:r>
        <w:t xml:space="preserve">El componente de pagos al exterior es mucho más volátil que el de productividad (desvío de 71 puntos contra 11) y pesa el 57% del índice: los movimientos del indicador los explica casi siempre esa serie, no la de productividad.</w:t>
      </w:r>
    </w:p>
    <w:p>
      <w:pPr>
        <w:numPr>
          <w:ilvl w:val="0"/>
          <w:numId w:val="1065"/>
        </w:numPr>
        <w:pStyle w:val="Compact"/>
      </w:pPr>
      <w:r>
        <w:t xml:space="preserve">Los pagos al exterior por servicios de informática son una aproximación a la digitalización, no una medición directa de inversión en capital digital.</w:t>
      </w:r>
    </w:p>
    <w:p>
      <w:pPr>
        <w:numPr>
          <w:ilvl w:val="0"/>
          <w:numId w:val="1065"/>
        </w:numPr>
        <w:pStyle w:val="Compact"/>
      </w:pPr>
      <w:r>
        <w:t xml:space="preserve">El empleo de la encuesta laboral se usa como aproximación de las horas trabajadas.</w:t>
      </w:r>
    </w:p>
    <w:bookmarkEnd w:id="161"/>
    <w:bookmarkStart w:id="162" w:name="X71e32d4ef8852d7b89f89dfb87e3c31d8c54533"/>
    <w:p>
      <w:pPr>
        <w:pStyle w:val="Heading2"/>
        <w:keepNext/>
      </w:pPr>
      <w:r>
        <w:t xml:space="preserve">Si falta el dato / Política de revisiones</w:t>
      </w:r>
    </w:p>
    <w:p>
      <w:pPr>
        <w:numPr>
          <w:ilvl w:val="0"/>
          <w:numId w:val="1066"/>
        </w:numPr>
      </w:pPr>
      <w:r>
        <w:rPr>
          <w:bCs/>
          <w:b/>
        </w:rPr>
        <w:t xml:space="preserve">Si falta el dato:</w:t>
      </w:r>
      <w:r>
        <w:t xml:space="preserve"> </w:t>
      </w:r>
      <w:r>
        <w:t xml:space="preserve">Sin mes común de los tres insumos, se mantiene el último valor disponible, señalado como desactualizado; sin dato, el IAI pasa a explicar toda la dimensión de inversión.</w:t>
      </w:r>
    </w:p>
    <w:p>
      <w:pPr>
        <w:numPr>
          <w:ilvl w:val="0"/>
          <w:numId w:val="1066"/>
        </w:numPr>
      </w:pPr>
      <w:r>
        <w:rPr>
          <w:bCs/>
          <w:b/>
        </w:rPr>
        <w:t xml:space="preserve">Política de revisiones:</w:t>
      </w:r>
      <w:r>
        <w:t xml:space="preserve"> </w:t>
      </w:r>
      <w:r>
        <w:t xml:space="preserve">Titular por panel alineado, no se revisa; las revisiones de las fuentes se absorben al regenerar las series.</w:t>
      </w:r>
    </w:p>
    <w:bookmarkEnd w:id="162"/>
    <w:bookmarkStart w:id="163" w:name="Xe97eb45c46db1c6f0b7a9d3dad61e7d604d0a09"/>
    <w:p>
      <w:pPr>
        <w:pStyle w:val="Heading2"/>
        <w:keepNext/>
      </w:pPr>
      <w:r>
        <w:t xml:space="preserve">Historial — cambios metodológicos documentados</w:t>
      </w:r>
    </w:p>
    <w:p>
      <w:pPr>
        <w:pStyle w:val="FirstParagraph"/>
      </w:pPr>
      <w:r>
        <w:rPr>
          <w:bCs/>
          <w:b/>
        </w:rPr>
        <w:t xml:space="preserve">2026-07-18</w:t>
      </w:r>
      <w:r>
        <w:t xml:space="preserve"> </w:t>
      </w:r>
      <w:r>
        <w:t xml:space="preserve">— Se declara en la ficha la ambigüedad de interpretación del componente de pagos al exterior, que admite leerse como capitalización tecnológica o como dependencia tecnológica, junto con la evidencia que la respalda parcialmente.</w:t>
      </w:r>
    </w:p>
    <w:p>
      <w:pPr>
        <w:pStyle w:val="BodyText"/>
      </w:pPr>
      <w:r>
        <w:rPr>
          <w:bCs/>
          <w:b/>
        </w:rPr>
        <w:t xml:space="preserve">2026-06-30</w:t>
      </w:r>
      <w:r>
        <w:t xml:space="preserve"> </w:t>
      </w:r>
      <w:r>
        <w:t xml:space="preserve">— Nace y entra al índice (dimensión inversión, 40% interno), sin el componente de hardware y con bandas anchas propias.</w:t>
      </w:r>
    </w:p>
    <w:p>
      <w:pPr>
        <w:pStyle w:val="BodyText"/>
      </w:pPr>
      <w:r>
        <w:rPr>
          <w:bCs/>
          <w:b/>
        </w:rPr>
        <w:t xml:space="preserve">2026-07-03</w:t>
      </w:r>
      <w:r>
        <w:t xml:space="preserve"> </w:t>
      </w:r>
      <w:r>
        <w:t xml:space="preserve">— Puntaje interpolado entre anclas.</w:t>
      </w:r>
    </w:p>
    <w:p>
      <w:pPr>
        <w:pStyle w:val="BodyText"/>
      </w:pPr>
      <w:r>
        <w:rPr>
          <w:bCs/>
          <w:b/>
        </w:rPr>
        <w:t xml:space="preserve">2026-07-04</w:t>
      </w:r>
      <w:r>
        <w:t xml:space="preserve"> </w:t>
      </w:r>
      <w:r>
        <w:t xml:space="preserve">— El titular pasa al último mes común de los tres insumos.</w:t>
      </w:r>
    </w:p>
    <w:p>
      <w:r>
        <w:br w:type="page"/>
      </w:r>
    </w:p>
    <w:p>
      <w:pPr>
        <w:pStyle w:val="BodyText"/>
      </w:pPr>
      <w:r>
        <w:rPr>
          <w:bCs/>
          <w:b/>
        </w:rPr>
        <w:t xml:space="preserve">CIGOB · INFORME DE COYUNTURA</w:t>
      </w:r>
    </w:p>
    <w:p>
      <w:pPr>
        <w:pStyle w:val="BodyText"/>
      </w:pPr>
      <w:r>
        <w:rPr>
          <w:iCs/>
          <w:i/>
        </w:rPr>
        <w:t xml:space="preserve">Ficha metodológica · Cinturón Macroeconomía · Capa de semáforo (4 colores)</w:t>
      </w:r>
    </w:p>
    <w:bookmarkEnd w:id="163"/>
    <w:bookmarkEnd w:id="164"/>
    <w:bookmarkStart w:id="174" w:name="crédito-privado-real"/>
    <w:p>
      <w:pPr>
        <w:pStyle w:val="Heading1"/>
        <w:keepNext/>
      </w:pPr>
      <w:r>
        <w:t xml:space="preserve">Crédito privado real</w:t>
      </w:r>
    </w:p>
    <w:p>
      <w:pPr>
        <w:pStyle w:val="FirstParagraph"/>
        <w:spacing w:after="160"/>
      </w:pPr>
      <w:r>
        <w:t xml:space="preserve">Cuánto crece el crédito al sector privado en términos reales (variación interanual de los préstamos, deflactada por el IPC).</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2588"/>
        <w:gridCol w:w="1470"/>
        <w:gridCol w:w="2395"/>
        <w:gridCol w:w="2619"/>
      </w:tblGrid>
      <w:tr>
        <w:trPr>
          <w:cantSplit/>
        </w:trPr>
        <w:tc>
          <w:tcPr>
            <w:tcW w:w="2588" w:type="dxa"/>
          </w:tcPr>
          <w:p>
            <w:pPr>
              <w:pStyle w:val="Compact"/>
              <w:jc w:val="left"/>
            </w:pPr>
            <w:r>
              <w:rPr>
                <w:bCs/>
                <w:b/>
                <w:sz w:val="18"/>
              </w:rPr>
              <w:t xml:space="preserve">Hoy: 8,5 % i.a. real</w:t>
            </w:r>
            <w:r>
              <w:rPr>
                <w:sz w:val="18"/>
              </w:rPr>
              <w:t xml:space="preserve"> </w:t>
            </w:r>
            <w:r>
              <w:rPr>
                <w:sz w:val="18"/>
              </w:rPr>
              <w:t xml:space="preserve">(2026-06)</w:t>
            </w:r>
          </w:p>
        </w:tc>
        <w:tc>
          <w:tcPr>
            <w:tcW w:w="1470" w:type="dxa"/>
            <w:shd w:val="clear" w:color="auto" w:fill="FEF3C7"/>
          </w:tcPr>
          <w:p>
            <w:pPr>
              <w:pStyle w:val="Compact"/>
              <w:jc w:val="center"/>
            </w:pPr>
            <w:r>
              <w:rPr>
                <w:bCs/>
                <w:b/>
                <w:sz w:val="18"/>
                <w:color w:val="713F12"/>
              </w:rPr>
              <w:t xml:space="preserve">AMARILLO</w:t>
            </w:r>
          </w:p>
        </w:tc>
        <w:tc>
          <w:tcPr>
            <w:tcW w:w="2395" w:type="dxa"/>
          </w:tcPr>
          <w:p>
            <w:pPr>
              <w:pStyle w:val="Compact"/>
              <w:jc w:val="left"/>
            </w:pPr>
            <w:r>
              <w:rPr>
                <w:sz w:val="18"/>
              </w:rPr>
              <w:t xml:space="preserve">Peso efectivo 3,2 % del ITCM</w:t>
            </w:r>
          </w:p>
        </w:tc>
        <w:tc>
          <w:tcPr>
            <w:tcW w:w="2619" w:type="dxa"/>
          </w:tcPr>
          <w:p>
            <w:pPr>
              <w:pStyle w:val="Compact"/>
              <w:jc w:val="left"/>
            </w:pPr>
            <w:r>
              <w:rPr>
                <w:sz w:val="18"/>
              </w:rPr>
              <w:t xml:space="preserve">Cinturón Macroeconomía</w:t>
            </w:r>
          </w:p>
        </w:tc>
      </w:tr>
    </w:tbl>
    <w:bookmarkStart w:id="165" w:name="identificación-14"/>
    <w:p>
      <w:pPr>
        <w:pStyle w:val="Heading2"/>
        <w:keepNext/>
        <w:spacing w:after="160"/>
      </w:pPr>
      <w:r>
        <w:t xml:space="preserve">Identificación</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1906"/>
        <w:gridCol w:w="2561"/>
        <w:gridCol w:w="1925"/>
        <w:gridCol w:w="2680"/>
      </w:tblGrid>
      <w:tr>
        <w:trPr>
          <w:cantSplit/>
        </w:trPr>
        <w:tc>
          <w:tcPr>
            <w:tcW w:w="1906" w:type="dxa"/>
          </w:tcPr>
          <w:p>
            <w:pPr>
              <w:pStyle w:val="Compact"/>
              <w:jc w:val="left"/>
            </w:pPr>
            <w:r>
              <w:rPr>
                <w:bCs/>
                <w:b/>
                <w:sz w:val="18"/>
              </w:rPr>
              <w:t xml:space="preserve">IDENTIFICADOR TÉCNICO</w:t>
            </w:r>
          </w:p>
        </w:tc>
        <w:tc>
          <w:tcPr>
            <w:tcW w:w="2561" w:type="dxa"/>
          </w:tcPr>
          <w:p>
            <w:pPr>
              <w:pStyle w:val="Compact"/>
              <w:jc w:val="left"/>
            </w:pPr>
            <w:r>
              <w:rPr>
                <w:sz w:val="18"/>
              </w:rPr>
              <w:t xml:space="preserve">credito_privado</w:t>
            </w:r>
          </w:p>
        </w:tc>
        <w:tc>
          <w:tcPr>
            <w:tcW w:w="1925" w:type="dxa"/>
          </w:tcPr>
          <w:p>
            <w:pPr>
              <w:pStyle w:val="Compact"/>
              <w:jc w:val="left"/>
            </w:pPr>
            <w:r>
              <w:rPr>
                <w:bCs/>
                <w:b/>
                <w:sz w:val="18"/>
              </w:rPr>
              <w:t xml:space="preserve">CINTURÓN</w:t>
            </w:r>
          </w:p>
        </w:tc>
        <w:tc>
          <w:tcPr>
            <w:tcW w:w="2680" w:type="dxa"/>
          </w:tcPr>
          <w:p>
            <w:pPr>
              <w:pStyle w:val="Compact"/>
              <w:jc w:val="left"/>
            </w:pPr>
            <w:r>
              <w:rPr>
                <w:sz w:val="18"/>
              </w:rPr>
              <w:t xml:space="preserve">Macroeconomía</w:t>
            </w:r>
          </w:p>
        </w:tc>
      </w:tr>
      <w:tr>
        <w:trPr>
          <w:cantSplit/>
        </w:trPr>
        <w:tc>
          <w:tcPr>
            <w:tcW w:w="1906" w:type="dxa"/>
          </w:tcPr>
          <w:p>
            <w:pPr>
              <w:pStyle w:val="Compact"/>
              <w:jc w:val="left"/>
            </w:pPr>
            <w:r>
              <w:rPr>
                <w:bCs/>
                <w:b/>
                <w:sz w:val="18"/>
              </w:rPr>
              <w:t xml:space="preserve">DIMENSIÓN EN EL ITCM</w:t>
            </w:r>
          </w:p>
        </w:tc>
        <w:tc>
          <w:tcPr>
            <w:tcW w:w="2561" w:type="dxa"/>
          </w:tcPr>
          <w:p>
            <w:pPr>
              <w:pStyle w:val="Compact"/>
              <w:jc w:val="left"/>
            </w:pPr>
            <w:r>
              <w:rPr>
                <w:sz w:val="18"/>
              </w:rPr>
              <w:t xml:space="preserve">Capacidad y costo del financiamiento</w:t>
            </w:r>
          </w:p>
        </w:tc>
        <w:tc>
          <w:tcPr>
            <w:tcW w:w="1925" w:type="dxa"/>
          </w:tcPr>
          <w:p>
            <w:pPr>
              <w:pStyle w:val="Compact"/>
              <w:jc w:val="left"/>
            </w:pPr>
            <w:r>
              <w:rPr>
                <w:bCs/>
                <w:b/>
                <w:sz w:val="18"/>
              </w:rPr>
              <w:t xml:space="preserve">UNIDAD DE MEDIDA</w:t>
            </w:r>
          </w:p>
        </w:tc>
        <w:tc>
          <w:tcPr>
            <w:tcW w:w="2680" w:type="dxa"/>
          </w:tcPr>
          <w:p>
            <w:pPr>
              <w:pStyle w:val="Compact"/>
              <w:jc w:val="left"/>
            </w:pPr>
            <w:r>
              <w:rPr>
                <w:sz w:val="18"/>
              </w:rPr>
              <w:t xml:space="preserve">% i.a. real</w:t>
            </w:r>
          </w:p>
        </w:tc>
      </w:tr>
      <w:tr>
        <w:trPr>
          <w:cantSplit/>
        </w:trPr>
        <w:tc>
          <w:tcPr>
            <w:tcW w:w="1906" w:type="dxa"/>
          </w:tcPr>
          <w:p>
            <w:pPr>
              <w:pStyle w:val="Compact"/>
              <w:jc w:val="left"/>
            </w:pPr>
            <w:r>
              <w:rPr>
                <w:bCs/>
                <w:b/>
                <w:sz w:val="18"/>
              </w:rPr>
              <w:t xml:space="preserve">SERIE DISPONIBLE</w:t>
            </w:r>
          </w:p>
        </w:tc>
        <w:tc>
          <w:tcPr>
            <w:tcW w:w="2561" w:type="dxa"/>
          </w:tcPr>
          <w:p>
            <w:pPr>
              <w:pStyle w:val="Compact"/>
              <w:jc w:val="left"/>
            </w:pPr>
            <w:r>
              <w:rPr>
                <w:sz w:val="18"/>
              </w:rPr>
              <w:t xml:space="preserve">2023-12 → 2026-06 (31 puntos)</w:t>
            </w:r>
          </w:p>
        </w:tc>
        <w:tc>
          <w:tcPr>
            <w:tcW w:w="1925" w:type="dxa"/>
          </w:tcPr>
          <w:p>
            <w:pPr>
              <w:pStyle w:val="Compact"/>
              <w:jc w:val="left"/>
            </w:pPr>
            <w:r>
              <w:rPr>
                <w:bCs/>
                <w:b/>
                <w:sz w:val="18"/>
              </w:rPr>
              <w:t xml:space="preserve">REZAGO DE PUBLICACIÓN</w:t>
            </w:r>
          </w:p>
        </w:tc>
        <w:tc>
          <w:tcPr>
            <w:tcW w:w="2680" w:type="dxa"/>
          </w:tcPr>
          <w:p>
            <w:pPr>
              <w:pStyle w:val="Compact"/>
              <w:jc w:val="left"/>
            </w:pPr>
            <w:r>
              <w:rPr>
                <w:sz w:val="18"/>
              </w:rPr>
              <w:t xml:space="preserve">El stock del BCRA es diario, pero el titular espera el IPC que lo deflacta: el dato fresco se muestra como provisorio sin puntuar.</w:t>
            </w:r>
          </w:p>
        </w:tc>
      </w:tr>
      <w:tr>
        <w:trPr>
          <w:cantSplit/>
        </w:trPr>
        <w:tc>
          <w:tcPr>
            <w:tcW w:w="1906" w:type="dxa"/>
          </w:tcPr>
          <w:p>
            <w:pPr>
              <w:pStyle w:val="Compact"/>
              <w:jc w:val="left"/>
            </w:pPr>
            <w:r>
              <w:rPr>
                <w:bCs/>
                <w:b/>
                <w:sz w:val="18"/>
              </w:rPr>
              <w:t xml:space="preserve">PRODUCTOR DEL DATO</w:t>
            </w:r>
          </w:p>
        </w:tc>
        <w:tc>
          <w:tcPr>
            <w:tcW w:w="2561" w:type="dxa"/>
          </w:tcPr>
          <w:p>
            <w:pPr>
              <w:pStyle w:val="Compact"/>
              <w:jc w:val="left"/>
            </w:pPr>
            <w:r>
              <w:rPr>
                <w:sz w:val="18"/>
              </w:rPr>
              <w:t xml:space="preserve">BCRA (stock de préstamos) + INDEC (IPC como deflactor)</w:t>
            </w:r>
          </w:p>
        </w:tc>
        <w:tc>
          <w:tcPr>
            <w:tcW w:w="1925" w:type="dxa"/>
          </w:tcPr>
          <w:p>
            <w:pPr>
              <w:pStyle w:val="Compact"/>
              <w:jc w:val="left"/>
            </w:pPr>
            <w:r>
              <w:rPr>
                <w:bCs/>
                <w:b/>
                <w:sz w:val="18"/>
              </w:rPr>
              <w:t xml:space="preserve">OPERACIÓN ESTADÍSTICA</w:t>
            </w:r>
          </w:p>
        </w:tc>
        <w:tc>
          <w:tcPr>
            <w:tcW w:w="2680" w:type="dxa"/>
          </w:tcPr>
          <w:p>
            <w:pPr>
              <w:pStyle w:val="Compact"/>
              <w:jc w:val="left"/>
            </w:pPr>
            <w:r>
              <w:rPr>
                <w:sz w:val="18"/>
              </w:rPr>
              <w:t xml:space="preserve">Préstamos al sector privado (saldos a fin de mes), variación interanual real</w:t>
            </w:r>
          </w:p>
        </w:tc>
      </w:tr>
      <w:tr>
        <w:trPr>
          <w:cantSplit/>
        </w:trPr>
        <w:tc>
          <w:tcPr>
            <w:tcW w:w="1906" w:type="dxa"/>
          </w:tcPr>
          <w:p>
            <w:pPr>
              <w:pStyle w:val="Compact"/>
              <w:jc w:val="left"/>
            </w:pPr>
            <w:r>
              <w:rPr>
                <w:bCs/>
                <w:b/>
                <w:sz w:val="18"/>
              </w:rPr>
              <w:t xml:space="preserve">MODO DE ACCESO</w:t>
            </w:r>
          </w:p>
        </w:tc>
        <w:tc>
          <w:tcPr>
            <w:tcW w:w="2561" w:type="dxa"/>
          </w:tcPr>
          <w:p>
            <w:pPr>
              <w:pStyle w:val="Compact"/>
              <w:jc w:val="left"/>
            </w:pPr>
            <w:r>
              <w:rPr>
                <w:sz w:val="18"/>
              </w:rPr>
              <w:t xml:space="preserve">Automático: API pública del BCRA y API de series de datos.gob.ar.</w:t>
            </w:r>
          </w:p>
        </w:tc>
        <w:tc>
          <w:tcPr>
            <w:tcW w:w="1925" w:type="dxa"/>
          </w:tcPr>
          <w:p>
            <w:pPr>
              <w:pStyle w:val="Compact"/>
              <w:jc w:val="left"/>
            </w:pPr>
            <w:r>
              <w:rPr>
                <w:bCs/>
                <w:b/>
                <w:sz w:val="18"/>
              </w:rPr>
              <w:t xml:space="preserve">ÚLTIMA ACTUALIZACIÓN</w:t>
            </w:r>
          </w:p>
        </w:tc>
        <w:tc>
          <w:tcPr>
            <w:tcW w:w="2680" w:type="dxa"/>
          </w:tcPr>
          <w:p>
            <w:pPr>
              <w:pStyle w:val="Compact"/>
              <w:jc w:val="left"/>
            </w:pPr>
            <w:r>
              <w:rPr>
                <w:sz w:val="18"/>
              </w:rPr>
              <w:t xml:space="preserve">Dato a 2026-06 · informe generado el 2026-08-09</w:t>
            </w:r>
          </w:p>
        </w:tc>
      </w:tr>
    </w:tbl>
    <w:bookmarkEnd w:id="165"/>
    <w:bookmarkStart w:id="166" w:name="definición-qué-mide-y-por-qué-importa-14"/>
    <w:p>
      <w:pPr>
        <w:pStyle w:val="Heading2"/>
        <w:keepNext/>
      </w:pPr>
      <w:r>
        <w:t xml:space="preserve">Definición — qué mide y por qué importa</w:t>
      </w:r>
    </w:p>
    <w:p>
      <w:pPr>
        <w:pStyle w:val="FirstParagraph"/>
      </w:pPr>
      <w:r>
        <w:t xml:space="preserve">Cuánto crece el crédito al sector privado en términos reales (variación interanual de los préstamos, deflactada por el IPC).</w:t>
      </w:r>
    </w:p>
    <w:p>
      <w:pPr>
        <w:pStyle w:val="BodyText"/>
      </w:pPr>
      <w:r>
        <w:t xml:space="preserve">Es el crédito REALIZADO — complementa al IdC, que mide la capacidad prestable: si la capacidad existe pero el crédito real no crece, el financiamiento no está llegando a la economía. Es la única señal no redundante de los viejos indicadores monetarios de contexto.</w:t>
      </w:r>
    </w:p>
    <w:p>
      <w:pPr>
        <w:pStyle w:val="BodyText"/>
      </w:pPr>
      <w:r>
        <w:rPr>
          <w:bCs/>
          <w:b/>
        </w:rPr>
        <w:t xml:space="preserve">Dimensión que integra — Capacidad y costo del financiamiento.</w:t>
      </w:r>
      <w:r>
        <w:t xml:space="preserve"> </w:t>
      </w:r>
      <w:r>
        <w:t xml:space="preserve">Si hay combustible para la economía: reservas netas (el respaldo externo), capacidad prestable del sistema financiero (IdC) y crédito real efectivamente otorgado.</w:t>
      </w:r>
    </w:p>
    <w:bookmarkEnd w:id="166"/>
    <w:bookmarkStart w:id="167" w:name="método-de-cómputo-14"/>
    <w:p>
      <w:pPr>
        <w:pStyle w:val="Heading2"/>
        <w:keepNext/>
      </w:pPr>
      <w:r>
        <w:t xml:space="preserve">Método de cómputo</w:t>
      </w:r>
    </w:p>
    <w:p>
      <w:pPr>
        <w:numPr>
          <w:ilvl w:val="0"/>
          <w:numId w:val="1067"/>
        </w:numPr>
        <w:pStyle w:val="Compact"/>
      </w:pPr>
      <w:r>
        <w:t xml:space="preserve">Variación interanual del stock a fin de mes, deflactada por el IPC del mismo período: el crédito que efectivamente llegó, no el que infló la nominalidad.</w:t>
      </w:r>
    </w:p>
    <w:p>
      <w:pPr>
        <w:numPr>
          <w:ilvl w:val="0"/>
          <w:numId w:val="1067"/>
        </w:numPr>
        <w:pStyle w:val="Compact"/>
      </w:pPr>
      <w:r>
        <w:t xml:space="preserve">Mide crédito realizado — complementario del IdC, que mide la capacidad de prestar.</w:t>
      </w:r>
    </w:p>
    <w:bookmarkEnd w:id="167"/>
    <w:bookmarkStart w:id="168" w:name="X7b7170cc03c186200356a5b68fedf47ae23f2d7"/>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spacing w:after="160"/>
      </w:pPr>
      <w:r>
        <w:rPr>
          <w:bCs/>
          <w:b/>
        </w:rPr>
        <w:t xml:space="preserve">Valores que definen cada color</w:t>
      </w:r>
    </w:p>
    <w:tbl>
      <w:tblPr>
        <w:tblStyle w:val="Table"/>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5292"/>
        <w:gridCol w:w="3780"/>
      </w:tblGrid>
      <w:tr>
        <w:trPr>
          <w:cantSplit/>
          <w:tblHeader/>
        </w:trPr>
        <w:tc>
          <w:tcPr>
            <w:tcW w:w="5292" w:type="dxa"/>
            <w:shd w:val="clear" w:color="auto" w:fill="1F3A34"/>
          </w:tcPr>
          <w:p>
            <w:pPr>
              <w:pStyle w:val="Compact"/>
              <w:jc w:val="left"/>
            </w:pPr>
            <w:r>
              <w:rPr>
                <w:b/>
                <w:sz w:val="18"/>
                <w:color w:val="FFFFFF"/>
              </w:rPr>
              <w:t xml:space="preserve">Rango (% i.a. real)</w:t>
            </w:r>
          </w:p>
        </w:tc>
        <w:tc>
          <w:tcPr>
            <w:tcW w:w="3780" w:type="dxa"/>
            <w:shd w:val="clear" w:color="auto" w:fill="1F3A34"/>
          </w:tcPr>
          <w:p>
            <w:pPr>
              <w:pStyle w:val="Compact"/>
              <w:jc w:val="left"/>
            </w:pPr>
            <w:r>
              <w:rPr>
                <w:b/>
                <w:sz w:val="18"/>
                <w:color w:val="FFFFFF"/>
              </w:rPr>
              <w:t xml:space="preserve">Color</w:t>
            </w:r>
          </w:p>
        </w:tc>
      </w:tr>
      <w:tr>
        <w:trPr>
          <w:cantSplit/>
        </w:trPr>
        <w:tc>
          <w:tcPr>
            <w:tcW w:w="5292" w:type="dxa"/>
          </w:tcPr>
          <w:p>
            <w:pPr>
              <w:pStyle w:val="Compact"/>
              <w:jc w:val="left"/>
            </w:pPr>
            <w:r>
              <w:rPr>
                <w:sz w:val="18"/>
              </w:rPr>
              <w:t xml:space="preserve">≥ 11,5</w:t>
            </w:r>
          </w:p>
        </w:tc>
        <w:tc>
          <w:tcPr>
            <w:tcW w:w="3780" w:type="dxa"/>
            <w:shd w:val="clear" w:color="auto" w:fill="DCFCE7"/>
          </w:tcPr>
          <w:p>
            <w:pPr>
              <w:pStyle w:val="Compact"/>
              <w:jc w:val="center"/>
            </w:pPr>
            <w:r>
              <w:rPr>
                <w:b/>
                <w:sz w:val="18"/>
                <w:color w:val="14532D"/>
              </w:rPr>
              <w:t xml:space="preserve">VERDE</w:t>
            </w:r>
          </w:p>
        </w:tc>
      </w:tr>
      <w:tr>
        <w:trPr>
          <w:cantSplit/>
        </w:trPr>
        <w:tc>
          <w:tcPr>
            <w:tcW w:w="5292" w:type="dxa"/>
            <w:shd w:val="clear" w:color="auto" w:fill="F6F8F7"/>
          </w:tcPr>
          <w:p>
            <w:pPr>
              <w:pStyle w:val="Compact"/>
              <w:jc w:val="left"/>
            </w:pPr>
            <w:r>
              <w:rPr>
                <w:sz w:val="18"/>
              </w:rPr>
              <w:t xml:space="preserve">1,75 – 11,5</w:t>
            </w:r>
          </w:p>
        </w:tc>
        <w:tc>
          <w:tcPr>
            <w:tcW w:w="3780" w:type="dxa"/>
            <w:shd w:val="clear" w:color="auto" w:fill="FEF3C7"/>
          </w:tcPr>
          <w:p>
            <w:pPr>
              <w:pStyle w:val="Compact"/>
              <w:jc w:val="center"/>
            </w:pPr>
            <w:r>
              <w:rPr>
                <w:b/>
                <w:sz w:val="18"/>
                <w:color w:val="713F12"/>
              </w:rPr>
              <w:t xml:space="preserve">AMARILLO</w:t>
            </w:r>
          </w:p>
        </w:tc>
      </w:tr>
      <w:tr>
        <w:trPr>
          <w:cantSplit/>
        </w:trPr>
        <w:tc>
          <w:tcPr>
            <w:tcW w:w="5292" w:type="dxa"/>
          </w:tcPr>
          <w:p>
            <w:pPr>
              <w:pStyle w:val="Compact"/>
              <w:jc w:val="left"/>
            </w:pPr>
            <w:r>
              <w:rPr>
                <w:sz w:val="18"/>
              </w:rPr>
              <w:t xml:space="preserve">−6,67 – 1,75</w:t>
            </w:r>
          </w:p>
        </w:tc>
        <w:tc>
          <w:tcPr>
            <w:tcW w:w="3780" w:type="dxa"/>
            <w:shd w:val="clear" w:color="auto" w:fill="FFEDD5"/>
          </w:tcPr>
          <w:p>
            <w:pPr>
              <w:pStyle w:val="Compact"/>
              <w:jc w:val="center"/>
            </w:pPr>
            <w:r>
              <w:rPr>
                <w:b/>
                <w:sz w:val="18"/>
                <w:color w:val="7C2D12"/>
              </w:rPr>
              <w:t xml:space="preserve">NARANJA</w:t>
            </w:r>
          </w:p>
        </w:tc>
      </w:tr>
      <w:tr>
        <w:trPr>
          <w:cantSplit/>
        </w:trPr>
        <w:tc>
          <w:tcPr>
            <w:tcW w:w="5292" w:type="dxa"/>
            <w:shd w:val="clear" w:color="auto" w:fill="F6F8F7"/>
          </w:tcPr>
          <w:p>
            <w:pPr>
              <w:pStyle w:val="Compact"/>
              <w:jc w:val="left"/>
            </w:pPr>
            <w:r>
              <w:rPr>
                <w:sz w:val="18"/>
              </w:rPr>
              <w:t xml:space="preserve">≤ −6,67</w:t>
            </w:r>
          </w:p>
        </w:tc>
        <w:tc>
          <w:tcPr>
            <w:tcW w:w="3780" w:type="dxa"/>
            <w:shd w:val="clear" w:color="auto" w:fill="FEE2E2"/>
          </w:tcPr>
          <w:p>
            <w:pPr>
              <w:pStyle w:val="Compact"/>
              <w:jc w:val="center"/>
            </w:pPr>
            <w:r>
              <w:rPr>
                <w:b/>
                <w:sz w:val="18"/>
                <w:color w:val="7F1D1D"/>
              </w:rPr>
              <w:t xml:space="preserve">ROJO</w:t>
            </w:r>
          </w:p>
        </w:tc>
      </w:tr>
    </w:tbl>
    <w:bookmarkEnd w:id="168"/>
    <w:bookmarkStart w:id="169" w:name="datos-concretos-detrás-del-valor-14"/>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68"/>
        </w:numPr>
        <w:pStyle w:val="Compact"/>
      </w:pPr>
      <w:r>
        <w:t xml:space="preserve">nominal 44,9% i.a. deflactado por IPC — crédito realizado, no capacidad (IdC) (mes común: 2026-06) — al 2026-08-05 (provisorio, no puntúa): 2,9% real con deflactor de 2026-06</w:t>
      </w:r>
    </w:p>
    <w:bookmarkEnd w:id="169"/>
    <w:bookmarkStart w:id="170" w:name="color-vigente-y-por-qué-14"/>
    <w:p>
      <w:pPr>
        <w:pStyle w:val="Heading2"/>
        <w:keepNext/>
      </w:pPr>
      <w:r>
        <w:t xml:space="preserve">Color vigente y por qué</w:t>
      </w:r>
    </w:p>
    <w:p>
      <w:pPr>
        <w:pStyle w:val="FirstParagraph"/>
      </w:pPr>
      <w:r>
        <w:t xml:space="preserve">Dato vigente: 8,5 % i.a. real (2026-06).</w:t>
      </w:r>
    </w:p>
    <w:p>
      <w:pPr>
        <w:pStyle w:val="BodyText"/>
      </w:pPr>
      <w:r>
        <w:t xml:space="preserve">8,5 % i.a. real cae en el tramo que corresponde a Amarillo, a 3,0 del corte más cercano.</w:t>
      </w:r>
    </w:p>
    <w:p>
      <w:pPr>
        <w:pStyle w:val="BodyText"/>
      </w:pPr>
      <w:r>
        <w:rPr>
          <w:bCs/>
          <w:b/>
        </w:rPr>
        <w:t xml:space="preserve">Color vigente: AMARILLO</w:t>
      </w:r>
    </w:p>
    <w:p>
      <w:pPr>
        <w:pStyle w:val="BodyText"/>
      </w:pPr>
      <w:r>
        <w:t xml:space="preserve">Ponderación vigente en el ITCM: 3,2 % efectivo. El color es una lectura adicional — no reemplaza ni cambia esta ponderación.</w:t>
      </w:r>
    </w:p>
    <w:p>
      <w:pPr>
        <w:numPr>
          <w:ilvl w:val="0"/>
          <w:numId w:val="1069"/>
        </w:numPr>
        <w:pStyle w:val="Compact"/>
      </w:pPr>
      <w:r>
        <w:rPr>
          <w:bCs/>
          <w:b/>
        </w:rPr>
        <w:t xml:space="preserve">Participación en otros indicadores.</w:t>
      </w:r>
      <w:r>
        <w:t xml:space="preserve"> </w:t>
      </w:r>
      <w:r>
        <w:t xml:space="preserve">La misma serie se sigue extrayendo como contexto no publicado, y el cinturón de vida cotidiana usa las líneas a familias (tarjetas y personales) para su componente de endeudamiento.</w:t>
      </w:r>
    </w:p>
    <w:bookmarkEnd w:id="170"/>
    <w:bookmarkStart w:id="171" w:name="transparencia-limitaciones-declaradas-14"/>
    <w:p>
      <w:pPr>
        <w:pStyle w:val="Heading2"/>
        <w:keepNext/>
      </w:pPr>
      <w:r>
        <w:t xml:space="preserve">Transparencia — limitaciones declaradas</w:t>
      </w:r>
    </w:p>
    <w:p>
      <w:pPr>
        <w:numPr>
          <w:ilvl w:val="0"/>
          <w:numId w:val="1070"/>
        </w:numPr>
        <w:pStyle w:val="Compact"/>
      </w:pPr>
      <w:r>
        <w:t xml:space="preserve">Bandas calibradas a la remonetización 2024-2026 (el crédito real llegó a crecer 90% interanual desde una base ínfima): calibración propia sobre historia corta, declarada.</w:t>
      </w:r>
    </w:p>
    <w:p>
      <w:pPr>
        <w:numPr>
          <w:ilvl w:val="0"/>
          <w:numId w:val="1070"/>
        </w:numPr>
        <w:pStyle w:val="Compact"/>
      </w:pPr>
      <w:r>
        <w:t xml:space="preserve">Agregado total: no distingue empresas de familias ni líneas de crédito.</w:t>
      </w:r>
    </w:p>
    <w:bookmarkEnd w:id="171"/>
    <w:bookmarkStart w:id="172" w:name="X02964bd421b6ce1686f5e02f1f98c7c34b51012"/>
    <w:p>
      <w:pPr>
        <w:pStyle w:val="Heading2"/>
        <w:keepNext/>
      </w:pPr>
      <w:r>
        <w:t xml:space="preserve">Si falta el dato / Política de revisiones</w:t>
      </w:r>
    </w:p>
    <w:p>
      <w:pPr>
        <w:numPr>
          <w:ilvl w:val="0"/>
          <w:numId w:val="1071"/>
        </w:numPr>
      </w:pPr>
      <w:r>
        <w:rPr>
          <w:bCs/>
          <w:b/>
        </w:rPr>
        <w:t xml:space="preserve">Si falta el dato:</w:t>
      </w:r>
      <w:r>
        <w:t xml:space="preserve"> </w:t>
      </w:r>
      <w:r>
        <w:t xml:space="preserve">Sin mes común entre stock e IPC, se mantiene el último valor disponible, señalado como desactualizado; sin dato, reservas e IdC renormalizan dentro de la dimensión de financiamiento.</w:t>
      </w:r>
    </w:p>
    <w:p>
      <w:pPr>
        <w:numPr>
          <w:ilvl w:val="0"/>
          <w:numId w:val="1071"/>
        </w:numPr>
      </w:pPr>
      <w:r>
        <w:rPr>
          <w:bCs/>
          <w:b/>
        </w:rPr>
        <w:t xml:space="preserve">Política de revisiones:</w:t>
      </w:r>
      <w:r>
        <w:t xml:space="preserve"> </w:t>
      </w:r>
      <w:r>
        <w:t xml:space="preserve">Los saldos del BCRA no se revisan de forma habitual; la serie se regenera completa (desde diciembre de 2023) en cada actualización.</w:t>
      </w:r>
    </w:p>
    <w:bookmarkEnd w:id="172"/>
    <w:bookmarkStart w:id="173" w:name="Xfec2c1dec879a8614d6605057a6efcb2a0b1de1"/>
    <w:p>
      <w:pPr>
        <w:pStyle w:val="Heading2"/>
        <w:keepNext/>
      </w:pPr>
      <w:r>
        <w:t xml:space="preserve">Historial — cambios metodológicos documentados</w:t>
      </w:r>
    </w:p>
    <w:p>
      <w:pPr>
        <w:pStyle w:val="FirstParagraph"/>
      </w:pPr>
      <w:r>
        <w:rPr>
          <w:bCs/>
          <w:b/>
        </w:rPr>
        <w:t xml:space="preserve">2026-07-03</w:t>
      </w:r>
      <w:r>
        <w:t xml:space="preserve"> </w:t>
      </w:r>
      <w:r>
        <w:t xml:space="preserve">— Nace y entra al índice: rescata la única señal no redundante de los cuatro contextos nominales (que dejan de publicarse); la dimensión de financiamiento queda 45% reservas + 40% IdC + 15% crédito.</w:t>
      </w:r>
    </w:p>
    <w:p>
      <w:pPr>
        <w:pStyle w:val="BodyText"/>
      </w:pPr>
      <w:r>
        <w:rPr>
          <w:bCs/>
          <w:b/>
        </w:rPr>
        <w:t xml:space="preserve">2026-07-04</w:t>
      </w:r>
      <w:r>
        <w:t xml:space="preserve"> </w:t>
      </w:r>
      <w:r>
        <w:t xml:space="preserve">— El titular pasa al último mes con IPC cerrado; el dato diario fresco queda como provisorio (antes se deflactaba el préstamo del día con un IPC de dos meses atrás).</w:t>
      </w:r>
    </w:p>
    <w:p>
      <w:r>
        <w:br w:type="page"/>
      </w:r>
    </w:p>
    <w:p>
      <w:pPr>
        <w:pStyle w:val="BodyText"/>
      </w:pPr>
      <w:r>
        <w:rPr>
          <w:bCs/>
          <w:b/>
        </w:rPr>
        <w:t xml:space="preserve">CIGOB · INFORME DE COYUNTURA</w:t>
      </w:r>
    </w:p>
    <w:p>
      <w:pPr>
        <w:pStyle w:val="BodyText"/>
      </w:pPr>
      <w:r>
        <w:rPr>
          <w:iCs/>
          <w:i/>
        </w:rPr>
        <w:t xml:space="preserve">Ficha metodológica · Cinturón Macroeconomía · Capa de semáforo (4 colores)</w:t>
      </w:r>
    </w:p>
    <w:bookmarkEnd w:id="173"/>
    <w:bookmarkEnd w:id="174"/>
    <w:bookmarkStart w:id="184" w:name="costo-real-del-financiamiento-del-tesoro"/>
    <w:p>
      <w:pPr>
        <w:pStyle w:val="Heading1"/>
        <w:keepNext/>
      </w:pPr>
      <w:r>
        <w:t xml:space="preserve">Costo real del financiamiento del Tesoro</w:t>
      </w:r>
    </w:p>
    <w:p>
      <w:pPr>
        <w:pStyle w:val="FirstParagraph"/>
        <w:spacing w:after="160"/>
      </w:pPr>
      <w:r>
        <w:t xml:space="preserve">Qué tasa de interés real paga el Tesoro para renovar su deuda en pesos: la tasa efectiva anual de las licitaciones del mes, descontada la inflación esperada.</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3772"/>
        <w:gridCol w:w="1043"/>
        <w:gridCol w:w="1943"/>
        <w:gridCol w:w="2314"/>
      </w:tblGrid>
      <w:tr>
        <w:trPr>
          <w:cantSplit/>
        </w:trPr>
        <w:tc>
          <w:tcPr>
            <w:tcW w:w="3772" w:type="dxa"/>
          </w:tcPr>
          <w:p>
            <w:pPr>
              <w:pStyle w:val="Compact"/>
              <w:jc w:val="left"/>
            </w:pPr>
            <w:r>
              <w:rPr>
                <w:bCs/>
                <w:b/>
                <w:sz w:val="18"/>
              </w:rPr>
              <w:t xml:space="preserve">Hoy: 8,07 % real anual (TIREA vs. inflación esperada REM)</w:t>
            </w:r>
            <w:r>
              <w:rPr>
                <w:sz w:val="18"/>
              </w:rPr>
              <w:t xml:space="preserve"> </w:t>
            </w:r>
            <w:r>
              <w:rPr>
                <w:sz w:val="18"/>
              </w:rPr>
              <w:t xml:space="preserve">(2026-06)</w:t>
            </w:r>
          </w:p>
        </w:tc>
        <w:tc>
          <w:tcPr>
            <w:tcW w:w="1043" w:type="dxa"/>
            <w:shd w:val="clear" w:color="auto" w:fill="DCFCE7"/>
          </w:tcPr>
          <w:p>
            <w:pPr>
              <w:pStyle w:val="Compact"/>
              <w:jc w:val="center"/>
            </w:pPr>
            <w:r>
              <w:rPr>
                <w:bCs/>
                <w:b/>
                <w:sz w:val="18"/>
                <w:color w:val="14532D"/>
              </w:rPr>
              <w:t xml:space="preserve">VERDE</w:t>
            </w:r>
          </w:p>
        </w:tc>
        <w:tc>
          <w:tcPr>
            <w:tcW w:w="1943" w:type="dxa"/>
          </w:tcPr>
          <w:p>
            <w:pPr>
              <w:pStyle w:val="Compact"/>
              <w:jc w:val="left"/>
            </w:pPr>
            <w:r>
              <w:rPr>
                <w:sz w:val="18"/>
              </w:rPr>
              <w:t xml:space="preserve">Peso efectivo 4 % del ITCM</w:t>
            </w:r>
          </w:p>
        </w:tc>
        <w:tc>
          <w:tcPr>
            <w:tcW w:w="2314" w:type="dxa"/>
          </w:tcPr>
          <w:p>
            <w:pPr>
              <w:pStyle w:val="Compact"/>
              <w:jc w:val="left"/>
            </w:pPr>
            <w:r>
              <w:rPr>
                <w:sz w:val="18"/>
              </w:rPr>
              <w:t xml:space="preserve">Cinturón Macroeconomía</w:t>
            </w:r>
          </w:p>
        </w:tc>
      </w:tr>
    </w:tbl>
    <w:bookmarkStart w:id="175" w:name="identificación-15"/>
    <w:p>
      <w:pPr>
        <w:pStyle w:val="Heading2"/>
        <w:keepNext/>
        <w:spacing w:after="160"/>
      </w:pPr>
      <w:r>
        <w:t xml:space="preserve">Identificación</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1734"/>
        <w:gridCol w:w="3407"/>
        <w:gridCol w:w="1743"/>
        <w:gridCol w:w="2188"/>
      </w:tblGrid>
      <w:tr>
        <w:trPr>
          <w:cantSplit/>
        </w:trPr>
        <w:tc>
          <w:tcPr>
            <w:tcW w:w="1734" w:type="dxa"/>
          </w:tcPr>
          <w:p>
            <w:pPr>
              <w:pStyle w:val="Compact"/>
              <w:jc w:val="left"/>
            </w:pPr>
            <w:r>
              <w:rPr>
                <w:bCs/>
                <w:b/>
                <w:sz w:val="18"/>
              </w:rPr>
              <w:t xml:space="preserve">IDENTIFICADOR TÉCNICO</w:t>
            </w:r>
          </w:p>
        </w:tc>
        <w:tc>
          <w:tcPr>
            <w:tcW w:w="3407" w:type="dxa"/>
          </w:tcPr>
          <w:p>
            <w:pPr>
              <w:pStyle w:val="Compact"/>
              <w:jc w:val="left"/>
            </w:pPr>
            <w:r>
              <w:rPr>
                <w:sz w:val="18"/>
              </w:rPr>
              <w:t xml:space="preserve">costo_financiamiento_tesoro</w:t>
            </w:r>
          </w:p>
        </w:tc>
        <w:tc>
          <w:tcPr>
            <w:tcW w:w="1743" w:type="dxa"/>
          </w:tcPr>
          <w:p>
            <w:pPr>
              <w:pStyle w:val="Compact"/>
              <w:jc w:val="left"/>
            </w:pPr>
            <w:r>
              <w:rPr>
                <w:bCs/>
                <w:b/>
                <w:sz w:val="18"/>
              </w:rPr>
              <w:t xml:space="preserve">CINTURÓN</w:t>
            </w:r>
          </w:p>
        </w:tc>
        <w:tc>
          <w:tcPr>
            <w:tcW w:w="2188" w:type="dxa"/>
          </w:tcPr>
          <w:p>
            <w:pPr>
              <w:pStyle w:val="Compact"/>
              <w:jc w:val="left"/>
            </w:pPr>
            <w:r>
              <w:rPr>
                <w:sz w:val="18"/>
              </w:rPr>
              <w:t xml:space="preserve">Macroeconomía</w:t>
            </w:r>
          </w:p>
        </w:tc>
      </w:tr>
      <w:tr>
        <w:trPr>
          <w:cantSplit/>
        </w:trPr>
        <w:tc>
          <w:tcPr>
            <w:tcW w:w="1734" w:type="dxa"/>
          </w:tcPr>
          <w:p>
            <w:pPr>
              <w:pStyle w:val="Compact"/>
              <w:jc w:val="left"/>
            </w:pPr>
            <w:r>
              <w:rPr>
                <w:bCs/>
                <w:b/>
                <w:sz w:val="18"/>
              </w:rPr>
              <w:t xml:space="preserve">DIMENSIÓN EN EL ITCM</w:t>
            </w:r>
          </w:p>
        </w:tc>
        <w:tc>
          <w:tcPr>
            <w:tcW w:w="3407" w:type="dxa"/>
          </w:tcPr>
          <w:p>
            <w:pPr>
              <w:pStyle w:val="Compact"/>
              <w:jc w:val="left"/>
            </w:pPr>
            <w:r>
              <w:rPr>
                <w:sz w:val="18"/>
              </w:rPr>
              <w:t xml:space="preserve">Capacidad y costo del financiamiento</w:t>
            </w:r>
          </w:p>
        </w:tc>
        <w:tc>
          <w:tcPr>
            <w:tcW w:w="1743" w:type="dxa"/>
          </w:tcPr>
          <w:p>
            <w:pPr>
              <w:pStyle w:val="Compact"/>
              <w:jc w:val="left"/>
            </w:pPr>
            <w:r>
              <w:rPr>
                <w:bCs/>
                <w:b/>
                <w:sz w:val="18"/>
              </w:rPr>
              <w:t xml:space="preserve">UNIDAD DE MEDIDA</w:t>
            </w:r>
          </w:p>
        </w:tc>
        <w:tc>
          <w:tcPr>
            <w:tcW w:w="2188" w:type="dxa"/>
          </w:tcPr>
          <w:p>
            <w:pPr>
              <w:pStyle w:val="Compact"/>
              <w:jc w:val="left"/>
            </w:pPr>
            <w:r>
              <w:rPr>
                <w:sz w:val="18"/>
              </w:rPr>
              <w:t xml:space="preserve">% real anual (TIREA vs. inflación esperada REM)</w:t>
            </w:r>
          </w:p>
        </w:tc>
      </w:tr>
      <w:tr>
        <w:trPr>
          <w:cantSplit/>
        </w:trPr>
        <w:tc>
          <w:tcPr>
            <w:tcW w:w="1734" w:type="dxa"/>
          </w:tcPr>
          <w:p>
            <w:pPr>
              <w:pStyle w:val="Compact"/>
              <w:jc w:val="left"/>
            </w:pPr>
            <w:r>
              <w:rPr>
                <w:bCs/>
                <w:b/>
                <w:sz w:val="18"/>
              </w:rPr>
              <w:t xml:space="preserve">SERIE DISPONIBLE</w:t>
            </w:r>
          </w:p>
        </w:tc>
        <w:tc>
          <w:tcPr>
            <w:tcW w:w="3407" w:type="dxa"/>
          </w:tcPr>
          <w:p>
            <w:pPr>
              <w:pStyle w:val="Compact"/>
              <w:jc w:val="left"/>
            </w:pPr>
            <w:r>
              <w:rPr>
                <w:sz w:val="18"/>
              </w:rPr>
              <w:t xml:space="preserve">2023-12 → 2026-06 (29 puntos)</w:t>
            </w:r>
          </w:p>
        </w:tc>
        <w:tc>
          <w:tcPr>
            <w:tcW w:w="1743" w:type="dxa"/>
          </w:tcPr>
          <w:p>
            <w:pPr>
              <w:pStyle w:val="Compact"/>
              <w:jc w:val="left"/>
            </w:pPr>
            <w:r>
              <w:rPr>
                <w:bCs/>
                <w:b/>
                <w:sz w:val="18"/>
              </w:rPr>
              <w:t xml:space="preserve">REZAGO DE PUBLICACIÓN</w:t>
            </w:r>
          </w:p>
        </w:tc>
        <w:tc>
          <w:tcPr>
            <w:tcW w:w="2188" w:type="dxa"/>
          </w:tcPr>
          <w:p>
            <w:pPr>
              <w:pStyle w:val="Compact"/>
              <w:jc w:val="left"/>
            </w:pPr>
            <w:r>
              <w:rPr>
                <w:sz w:val="18"/>
              </w:rPr>
              <w:t xml:space="preserve">Se actualiza con cada licitación (dos por mes); el mes cierra cuando la Secretaría de Finanzas publica su planilla de colocaciones.</w:t>
            </w:r>
          </w:p>
        </w:tc>
      </w:tr>
      <w:tr>
        <w:trPr>
          <w:cantSplit/>
        </w:trPr>
        <w:tc>
          <w:tcPr>
            <w:tcW w:w="1734" w:type="dxa"/>
          </w:tcPr>
          <w:p>
            <w:pPr>
              <w:pStyle w:val="Compact"/>
              <w:jc w:val="left"/>
            </w:pPr>
            <w:r>
              <w:rPr>
                <w:bCs/>
                <w:b/>
                <w:sz w:val="18"/>
              </w:rPr>
              <w:t xml:space="preserve">PRODUCTOR DEL DATO</w:t>
            </w:r>
          </w:p>
        </w:tc>
        <w:tc>
          <w:tcPr>
            <w:tcW w:w="3407" w:type="dxa"/>
          </w:tcPr>
          <w:p>
            <w:pPr>
              <w:pStyle w:val="Compact"/>
              <w:jc w:val="left"/>
            </w:pPr>
            <w:r>
              <w:rPr>
                <w:sz w:val="18"/>
              </w:rPr>
              <w:t xml:space="preserve">Secretaría de Finanzas (colocaciones de deuda) + BCRA (expectativas de inflación)</w:t>
            </w:r>
          </w:p>
        </w:tc>
        <w:tc>
          <w:tcPr>
            <w:tcW w:w="1743" w:type="dxa"/>
          </w:tcPr>
          <w:p>
            <w:pPr>
              <w:pStyle w:val="Compact"/>
              <w:jc w:val="left"/>
            </w:pPr>
            <w:r>
              <w:rPr>
                <w:bCs/>
                <w:b/>
                <w:sz w:val="18"/>
              </w:rPr>
              <w:t xml:space="preserve">OPERACIÓN ESTADÍSTICA</w:t>
            </w:r>
          </w:p>
        </w:tc>
        <w:tc>
          <w:tcPr>
            <w:tcW w:w="2188" w:type="dxa"/>
          </w:tcPr>
          <w:p>
            <w:pPr>
              <w:pStyle w:val="Compact"/>
              <w:jc w:val="left"/>
            </w:pPr>
            <w:r>
              <w:rPr>
                <w:sz w:val="18"/>
              </w:rPr>
              <w:t xml:space="preserve">Colocaciones de letras y bonos del Tesoro en el mercado local, y expectativa de inflación a doce meses</w:t>
            </w:r>
          </w:p>
        </w:tc>
      </w:tr>
      <w:tr>
        <w:trPr>
          <w:cantSplit/>
        </w:trPr>
        <w:tc>
          <w:tcPr>
            <w:tcW w:w="1734" w:type="dxa"/>
          </w:tcPr>
          <w:p>
            <w:pPr>
              <w:pStyle w:val="Compact"/>
              <w:jc w:val="left"/>
            </w:pPr>
            <w:r>
              <w:rPr>
                <w:bCs/>
                <w:b/>
                <w:sz w:val="18"/>
              </w:rPr>
              <w:t xml:space="preserve">MODO DE ACCESO</w:t>
            </w:r>
          </w:p>
        </w:tc>
        <w:tc>
          <w:tcPr>
            <w:tcW w:w="3407" w:type="dxa"/>
          </w:tcPr>
          <w:p>
            <w:pPr>
              <w:pStyle w:val="Compact"/>
              <w:jc w:val="left"/>
            </w:pPr>
            <w:r>
              <w:rPr>
                <w:sz w:val="18"/>
              </w:rPr>
              <w:t xml:space="preserve">Automático: planilla oficial de cada año y serie de expectativas del BCRA.</w:t>
            </w:r>
          </w:p>
        </w:tc>
        <w:tc>
          <w:tcPr>
            <w:tcW w:w="1743" w:type="dxa"/>
          </w:tcPr>
          <w:p>
            <w:pPr>
              <w:pStyle w:val="Compact"/>
              <w:jc w:val="left"/>
            </w:pPr>
            <w:r>
              <w:rPr>
                <w:bCs/>
                <w:b/>
                <w:sz w:val="18"/>
              </w:rPr>
              <w:t xml:space="preserve">ÚLTIMA ACTUALIZACIÓN</w:t>
            </w:r>
          </w:p>
        </w:tc>
        <w:tc>
          <w:tcPr>
            <w:tcW w:w="2188" w:type="dxa"/>
          </w:tcPr>
          <w:p>
            <w:pPr>
              <w:pStyle w:val="Compact"/>
              <w:jc w:val="left"/>
            </w:pPr>
            <w:r>
              <w:rPr>
                <w:sz w:val="18"/>
              </w:rPr>
              <w:t xml:space="preserve">Dato a 2026-06 · informe generado el 2026-08-09</w:t>
            </w:r>
          </w:p>
        </w:tc>
      </w:tr>
    </w:tbl>
    <w:bookmarkEnd w:id="175"/>
    <w:bookmarkStart w:id="176" w:name="definición-qué-mide-y-por-qué-importa-15"/>
    <w:p>
      <w:pPr>
        <w:pStyle w:val="Heading2"/>
        <w:keepNext/>
      </w:pPr>
      <w:r>
        <w:t xml:space="preserve">Definición — qué mide y por qué importa</w:t>
      </w:r>
    </w:p>
    <w:p>
      <w:pPr>
        <w:pStyle w:val="FirstParagraph"/>
      </w:pPr>
      <w:r>
        <w:t xml:space="preserve">Qué tasa de interés real paga el Tesoro para renovar su deuda en pesos: la tasa efectiva anual de las licitaciones del mes, descontada la inflación esperada.</w:t>
      </w:r>
    </w:p>
    <w:p>
      <w:pPr>
        <w:pStyle w:val="BodyText"/>
      </w:pPr>
      <w:r>
        <w:t xml:space="preserve">Es el precio del financiamiento del Estado. Reservas, capacidad prestable y crédito miden cuánta financiación hay; esta mide cuánto cuesta conseguirla. Los dos extremos son malos: una tasa real muy negativa indica que el Tesoro coloca licuando al ahorrista, y una muy alta que la deuda crece más rápido que la economía.</w:t>
      </w:r>
    </w:p>
    <w:p>
      <w:pPr>
        <w:pStyle w:val="BodyText"/>
      </w:pPr>
      <w:r>
        <w:rPr>
          <w:bCs/>
          <w:b/>
        </w:rPr>
        <w:t xml:space="preserve">Dimensión que integra — Capacidad y costo del financiamiento.</w:t>
      </w:r>
      <w:r>
        <w:t xml:space="preserve"> </w:t>
      </w:r>
      <w:r>
        <w:t xml:space="preserve">Si hay combustible para la economía: reservas netas (el respaldo externo), capacidad prestable del sistema financiero (IdC) y crédito real efectivamente otorgado.</w:t>
      </w:r>
    </w:p>
    <w:bookmarkEnd w:id="176"/>
    <w:bookmarkStart w:id="177" w:name="método-de-cómputo-15"/>
    <w:p>
      <w:pPr>
        <w:pStyle w:val="Heading2"/>
        <w:keepNext/>
      </w:pPr>
      <w:r>
        <w:t xml:space="preserve">Método de cómputo</w:t>
      </w:r>
    </w:p>
    <w:p>
      <w:pPr>
        <w:numPr>
          <w:ilvl w:val="0"/>
          <w:numId w:val="1072"/>
        </w:numPr>
        <w:pStyle w:val="Compact"/>
      </w:pPr>
      <w:r>
        <w:t xml:space="preserve">De cada colocación se obtiene la tasa efectiva anual implícita a partir del precio de corte, la fecha de vencimiento y la forma de pago del instrumento.</w:t>
      </w:r>
    </w:p>
    <w:p>
      <w:pPr>
        <w:numPr>
          <w:ilvl w:val="0"/>
          <w:numId w:val="1072"/>
        </w:numPr>
        <w:pStyle w:val="Compact"/>
      </w:pPr>
      <w:r>
        <w:t xml:space="preserve">Las colocaciones del mes se promedian ponderando por el monto adjudicado: una licitación chica no mueve el promedio como una grande.</w:t>
      </w:r>
    </w:p>
    <w:p>
      <w:pPr>
        <w:numPr>
          <w:ilvl w:val="0"/>
          <w:numId w:val="1072"/>
        </w:numPr>
        <w:pStyle w:val="Compact"/>
      </w:pPr>
      <w:r>
        <w:t xml:space="preserve">Solo entran los instrumentos a tasa fija en pesos. Los ajustados por inflación, los atados al dólar y los de tasa variable quedan afuera porque su rendimiento no es comparable con el de una tasa fija.</w:t>
      </w:r>
    </w:p>
    <w:p>
      <w:pPr>
        <w:numPr>
          <w:ilvl w:val="0"/>
          <w:numId w:val="1072"/>
        </w:numPr>
        <w:pStyle w:val="Compact"/>
      </w:pPr>
      <w:r>
        <w:t xml:space="preserve">Al promedio se le descuenta la inflación esperada a doce meses, para leer la tasa en términos reales.</w:t>
      </w:r>
    </w:p>
    <w:bookmarkEnd w:id="177"/>
    <w:bookmarkStart w:id="178" w:name="X8797a617a46fa23875915c569ac62b6d653dda8"/>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spacing w:after="160"/>
      </w:pPr>
      <w:r>
        <w:rPr>
          <w:bCs/>
          <w:b/>
        </w:rPr>
        <w:t xml:space="preserve">Valores que definen cada color</w:t>
      </w:r>
    </w:p>
    <w:tbl>
      <w:tblPr>
        <w:tblStyle w:val="Table"/>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5914"/>
        <w:gridCol w:w="3158"/>
      </w:tblGrid>
      <w:tr>
        <w:trPr>
          <w:cantSplit/>
          <w:tblHeader/>
        </w:trPr>
        <w:tc>
          <w:tcPr>
            <w:tcW w:w="5914" w:type="dxa"/>
            <w:shd w:val="clear" w:color="auto" w:fill="1F3A34"/>
          </w:tcPr>
          <w:p>
            <w:pPr>
              <w:pStyle w:val="Compact"/>
              <w:jc w:val="left"/>
            </w:pPr>
            <w:r>
              <w:rPr>
                <w:b/>
                <w:sz w:val="18"/>
                <w:color w:val="FFFFFF"/>
              </w:rPr>
              <w:t xml:space="preserve">Rango (% real anual (TIREA vs. inflación esperada REM))</w:t>
            </w:r>
          </w:p>
        </w:tc>
        <w:tc>
          <w:tcPr>
            <w:tcW w:w="3158" w:type="dxa"/>
            <w:shd w:val="clear" w:color="auto" w:fill="1F3A34"/>
          </w:tcPr>
          <w:p>
            <w:pPr>
              <w:pStyle w:val="Compact"/>
              <w:jc w:val="left"/>
            </w:pPr>
            <w:r>
              <w:rPr>
                <w:b/>
                <w:sz w:val="18"/>
                <w:color w:val="FFFFFF"/>
              </w:rPr>
              <w:t xml:space="preserve">Color</w:t>
            </w:r>
          </w:p>
        </w:tc>
      </w:tr>
      <w:tr>
        <w:trPr>
          <w:cantSplit/>
        </w:trPr>
        <w:tc>
          <w:tcPr>
            <w:tcW w:w="5914" w:type="dxa"/>
          </w:tcPr>
          <w:p>
            <w:pPr>
              <w:pStyle w:val="Compact"/>
              <w:jc w:val="left"/>
            </w:pPr>
            <w:r>
              <w:rPr>
                <w:sz w:val="18"/>
              </w:rPr>
              <w:t xml:space="preserve">−1,89 – 12,5</w:t>
            </w:r>
          </w:p>
        </w:tc>
        <w:tc>
          <w:tcPr>
            <w:tcW w:w="3158" w:type="dxa"/>
            <w:shd w:val="clear" w:color="auto" w:fill="DCFCE7"/>
          </w:tcPr>
          <w:p>
            <w:pPr>
              <w:pStyle w:val="Compact"/>
              <w:jc w:val="center"/>
            </w:pPr>
            <w:r>
              <w:rPr>
                <w:b/>
                <w:sz w:val="18"/>
                <w:color w:val="14532D"/>
              </w:rPr>
              <w:t xml:space="preserve">VERDE</w:t>
            </w:r>
          </w:p>
        </w:tc>
      </w:tr>
      <w:tr>
        <w:trPr>
          <w:cantSplit/>
        </w:trPr>
        <w:tc>
          <w:tcPr>
            <w:tcW w:w="5914" w:type="dxa"/>
            <w:shd w:val="clear" w:color="auto" w:fill="F6F8F7"/>
          </w:tcPr>
          <w:p>
            <w:pPr>
              <w:pStyle w:val="Compact"/>
              <w:jc w:val="left"/>
            </w:pPr>
            <w:r>
              <w:rPr>
                <w:sz w:val="18"/>
              </w:rPr>
              <w:t xml:space="preserve">−3,57 – −1,89</w:t>
            </w:r>
          </w:p>
        </w:tc>
        <w:tc>
          <w:tcPr>
            <w:tcW w:w="3158" w:type="dxa"/>
            <w:shd w:val="clear" w:color="auto" w:fill="FEF3C7"/>
          </w:tcPr>
          <w:p>
            <w:pPr>
              <w:pStyle w:val="Compact"/>
              <w:jc w:val="center"/>
            </w:pPr>
            <w:r>
              <w:rPr>
                <w:b/>
                <w:sz w:val="18"/>
                <w:color w:val="713F12"/>
              </w:rPr>
              <w:t xml:space="preserve">AMARILLO</w:t>
            </w:r>
          </w:p>
        </w:tc>
      </w:tr>
      <w:tr>
        <w:trPr>
          <w:cantSplit/>
        </w:trPr>
        <w:tc>
          <w:tcPr>
            <w:tcW w:w="5914" w:type="dxa"/>
          </w:tcPr>
          <w:p>
            <w:pPr>
              <w:pStyle w:val="Compact"/>
              <w:jc w:val="left"/>
            </w:pPr>
            <w:r>
              <w:rPr>
                <w:sz w:val="18"/>
              </w:rPr>
              <w:t xml:space="preserve">12,5 – 16,67</w:t>
            </w:r>
          </w:p>
        </w:tc>
        <w:tc>
          <w:tcPr>
            <w:tcW w:w="3158" w:type="dxa"/>
            <w:shd w:val="clear" w:color="auto" w:fill="FEF3C7"/>
          </w:tcPr>
          <w:p>
            <w:pPr>
              <w:pStyle w:val="Compact"/>
              <w:jc w:val="center"/>
            </w:pPr>
            <w:r>
              <w:rPr>
                <w:b/>
                <w:sz w:val="18"/>
                <w:color w:val="713F12"/>
              </w:rPr>
              <w:t xml:space="preserve">AMARILLO</w:t>
            </w:r>
          </w:p>
        </w:tc>
      </w:tr>
      <w:tr>
        <w:trPr>
          <w:cantSplit/>
        </w:trPr>
        <w:tc>
          <w:tcPr>
            <w:tcW w:w="5914" w:type="dxa"/>
            <w:shd w:val="clear" w:color="auto" w:fill="F6F8F7"/>
          </w:tcPr>
          <w:p>
            <w:pPr>
              <w:pStyle w:val="Compact"/>
              <w:jc w:val="left"/>
            </w:pPr>
            <w:r>
              <w:rPr>
                <w:sz w:val="18"/>
              </w:rPr>
              <w:t xml:space="preserve">≤ −3,57</w:t>
            </w:r>
          </w:p>
        </w:tc>
        <w:tc>
          <w:tcPr>
            <w:tcW w:w="3158" w:type="dxa"/>
            <w:shd w:val="clear" w:color="auto" w:fill="FFEDD5"/>
          </w:tcPr>
          <w:p>
            <w:pPr>
              <w:pStyle w:val="Compact"/>
              <w:jc w:val="center"/>
            </w:pPr>
            <w:r>
              <w:rPr>
                <w:b/>
                <w:sz w:val="18"/>
                <w:color w:val="7C2D12"/>
              </w:rPr>
              <w:t xml:space="preserve">NARANJA</w:t>
            </w:r>
          </w:p>
        </w:tc>
      </w:tr>
      <w:tr>
        <w:trPr>
          <w:cantSplit/>
        </w:trPr>
        <w:tc>
          <w:tcPr>
            <w:tcW w:w="5914" w:type="dxa"/>
          </w:tcPr>
          <w:p>
            <w:pPr>
              <w:pStyle w:val="Compact"/>
              <w:jc w:val="left"/>
            </w:pPr>
            <w:r>
              <w:rPr>
                <w:sz w:val="18"/>
              </w:rPr>
              <w:t xml:space="preserve">16,67 – 19,33</w:t>
            </w:r>
          </w:p>
        </w:tc>
        <w:tc>
          <w:tcPr>
            <w:tcW w:w="3158" w:type="dxa"/>
            <w:shd w:val="clear" w:color="auto" w:fill="FFEDD5"/>
          </w:tcPr>
          <w:p>
            <w:pPr>
              <w:pStyle w:val="Compact"/>
              <w:jc w:val="center"/>
            </w:pPr>
            <w:r>
              <w:rPr>
                <w:b/>
                <w:sz w:val="18"/>
                <w:color w:val="7C2D12"/>
              </w:rPr>
              <w:t xml:space="preserve">NARANJA</w:t>
            </w:r>
          </w:p>
        </w:tc>
      </w:tr>
      <w:tr>
        <w:trPr>
          <w:cantSplit/>
        </w:trPr>
        <w:tc>
          <w:tcPr>
            <w:tcW w:w="5914" w:type="dxa"/>
            <w:shd w:val="clear" w:color="auto" w:fill="F6F8F7"/>
          </w:tcPr>
          <w:p>
            <w:pPr>
              <w:pStyle w:val="Compact"/>
              <w:jc w:val="left"/>
            </w:pPr>
            <w:r>
              <w:rPr>
                <w:sz w:val="18"/>
              </w:rPr>
              <w:t xml:space="preserve">≥ 19,33</w:t>
            </w:r>
          </w:p>
        </w:tc>
        <w:tc>
          <w:tcPr>
            <w:tcW w:w="3158" w:type="dxa"/>
            <w:shd w:val="clear" w:color="auto" w:fill="FEE2E2"/>
          </w:tcPr>
          <w:p>
            <w:pPr>
              <w:pStyle w:val="Compact"/>
              <w:jc w:val="center"/>
            </w:pPr>
            <w:r>
              <w:rPr>
                <w:b/>
                <w:sz w:val="18"/>
                <w:color w:val="7F1D1D"/>
              </w:rPr>
              <w:t xml:space="preserve">ROJO</w:t>
            </w:r>
          </w:p>
        </w:tc>
      </w:tr>
    </w:tbl>
    <w:bookmarkEnd w:id="178"/>
    <w:bookmarkStart w:id="179" w:name="datos-concretos-detrás-del-valor-15"/>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73"/>
        </w:numPr>
        <w:pStyle w:val="Compact"/>
      </w:pPr>
      <w:r>
        <w:t xml:space="preserve">2026-06: TIREA 32.2% en 1 colocación/es a tasa fija en pesos contra inflación esperada 22.3% → +8.1% real</w:t>
      </w:r>
    </w:p>
    <w:bookmarkEnd w:id="179"/>
    <w:bookmarkStart w:id="180" w:name="color-vigente-y-por-qué-15"/>
    <w:p>
      <w:pPr>
        <w:pStyle w:val="Heading2"/>
        <w:keepNext/>
      </w:pPr>
      <w:r>
        <w:t xml:space="preserve">Color vigente y por qué</w:t>
      </w:r>
    </w:p>
    <w:p>
      <w:pPr>
        <w:pStyle w:val="FirstParagraph"/>
      </w:pPr>
      <w:r>
        <w:t xml:space="preserve">Dato vigente: 8,07 % real anual (TIREA vs. inflación esperada REM) (2026-06).</w:t>
      </w:r>
    </w:p>
    <w:p>
      <w:pPr>
        <w:pStyle w:val="BodyText"/>
      </w:pPr>
      <w:r>
        <w:t xml:space="preserve">8,07 % real anual (TIREA vs. inflación esperada REM) cae en el tramo que corresponde a Verde, a 4,43 del corte más cercano.</w:t>
      </w:r>
    </w:p>
    <w:p>
      <w:pPr>
        <w:pStyle w:val="BodyText"/>
      </w:pPr>
      <w:r>
        <w:rPr>
          <w:bCs/>
          <w:b/>
        </w:rPr>
        <w:t xml:space="preserve">Color vigente: VERDE</w:t>
      </w:r>
    </w:p>
    <w:p>
      <w:pPr>
        <w:pStyle w:val="BodyText"/>
      </w:pPr>
      <w:r>
        <w:t xml:space="preserve">Ponderación vigente en el ITCM: 4 % efectivo. El color es una lectura adicional — no reemplaza ni cambia esta ponderación.</w:t>
      </w:r>
    </w:p>
    <w:bookmarkEnd w:id="180"/>
    <w:bookmarkStart w:id="181" w:name="transparencia-limitaciones-declaradas-15"/>
    <w:p>
      <w:pPr>
        <w:pStyle w:val="Heading2"/>
        <w:keepNext/>
      </w:pPr>
      <w:r>
        <w:t xml:space="preserve">Transparencia — limitaciones declaradas</w:t>
      </w:r>
    </w:p>
    <w:p>
      <w:pPr>
        <w:numPr>
          <w:ilvl w:val="0"/>
          <w:numId w:val="1074"/>
        </w:numPr>
        <w:pStyle w:val="Compact"/>
      </w:pPr>
      <w:r>
        <w:t xml:space="preserve">Es el único indicador del tablero cuya escala premia el punto medio y castiga los dos extremos: una tasa real muy negativa significa que el Estado se financia licuando al ahorrista, y una muy alta que la deuda crece más rápido que la economía.</w:t>
      </w:r>
    </w:p>
    <w:p>
      <w:pPr>
        <w:numPr>
          <w:ilvl w:val="0"/>
          <w:numId w:val="1074"/>
        </w:numPr>
        <w:pStyle w:val="Compact"/>
      </w:pPr>
      <w:r>
        <w:t xml:space="preserve">Se expresa en tasa efectiva anual, no en tasa nominal anual. A tasas altas la diferencia es enorme: la letra colocada en diciembre de 2023 equivalía a 105% nominal y a 169% efectiva.</w:t>
      </w:r>
    </w:p>
    <w:p>
      <w:pPr>
        <w:numPr>
          <w:ilvl w:val="0"/>
          <w:numId w:val="1074"/>
        </w:numPr>
        <w:pStyle w:val="Compact"/>
      </w:pPr>
      <w:r>
        <w:t xml:space="preserve">Los meses sin colocaciones a tasa fija en pesos no tienen dato: enero y febrero de 2024 quedan fuera de la serie porque todo lo emitido en esos meses se ajustaba por inflación.</w:t>
      </w:r>
    </w:p>
    <w:p>
      <w:pPr>
        <w:numPr>
          <w:ilvl w:val="0"/>
          <w:numId w:val="1074"/>
        </w:numPr>
        <w:pStyle w:val="Compact"/>
      </w:pPr>
      <w:r>
        <w:t xml:space="preserve">El promedio mezcla plazos: un mes con colocaciones largas y otro con cortas no son estrictamente comparables cuando la curva de tasas tiene pendiente.</w:t>
      </w:r>
    </w:p>
    <w:p>
      <w:pPr>
        <w:numPr>
          <w:ilvl w:val="0"/>
          <w:numId w:val="1074"/>
        </w:numPr>
        <w:pStyle w:val="Compact"/>
      </w:pPr>
      <w:r>
        <w:t xml:space="preserve">El deflactor es una expectativa relevada por encuesta, la misma que usa el indicador de expectativas de inflación.</w:t>
      </w:r>
    </w:p>
    <w:bookmarkEnd w:id="181"/>
    <w:bookmarkStart w:id="182" w:name="X0c45de6897a5612009ee621684988b95b96a817"/>
    <w:p>
      <w:pPr>
        <w:pStyle w:val="Heading2"/>
        <w:keepNext/>
      </w:pPr>
      <w:r>
        <w:t xml:space="preserve">Si falta el dato / Política de revisiones</w:t>
      </w:r>
    </w:p>
    <w:p>
      <w:pPr>
        <w:numPr>
          <w:ilvl w:val="0"/>
          <w:numId w:val="1075"/>
        </w:numPr>
      </w:pPr>
      <w:r>
        <w:rPr>
          <w:bCs/>
          <w:b/>
        </w:rPr>
        <w:t xml:space="preserve">Si falta el dato:</w:t>
      </w:r>
      <w:r>
        <w:t xml:space="preserve"> </w:t>
      </w:r>
      <w:r>
        <w:t xml:space="preserve">Sin colocaciones a tasa fija en el mes se conserva el último valor disponible, señalado como desactualizado; reservas, capacidad prestable y crédito renormalizan dentro de la dimensión.</w:t>
      </w:r>
    </w:p>
    <w:p>
      <w:pPr>
        <w:numPr>
          <w:ilvl w:val="0"/>
          <w:numId w:val="1075"/>
        </w:numPr>
      </w:pPr>
      <w:r>
        <w:rPr>
          <w:bCs/>
          <w:b/>
        </w:rPr>
        <w:t xml:space="preserve">Política de revisiones:</w:t>
      </w:r>
      <w:r>
        <w:t xml:space="preserve"> </w:t>
      </w:r>
      <w:r>
        <w:t xml:space="preserve">Las planillas del año en curso se actualizan a lo largo del año; la serie se regenera completa desde diciembre de 2023 en cada actualización.</w:t>
      </w:r>
    </w:p>
    <w:bookmarkEnd w:id="182"/>
    <w:bookmarkStart w:id="183" w:name="X4ab0c5eb5abca5f38141be4205cfacb1b6608f5"/>
    <w:p>
      <w:pPr>
        <w:pStyle w:val="Heading2"/>
        <w:keepNext/>
      </w:pPr>
      <w:r>
        <w:t xml:space="preserve">Historial — cambios metodológicos documentados</w:t>
      </w:r>
    </w:p>
    <w:p>
      <w:pPr>
        <w:pStyle w:val="FirstParagraph"/>
      </w:pPr>
      <w:r>
        <w:rPr>
          <w:bCs/>
          <w:b/>
        </w:rPr>
        <w:t xml:space="preserve">2026-07-18</w:t>
      </w:r>
      <w:r>
        <w:t xml:space="preserve"> </w:t>
      </w:r>
      <w:r>
        <w:t xml:space="preserve">— Nace y entra al índice con el 25% de la dimensión de financiamiento, que pasa a llamarse capacidad y costo del financiamiento; los otros tres componentes se recortan en proporción. Cubre el precio del financiamiento del Estado, que la dimensión no medía.</w:t>
      </w:r>
    </w:p>
    <w:p>
      <w:r>
        <w:br w:type="page"/>
      </w:r>
    </w:p>
    <w:p>
      <w:pPr>
        <w:pStyle w:val="BodyText"/>
      </w:pPr>
      <w:r>
        <w:rPr>
          <w:bCs/>
          <w:b/>
        </w:rPr>
        <w:t xml:space="preserve">CIGOB · INFORME DE COYUNTURA</w:t>
      </w:r>
    </w:p>
    <w:p>
      <w:pPr>
        <w:pStyle w:val="BodyText"/>
      </w:pPr>
      <w:r>
        <w:rPr>
          <w:iCs/>
          <w:i/>
        </w:rPr>
        <w:t xml:space="preserve">Ficha metodológica · Cinturón Macroeconomía · Capa de semáforo (4 colores)</w:t>
      </w:r>
    </w:p>
    <w:bookmarkEnd w:id="183"/>
    <w:bookmarkEnd w:id="184"/>
    <w:bookmarkStart w:id="194" w:name="resultado-primario-del-estado-nacional"/>
    <w:p>
      <w:pPr>
        <w:pStyle w:val="Heading1"/>
        <w:keepNext/>
      </w:pPr>
      <w:r>
        <w:t xml:space="preserve">Resultado primario del Estado nacional</w:t>
      </w:r>
    </w:p>
    <w:p>
      <w:pPr>
        <w:pStyle w:val="FirstParagraph"/>
        <w:spacing w:after="160"/>
      </w:pPr>
      <w:r>
        <w:t xml:space="preserve">Cuánto le sobra (o le falta) al Estado nacional después de pagar todo su gasto, antes de los intereses de la deuda, acumulado en doce meses y medido como porcentaje de lo que recauda.</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3476"/>
        <w:gridCol w:w="1078"/>
        <w:gridCol w:w="2101"/>
        <w:gridCol w:w="2417"/>
      </w:tblGrid>
      <w:tr>
        <w:trPr>
          <w:cantSplit/>
        </w:trPr>
        <w:tc>
          <w:tcPr>
            <w:tcW w:w="3476" w:type="dxa"/>
          </w:tcPr>
          <w:p>
            <w:pPr>
              <w:pStyle w:val="Compact"/>
              <w:jc w:val="left"/>
            </w:pPr>
            <w:r>
              <w:rPr>
                <w:bCs/>
                <w:b/>
                <w:sz w:val="18"/>
              </w:rPr>
              <w:t xml:space="preserve">Hoy: 5,55 % de la recaudación (acum. 12 meses)</w:t>
            </w:r>
            <w:r>
              <w:rPr>
                <w:sz w:val="18"/>
              </w:rPr>
              <w:t xml:space="preserve"> </w:t>
            </w:r>
            <w:r>
              <w:rPr>
                <w:sz w:val="18"/>
              </w:rPr>
              <w:t xml:space="preserve">(2026-06)</w:t>
            </w:r>
          </w:p>
        </w:tc>
        <w:tc>
          <w:tcPr>
            <w:tcW w:w="1078" w:type="dxa"/>
            <w:shd w:val="clear" w:color="auto" w:fill="DCFCE7"/>
          </w:tcPr>
          <w:p>
            <w:pPr>
              <w:pStyle w:val="Compact"/>
              <w:jc w:val="center"/>
            </w:pPr>
            <w:r>
              <w:rPr>
                <w:bCs/>
                <w:b/>
                <w:sz w:val="18"/>
                <w:color w:val="14532D"/>
              </w:rPr>
              <w:t xml:space="preserve">VERDE</w:t>
            </w:r>
          </w:p>
        </w:tc>
        <w:tc>
          <w:tcPr>
            <w:tcW w:w="2101" w:type="dxa"/>
          </w:tcPr>
          <w:p>
            <w:pPr>
              <w:pStyle w:val="Compact"/>
              <w:jc w:val="left"/>
            </w:pPr>
            <w:r>
              <w:rPr>
                <w:sz w:val="18"/>
              </w:rPr>
              <w:t xml:space="preserve">Peso efectivo 12 % del ITCM</w:t>
            </w:r>
          </w:p>
        </w:tc>
        <w:tc>
          <w:tcPr>
            <w:tcW w:w="2417" w:type="dxa"/>
          </w:tcPr>
          <w:p>
            <w:pPr>
              <w:pStyle w:val="Compact"/>
              <w:jc w:val="left"/>
            </w:pPr>
            <w:r>
              <w:rPr>
                <w:sz w:val="18"/>
              </w:rPr>
              <w:t xml:space="preserve">Cinturón Macroeconomía</w:t>
            </w:r>
          </w:p>
        </w:tc>
      </w:tr>
    </w:tbl>
    <w:bookmarkStart w:id="185" w:name="identificación-16"/>
    <w:p>
      <w:pPr>
        <w:pStyle w:val="Heading2"/>
        <w:keepNext/>
        <w:spacing w:after="160"/>
      </w:pPr>
      <w:r>
        <w:t xml:space="preserve">Identificación</w:t>
      </w:r>
    </w:p>
    <w:tbl>
      <w:tblPr>
        <w:tblStyle w:val="Table"/>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1868"/>
        <w:gridCol w:w="2749"/>
        <w:gridCol w:w="1884"/>
        <w:gridCol w:w="2571"/>
      </w:tblGrid>
      <w:tr>
        <w:trPr>
          <w:cantSplit/>
        </w:trPr>
        <w:tc>
          <w:tcPr>
            <w:tcW w:w="1868" w:type="dxa"/>
          </w:tcPr>
          <w:p>
            <w:pPr>
              <w:pStyle w:val="Compact"/>
              <w:jc w:val="left"/>
            </w:pPr>
            <w:r>
              <w:rPr>
                <w:bCs/>
                <w:b/>
                <w:sz w:val="18"/>
              </w:rPr>
              <w:t xml:space="preserve">IDENTIFICADOR TÉCNICO</w:t>
            </w:r>
          </w:p>
        </w:tc>
        <w:tc>
          <w:tcPr>
            <w:tcW w:w="2749" w:type="dxa"/>
          </w:tcPr>
          <w:p>
            <w:pPr>
              <w:pStyle w:val="Compact"/>
              <w:jc w:val="left"/>
            </w:pPr>
            <w:r>
              <w:rPr>
                <w:sz w:val="18"/>
              </w:rPr>
              <w:t xml:space="preserve">resultado_primario</w:t>
            </w:r>
          </w:p>
        </w:tc>
        <w:tc>
          <w:tcPr>
            <w:tcW w:w="1884" w:type="dxa"/>
          </w:tcPr>
          <w:p>
            <w:pPr>
              <w:pStyle w:val="Compact"/>
              <w:jc w:val="left"/>
            </w:pPr>
            <w:r>
              <w:rPr>
                <w:bCs/>
                <w:b/>
                <w:sz w:val="18"/>
              </w:rPr>
              <w:t xml:space="preserve">CINTURÓN</w:t>
            </w:r>
          </w:p>
        </w:tc>
        <w:tc>
          <w:tcPr>
            <w:tcW w:w="2571" w:type="dxa"/>
          </w:tcPr>
          <w:p>
            <w:pPr>
              <w:pStyle w:val="Compact"/>
              <w:jc w:val="left"/>
            </w:pPr>
            <w:r>
              <w:rPr>
                <w:sz w:val="18"/>
              </w:rPr>
              <w:t xml:space="preserve">Macroeconomía</w:t>
            </w:r>
          </w:p>
        </w:tc>
      </w:tr>
      <w:tr>
        <w:trPr>
          <w:cantSplit/>
        </w:trPr>
        <w:tc>
          <w:tcPr>
            <w:tcW w:w="1868" w:type="dxa"/>
          </w:tcPr>
          <w:p>
            <w:pPr>
              <w:pStyle w:val="Compact"/>
              <w:jc w:val="left"/>
            </w:pPr>
            <w:r>
              <w:rPr>
                <w:bCs/>
                <w:b/>
                <w:sz w:val="18"/>
              </w:rPr>
              <w:t xml:space="preserve">DIMENSIÓN EN EL ITCM</w:t>
            </w:r>
          </w:p>
        </w:tc>
        <w:tc>
          <w:tcPr>
            <w:tcW w:w="2749" w:type="dxa"/>
          </w:tcPr>
          <w:p>
            <w:pPr>
              <w:pStyle w:val="Compact"/>
              <w:jc w:val="left"/>
            </w:pPr>
            <w:r>
              <w:rPr>
                <w:sz w:val="18"/>
              </w:rPr>
              <w:t xml:space="preserve">Viabilidad fiscal-comercial</w:t>
            </w:r>
          </w:p>
        </w:tc>
        <w:tc>
          <w:tcPr>
            <w:tcW w:w="1884" w:type="dxa"/>
          </w:tcPr>
          <w:p>
            <w:pPr>
              <w:pStyle w:val="Compact"/>
              <w:jc w:val="left"/>
            </w:pPr>
            <w:r>
              <w:rPr>
                <w:bCs/>
                <w:b/>
                <w:sz w:val="18"/>
              </w:rPr>
              <w:t xml:space="preserve">UNIDAD DE MEDIDA</w:t>
            </w:r>
          </w:p>
        </w:tc>
        <w:tc>
          <w:tcPr>
            <w:tcW w:w="2571" w:type="dxa"/>
          </w:tcPr>
          <w:p>
            <w:pPr>
              <w:pStyle w:val="Compact"/>
              <w:jc w:val="left"/>
            </w:pPr>
            <w:r>
              <w:rPr>
                <w:sz w:val="18"/>
              </w:rPr>
              <w:t xml:space="preserve">% de la recaudación (acum. 12 meses)</w:t>
            </w:r>
          </w:p>
        </w:tc>
      </w:tr>
      <w:tr>
        <w:trPr>
          <w:cantSplit/>
        </w:trPr>
        <w:tc>
          <w:tcPr>
            <w:tcW w:w="1868" w:type="dxa"/>
          </w:tcPr>
          <w:p>
            <w:pPr>
              <w:pStyle w:val="Compact"/>
              <w:jc w:val="left"/>
            </w:pPr>
            <w:r>
              <w:rPr>
                <w:bCs/>
                <w:b/>
                <w:sz w:val="18"/>
              </w:rPr>
              <w:t xml:space="preserve">SERIE DISPONIBLE</w:t>
            </w:r>
          </w:p>
        </w:tc>
        <w:tc>
          <w:tcPr>
            <w:tcW w:w="2749" w:type="dxa"/>
          </w:tcPr>
          <w:p>
            <w:pPr>
              <w:pStyle w:val="Compact"/>
              <w:jc w:val="left"/>
            </w:pPr>
            <w:r>
              <w:rPr>
                <w:sz w:val="18"/>
              </w:rPr>
              <w:t xml:space="preserve">2023-12 → 2026-06 (31 puntos)</w:t>
            </w:r>
          </w:p>
        </w:tc>
        <w:tc>
          <w:tcPr>
            <w:tcW w:w="1884" w:type="dxa"/>
          </w:tcPr>
          <w:p>
            <w:pPr>
              <w:pStyle w:val="Compact"/>
              <w:jc w:val="left"/>
            </w:pPr>
            <w:r>
              <w:rPr>
                <w:bCs/>
                <w:b/>
                <w:sz w:val="18"/>
              </w:rPr>
              <w:t xml:space="preserve">REZAGO DE PUBLICACIÓN</w:t>
            </w:r>
          </w:p>
        </w:tc>
        <w:tc>
          <w:tcPr>
            <w:tcW w:w="2571" w:type="dxa"/>
          </w:tcPr>
          <w:p>
            <w:pPr>
              <w:pStyle w:val="Compact"/>
              <w:jc w:val="left"/>
            </w:pPr>
            <w:r>
              <w:rPr>
                <w:sz w:val="18"/>
              </w:rPr>
              <w:t xml:space="preserve">Un mes: el informe de ingresos y gastos se publica en la segunda quincena del mes siguiente.</w:t>
            </w:r>
          </w:p>
        </w:tc>
      </w:tr>
      <w:tr>
        <w:trPr>
          <w:cantSplit/>
        </w:trPr>
        <w:tc>
          <w:tcPr>
            <w:tcW w:w="1868" w:type="dxa"/>
          </w:tcPr>
          <w:p>
            <w:pPr>
              <w:pStyle w:val="Compact"/>
              <w:jc w:val="left"/>
            </w:pPr>
            <w:r>
              <w:rPr>
                <w:bCs/>
                <w:b/>
                <w:sz w:val="18"/>
              </w:rPr>
              <w:t xml:space="preserve">PRODUCTOR DEL DATO</w:t>
            </w:r>
          </w:p>
        </w:tc>
        <w:tc>
          <w:tcPr>
            <w:tcW w:w="2749" w:type="dxa"/>
          </w:tcPr>
          <w:p>
            <w:pPr>
              <w:pStyle w:val="Compact"/>
              <w:jc w:val="left"/>
            </w:pPr>
            <w:r>
              <w:rPr>
                <w:sz w:val="18"/>
              </w:rPr>
              <w:t xml:space="preserve">Secretaría de Hacienda (resultado primario) + recaudación nacional</w:t>
            </w:r>
          </w:p>
        </w:tc>
        <w:tc>
          <w:tcPr>
            <w:tcW w:w="1884" w:type="dxa"/>
          </w:tcPr>
          <w:p>
            <w:pPr>
              <w:pStyle w:val="Compact"/>
              <w:jc w:val="left"/>
            </w:pPr>
            <w:r>
              <w:rPr>
                <w:bCs/>
                <w:b/>
                <w:sz w:val="18"/>
              </w:rPr>
              <w:t xml:space="preserve">OPERACIÓN ESTADÍSTICA</w:t>
            </w:r>
          </w:p>
        </w:tc>
        <w:tc>
          <w:tcPr>
            <w:tcW w:w="2571" w:type="dxa"/>
          </w:tcPr>
          <w:p>
            <w:pPr>
              <w:pStyle w:val="Compact"/>
              <w:jc w:val="left"/>
            </w:pPr>
            <w:r>
              <w:rPr>
                <w:sz w:val="18"/>
              </w:rPr>
              <w:t xml:space="preserve">Informe mensual de ingresos y gastos del Sector Público Nacional, y recaudación tributaria total</w:t>
            </w:r>
          </w:p>
        </w:tc>
      </w:tr>
      <w:tr>
        <w:trPr>
          <w:cantSplit/>
        </w:trPr>
        <w:tc>
          <w:tcPr>
            <w:tcW w:w="1868" w:type="dxa"/>
          </w:tcPr>
          <w:p>
            <w:pPr>
              <w:pStyle w:val="Compact"/>
              <w:jc w:val="left"/>
            </w:pPr>
            <w:r>
              <w:rPr>
                <w:bCs/>
                <w:b/>
                <w:sz w:val="18"/>
              </w:rPr>
              <w:t xml:space="preserve">MODO DE ACCESO</w:t>
            </w:r>
          </w:p>
        </w:tc>
        <w:tc>
          <w:tcPr>
            <w:tcW w:w="2749" w:type="dxa"/>
          </w:tcPr>
          <w:p>
            <w:pPr>
              <w:pStyle w:val="Compact"/>
              <w:jc w:val="left"/>
            </w:pPr>
            <w:r>
              <w:rPr>
                <w:sz w:val="18"/>
              </w:rPr>
              <w:t xml:space="preserve">Automático: API de series de tiempo del Estado nacional.</w:t>
            </w:r>
          </w:p>
        </w:tc>
        <w:tc>
          <w:tcPr>
            <w:tcW w:w="1884" w:type="dxa"/>
          </w:tcPr>
          <w:p>
            <w:pPr>
              <w:pStyle w:val="Compact"/>
              <w:jc w:val="left"/>
            </w:pPr>
            <w:r>
              <w:rPr>
                <w:bCs/>
                <w:b/>
                <w:sz w:val="18"/>
              </w:rPr>
              <w:t xml:space="preserve">ÚLTIMA ACTUALIZACIÓN</w:t>
            </w:r>
          </w:p>
        </w:tc>
        <w:tc>
          <w:tcPr>
            <w:tcW w:w="2571" w:type="dxa"/>
          </w:tcPr>
          <w:p>
            <w:pPr>
              <w:pStyle w:val="Compact"/>
              <w:jc w:val="left"/>
            </w:pPr>
            <w:r>
              <w:rPr>
                <w:sz w:val="18"/>
              </w:rPr>
              <w:t xml:space="preserve">Dato a 2026-06 · informe generado el 2026-08-09</w:t>
            </w:r>
          </w:p>
        </w:tc>
      </w:tr>
    </w:tbl>
    <w:bookmarkEnd w:id="185"/>
    <w:bookmarkStart w:id="186" w:name="definición-qué-mide-y-por-qué-importa-16"/>
    <w:p>
      <w:pPr>
        <w:pStyle w:val="Heading2"/>
        <w:keepNext/>
      </w:pPr>
      <w:r>
        <w:t xml:space="preserve">Definición — qué mide y por qué importa</w:t>
      </w:r>
    </w:p>
    <w:p>
      <w:pPr>
        <w:pStyle w:val="FirstParagraph"/>
      </w:pPr>
      <w:r>
        <w:t xml:space="preserve">Cuánto le sobra (o le falta) al Estado nacional después de pagar todo su gasto, antes de los intereses de la deuda, acumulado en doce meses y medido como porcentaje de lo que recauda.</w:t>
      </w:r>
    </w:p>
    <w:p>
      <w:pPr>
        <w:pStyle w:val="BodyText"/>
      </w:pPr>
      <w:r>
        <w:t xml:space="preserve">Es el resultado fiscal, no los ingresos. La recaudación puede caer porque la actividad afloja o porque se bajaron impuestos a propósito, y en ninguno de los dos casos eso dice si las cuentas cierran. Este indicador responde esa pregunta directamente: de cada cien pesos recaudados, cuántos quedan.</w:t>
      </w:r>
    </w:p>
    <w:p>
      <w:pPr>
        <w:pStyle w:val="BodyText"/>
      </w:pPr>
      <w:r>
        <w:rPr>
          <w:bCs/>
          <w:b/>
        </w:rPr>
        <w:t xml:space="preserve">Dimensión que integra — Viabilidad fiscal-comercial.</w:t>
      </w:r>
      <w:r>
        <w:t xml:space="preserve"> </w:t>
      </w:r>
      <w:r>
        <w:t xml:space="preserve">Si las cuentas cierran: la recaudación real (el sostén del ancla fiscal) y el saldo comercial (los dólares genuinos del intercambio).</w:t>
      </w:r>
    </w:p>
    <w:bookmarkEnd w:id="186"/>
    <w:bookmarkStart w:id="187" w:name="método-de-cómputo-16"/>
    <w:p>
      <w:pPr>
        <w:pStyle w:val="Heading2"/>
        <w:keepNext/>
      </w:pPr>
      <w:r>
        <w:t xml:space="preserve">Método de cómputo</w:t>
      </w:r>
    </w:p>
    <w:p>
      <w:pPr>
        <w:numPr>
          <w:ilvl w:val="0"/>
          <w:numId w:val="1076"/>
        </w:numPr>
        <w:pStyle w:val="Compact"/>
      </w:pPr>
      <w:r>
        <w:t xml:space="preserve">Ambas series se acumulan en ventanas de doce meses. El resultado primario mensual es fuertemente estacional —diciembre da déficit todos los años por el aguinaldo y el cierre del ejercicio, enero da superávit alto—, así que puntuar el mes suelto marcaría un colapso fiscal cada diciembre.</w:t>
      </w:r>
    </w:p>
    <w:p>
      <w:pPr>
        <w:numPr>
          <w:ilvl w:val="0"/>
          <w:numId w:val="1076"/>
        </w:numPr>
        <w:pStyle w:val="Compact"/>
      </w:pPr>
      <w:r>
        <w:t xml:space="preserve">El resultado acumulado se divide por la recaudación acumulada del mismo período: de cada peso que recauda el Estado, cuánto le sobra después de gastar, antes de pagar intereses.</w:t>
      </w:r>
    </w:p>
    <w:p>
      <w:pPr>
        <w:numPr>
          <w:ilvl w:val="0"/>
          <w:numId w:val="1076"/>
        </w:numPr>
        <w:pStyle w:val="Compact"/>
      </w:pPr>
      <w:r>
        <w:t xml:space="preserve">Se normaliza contra la recaudación y no contra el producto ni contra los precios: no hay producto nominal mensual publicado, y usar el índice de precios sumaría una dependencia más a un deflactor que ya interviene en otros cuatro indicadores del índice.</w:t>
      </w:r>
    </w:p>
    <w:bookmarkEnd w:id="187"/>
    <w:bookmarkStart w:id="188" w:name="X73e3f854e4b8e082811c0c543bcdb6fb29273d5"/>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spacing w:after="160"/>
      </w:pPr>
      <w:r>
        <w:rPr>
          <w:bCs/>
          <w:b/>
        </w:rPr>
        <w:t xml:space="preserve">Valores que definen cada color</w:t>
      </w:r>
    </w:p>
    <w:tbl>
      <w:tblPr>
        <w:tblStyle w:val="Table"/>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W w:w="9072" w:type="dxa"/>
        <w:tblLayout w:type="fixed"/>
      </w:tblPr>
      <w:tblGrid>
        <w:gridCol w:w="5516"/>
        <w:gridCol w:w="3556"/>
      </w:tblGrid>
      <w:tr>
        <w:trPr>
          <w:cantSplit/>
          <w:tblHeader/>
        </w:trPr>
        <w:tc>
          <w:tcPr>
            <w:tcW w:w="5516" w:type="dxa"/>
            <w:shd w:val="clear" w:color="auto" w:fill="1F3A34"/>
          </w:tcPr>
          <w:p>
            <w:pPr>
              <w:pStyle w:val="Compact"/>
              <w:jc w:val="left"/>
            </w:pPr>
            <w:r>
              <w:rPr>
                <w:b/>
                <w:sz w:val="18"/>
                <w:color w:val="FFFFFF"/>
              </w:rPr>
              <w:t xml:space="preserve">Rango (% de la recaudación (acum. 12 meses))</w:t>
            </w:r>
          </w:p>
        </w:tc>
        <w:tc>
          <w:tcPr>
            <w:tcW w:w="3556" w:type="dxa"/>
            <w:shd w:val="clear" w:color="auto" w:fill="1F3A34"/>
          </w:tcPr>
          <w:p>
            <w:pPr>
              <w:pStyle w:val="Compact"/>
              <w:jc w:val="left"/>
            </w:pPr>
            <w:r>
              <w:rPr>
                <w:b/>
                <w:sz w:val="18"/>
                <w:color w:val="FFFFFF"/>
              </w:rPr>
              <w:t xml:space="preserve">Color</w:t>
            </w:r>
          </w:p>
        </w:tc>
      </w:tr>
      <w:tr>
        <w:trPr>
          <w:cantSplit/>
        </w:trPr>
        <w:tc>
          <w:tcPr>
            <w:tcW w:w="5516" w:type="dxa"/>
          </w:tcPr>
          <w:p>
            <w:pPr>
              <w:pStyle w:val="Compact"/>
              <w:jc w:val="left"/>
            </w:pPr>
            <w:r>
              <w:rPr>
                <w:sz w:val="18"/>
              </w:rPr>
              <w:t xml:space="preserve">≥ 2</w:t>
            </w:r>
          </w:p>
        </w:tc>
        <w:tc>
          <w:tcPr>
            <w:tcW w:w="3556" w:type="dxa"/>
            <w:shd w:val="clear" w:color="auto" w:fill="DCFCE7"/>
          </w:tcPr>
          <w:p>
            <w:pPr>
              <w:pStyle w:val="Compact"/>
              <w:jc w:val="center"/>
            </w:pPr>
            <w:r>
              <w:rPr>
                <w:b/>
                <w:sz w:val="18"/>
                <w:color w:val="14532D"/>
              </w:rPr>
              <w:t xml:space="preserve">VERDE</w:t>
            </w:r>
          </w:p>
        </w:tc>
      </w:tr>
      <w:tr>
        <w:trPr>
          <w:cantSplit/>
        </w:trPr>
        <w:tc>
          <w:tcPr>
            <w:tcW w:w="5516" w:type="dxa"/>
            <w:shd w:val="clear" w:color="auto" w:fill="F6F8F7"/>
          </w:tcPr>
          <w:p>
            <w:pPr>
              <w:pStyle w:val="Compact"/>
              <w:jc w:val="left"/>
            </w:pPr>
            <w:r>
              <w:rPr>
                <w:sz w:val="18"/>
              </w:rPr>
              <w:t xml:space="preserve">−1 – 2</w:t>
            </w:r>
          </w:p>
        </w:tc>
        <w:tc>
          <w:tcPr>
            <w:tcW w:w="3556" w:type="dxa"/>
            <w:shd w:val="clear" w:color="auto" w:fill="FEF3C7"/>
          </w:tcPr>
          <w:p>
            <w:pPr>
              <w:pStyle w:val="Compact"/>
              <w:jc w:val="center"/>
            </w:pPr>
            <w:r>
              <w:rPr>
                <w:b/>
                <w:sz w:val="18"/>
                <w:color w:val="713F12"/>
              </w:rPr>
              <w:t xml:space="preserve">AMARILLO</w:t>
            </w:r>
          </w:p>
        </w:tc>
      </w:tr>
      <w:tr>
        <w:trPr>
          <w:cantSplit/>
        </w:trPr>
        <w:tc>
          <w:tcPr>
            <w:tcW w:w="5516" w:type="dxa"/>
          </w:tcPr>
          <w:p>
            <w:pPr>
              <w:pStyle w:val="Compact"/>
              <w:jc w:val="left"/>
            </w:pPr>
            <w:r>
              <w:rPr>
                <w:sz w:val="18"/>
              </w:rPr>
              <w:t xml:space="preserve">−3,75 – −1</w:t>
            </w:r>
          </w:p>
        </w:tc>
        <w:tc>
          <w:tcPr>
            <w:tcW w:w="3556" w:type="dxa"/>
            <w:shd w:val="clear" w:color="auto" w:fill="FFEDD5"/>
          </w:tcPr>
          <w:p>
            <w:pPr>
              <w:pStyle w:val="Compact"/>
              <w:jc w:val="center"/>
            </w:pPr>
            <w:r>
              <w:rPr>
                <w:b/>
                <w:sz w:val="18"/>
                <w:color w:val="7C2D12"/>
              </w:rPr>
              <w:t xml:space="preserve">NARANJA</w:t>
            </w:r>
          </w:p>
        </w:tc>
      </w:tr>
      <w:tr>
        <w:trPr>
          <w:cantSplit/>
        </w:trPr>
        <w:tc>
          <w:tcPr>
            <w:tcW w:w="5516" w:type="dxa"/>
            <w:shd w:val="clear" w:color="auto" w:fill="F6F8F7"/>
          </w:tcPr>
          <w:p>
            <w:pPr>
              <w:pStyle w:val="Compact"/>
              <w:jc w:val="left"/>
            </w:pPr>
            <w:r>
              <w:rPr>
                <w:sz w:val="18"/>
              </w:rPr>
              <w:t xml:space="preserve">≤ −3,75</w:t>
            </w:r>
          </w:p>
        </w:tc>
        <w:tc>
          <w:tcPr>
            <w:tcW w:w="3556" w:type="dxa"/>
            <w:shd w:val="clear" w:color="auto" w:fill="FEE2E2"/>
          </w:tcPr>
          <w:p>
            <w:pPr>
              <w:pStyle w:val="Compact"/>
              <w:jc w:val="center"/>
            </w:pPr>
            <w:r>
              <w:rPr>
                <w:b/>
                <w:sz w:val="18"/>
                <w:color w:val="7F1D1D"/>
              </w:rPr>
              <w:t xml:space="preserve">ROJO</w:t>
            </w:r>
          </w:p>
        </w:tc>
      </w:tr>
    </w:tbl>
    <w:bookmarkEnd w:id="188"/>
    <w:bookmarkStart w:id="189" w:name="datos-concretos-detrás-del-valor-16"/>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77"/>
        </w:numPr>
        <w:pStyle w:val="Compact"/>
      </w:pPr>
      <w:r>
        <w:t xml:space="preserve">2026-06: superávit primario de 5.5% de la recaudación acumulada de doce meses</w:t>
      </w:r>
    </w:p>
    <w:bookmarkEnd w:id="189"/>
    <w:bookmarkStart w:id="190" w:name="color-vigente-y-por-qué-16"/>
    <w:p>
      <w:pPr>
        <w:pStyle w:val="Heading2"/>
        <w:keepNext/>
      </w:pPr>
      <w:r>
        <w:t xml:space="preserve">Color vigente y por qué</w:t>
      </w:r>
    </w:p>
    <w:p>
      <w:pPr>
        <w:pStyle w:val="FirstParagraph"/>
      </w:pPr>
      <w:r>
        <w:t xml:space="preserve">Dato vigente: 5,55 % de la recaudación (acum. 12 meses) (2026-06).</w:t>
      </w:r>
    </w:p>
    <w:p>
      <w:pPr>
        <w:pStyle w:val="BodyText"/>
      </w:pPr>
      <w:r>
        <w:t xml:space="preserve">5,55 % de la recaudación (acum. 12 meses) cae en el tramo que corresponde a Verde, a 3,55 del corte más cercano.</w:t>
      </w:r>
    </w:p>
    <w:p>
      <w:pPr>
        <w:pStyle w:val="BodyText"/>
      </w:pPr>
      <w:r>
        <w:rPr>
          <w:bCs/>
          <w:b/>
        </w:rPr>
        <w:t xml:space="preserve">Color vigente: VERDE</w:t>
      </w:r>
    </w:p>
    <w:p>
      <w:pPr>
        <w:pStyle w:val="BodyText"/>
      </w:pPr>
      <w:r>
        <w:t xml:space="preserve">Ponderación vigente en el ITCM: 12 % efectivo. El color es una lectura adicional — no reemplaza ni cambia esta ponderación.</w:t>
      </w:r>
    </w:p>
    <w:bookmarkEnd w:id="190"/>
    <w:bookmarkStart w:id="191" w:name="transparencia-limitaciones-declaradas-16"/>
    <w:p>
      <w:pPr>
        <w:pStyle w:val="Heading2"/>
        <w:keepNext/>
      </w:pPr>
      <w:r>
        <w:t xml:space="preserve">Transparencia — limitaciones declaradas</w:t>
      </w:r>
    </w:p>
    <w:p>
      <w:pPr>
        <w:numPr>
          <w:ilvl w:val="0"/>
          <w:numId w:val="1078"/>
        </w:numPr>
        <w:pStyle w:val="Compact"/>
      </w:pPr>
      <w:r>
        <w:t xml:space="preserve">El denominador es la recaudación tributaria, no el total de ingresos del Sector Público Nacional: sirve como escala estable y comparable en el tiempo, pero no es un cociente entre magnitudes del mismo universo contable.</w:t>
      </w:r>
    </w:p>
    <w:p>
      <w:pPr>
        <w:numPr>
          <w:ilvl w:val="0"/>
          <w:numId w:val="1078"/>
        </w:numPr>
        <w:pStyle w:val="Compact"/>
      </w:pPr>
      <w:r>
        <w:t xml:space="preserve">Es resultado primario: excluye los intereses de la deuda. Un superávit primario alto convive con déficit financiero si la carga de intereses es grande.</w:t>
      </w:r>
    </w:p>
    <w:p>
      <w:pPr>
        <w:numPr>
          <w:ilvl w:val="0"/>
          <w:numId w:val="1078"/>
        </w:numPr>
        <w:pStyle w:val="Compact"/>
      </w:pPr>
      <w:r>
        <w:t xml:space="preserve">La ventana de doce meses suaviza la estacionalidad pero también demora en reflejar un cambio de régimen fiscal: un giro brusco tarda meses en verse completo.</w:t>
      </w:r>
    </w:p>
    <w:p>
      <w:pPr>
        <w:numPr>
          <w:ilvl w:val="0"/>
          <w:numId w:val="1078"/>
        </w:numPr>
        <w:pStyle w:val="Compact"/>
      </w:pPr>
      <w:r>
        <w:t xml:space="preserve">No mide la calidad del ajuste: el mismo resultado puede alcanzarse recortando gasto de capital o licuando jubilaciones, y el indicador no los distingue.</w:t>
      </w:r>
    </w:p>
    <w:bookmarkEnd w:id="191"/>
    <w:bookmarkStart w:id="192" w:name="X7a06634bdbc93c4680ba63361d07c52d56fc14d"/>
    <w:p>
      <w:pPr>
        <w:pStyle w:val="Heading2"/>
        <w:keepNext/>
      </w:pPr>
      <w:r>
        <w:t xml:space="preserve">Si falta el dato / Política de revisiones</w:t>
      </w:r>
    </w:p>
    <w:p>
      <w:pPr>
        <w:numPr>
          <w:ilvl w:val="0"/>
          <w:numId w:val="1079"/>
        </w:numPr>
      </w:pPr>
      <w:r>
        <w:rPr>
          <w:bCs/>
          <w:b/>
        </w:rPr>
        <w:t xml:space="preserve">Si falta el dato:</w:t>
      </w:r>
      <w:r>
        <w:t xml:space="preserve"> </w:t>
      </w:r>
      <w:r>
        <w:t xml:space="preserve">Sin una ventana completa de doce meses se conserva el último valor disponible, señalado como desactualizado; la recaudación y el saldo comercial renormalizan dentro de la dimensión.</w:t>
      </w:r>
    </w:p>
    <w:p>
      <w:pPr>
        <w:numPr>
          <w:ilvl w:val="0"/>
          <w:numId w:val="1079"/>
        </w:numPr>
      </w:pPr>
      <w:r>
        <w:rPr>
          <w:bCs/>
          <w:b/>
        </w:rPr>
        <w:t xml:space="preserve">Política de revisiones:</w:t>
      </w:r>
      <w:r>
        <w:t xml:space="preserve"> </w:t>
      </w:r>
      <w:r>
        <w:t xml:space="preserve">Las cifras fiscales pueden revisarse en publicaciones posteriores; la serie se regenera completa desde diciembre de 2023 en cada actualización.</w:t>
      </w:r>
    </w:p>
    <w:bookmarkEnd w:id="192"/>
    <w:bookmarkStart w:id="193" w:name="X04b1f2d7b7764debfd14097dcda10f65a82388c"/>
    <w:p>
      <w:pPr>
        <w:pStyle w:val="Heading2"/>
        <w:keepNext/>
      </w:pPr>
      <w:r>
        <w:t xml:space="preserve">Historial — cambios metodológicos documentados</w:t>
      </w:r>
    </w:p>
    <w:p>
      <w:pPr>
        <w:pStyle w:val="FirstParagraph"/>
      </w:pPr>
      <w:r>
        <w:rPr>
          <w:bCs/>
          <w:b/>
        </w:rPr>
        <w:t xml:space="preserve">2026-07-18</w:t>
      </w:r>
      <w:r>
        <w:t xml:space="preserve"> </w:t>
      </w:r>
      <w:r>
        <w:t xml:space="preserve">— Nace y entra como componente principal de la dimensión fiscal-comercial (50%), que hasta entonces medía la viabilidad fiscal por los ingresos: la recaudación baja al 30% y el saldo comercial al 20%.</w:t>
      </w:r>
    </w:p>
    <w:bookmarkEnd w:id="193"/>
    <w:bookmarkEnd w:id="194"/>
    <w:sectPr>
      <w:headerReference r:id="rId9" w:type="default"/>
      <w:footerReference r:id="rId10" w:type="default"/>
      <w:pgMar w:bottom="1134"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BFBFBF"/>
      </w:pBdr>
    </w:pPr>
    <w:r>
      <w:rPr>
        <w:rFonts w:ascii="Calibri" w:hAnsi="Calibri" w:cs="Calibri" w:eastAsia="Calibri"/>
        <w:color w:val="5F6360"/>
        <w:sz w:val="16"/>
      </w:rPr>
      <w:t xml:space="preserve">Fundación CiGob   ·   página </w:t>
    </w:r>
    <w:r>
      <w:rPr>
        <w:rFonts w:ascii="Calibri" w:hAnsi="Calibri" w:cs="Calibri" w:eastAsia="Calibri"/>
        <w:color w:val="5F6360"/>
        <w:sz w:val="16"/>
      </w:rPr>
      <w:fldChar w:fldCharType="begin"/>
      <w:instrText>PAGE</w:instrText>
      <w:fldChar w:fldCharType="end"/>
    </w:r>
    <w:r>
      <w:rPr>
        <w:rFonts w:ascii="Calibri" w:hAnsi="Calibri" w:cs="Calibri" w:eastAsia="Calibri"/>
        <w:color w:val="5F6360"/>
        <w:sz w:val="16"/>
      </w:rPr>
      <w:t xml:space="preserve"> de </w:t>
    </w:r>
    <w:r>
      <w:rPr>
        <w:rFonts w:ascii="Calibri" w:hAnsi="Calibri" w:cs="Calibri" w:eastAsia="Calibri"/>
        <w:color w:val="5F6360"/>
        <w:sz w:val="16"/>
      </w:rPr>
      <w:fldChar w:fldCharType="begin"/>
      <w:instrText>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8" w:color="1D67CD"/>
      </w:pBdr>
    </w:pPr>
    <w:r>
      <w:drawing>
        <wp:inline xmlns:a="http://schemas.openxmlformats.org/drawingml/2006/main" xmlns:pic="http://schemas.openxmlformats.org/drawingml/2006/picture">
          <wp:extent cx="1196883" cy="360000"/>
          <wp:docPr id="1" name="Picture 1"/>
          <wp:cNvGraphicFramePr>
            <a:graphicFrameLocks noChangeAspect="1"/>
          </wp:cNvGraphicFramePr>
          <a:graphic>
            <a:graphicData uri="http://schemas.openxmlformats.org/drawingml/2006/picture">
              <pic:pic>
                <pic:nvPicPr>
                  <pic:cNvPr id="0" name="cigob_logo.png"/>
                  <pic:cNvPicPr/>
                </pic:nvPicPr>
                <pic:blipFill>
                  <a:blip r:embed="rId1"/>
                  <a:stretch>
                    <a:fillRect/>
                  </a:stretch>
                </pic:blipFill>
                <pic:spPr>
                  <a:xfrm>
                    <a:off x="0" y="0"/>
                    <a:ext cx="1196883" cy="360000"/>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b w:val="0"/>
      <w:i w:val="0"/>
      <w:color w:val="333333"/>
      <w:sz w:val="22"/>
    </w:rPr>
    <w:pPr>
      <w:spacing w:after="120" w:before="0"/>
    </w:pPr>
  </w:style>
  <w:style w:styleId="BodyText" w:type="paragraph">
    <w:name w:val="Body Text"/>
    <w:basedOn w:val="Normal"/>
    <w:link w:val="BodyTextChar"/>
    <w:pPr>
      <w:spacing w:after="120" w:before="0"/>
    </w:pPr>
    <w:qFormat/>
    <w:rPr>
      <w:rFonts w:ascii="Calibri" w:cs="Calibri" w:eastAsia="Calibri" w:hAnsi="Calibri"/>
      <w:b w:val="0"/>
      <w:i w:val="0"/>
      <w:color w:val="333333"/>
      <w:sz w:val="22"/>
    </w:rPr>
  </w:style>
  <w:style w:customStyle="1" w:styleId="FirstParagraph" w:type="paragraph">
    <w:name w:val="First Paragraph"/>
    <w:basedOn w:val="BodyText"/>
    <w:next w:val="BodyText"/>
    <w:qFormat/>
    <w:rPr>
      <w:rFonts w:ascii="Calibri" w:cs="Calibri" w:eastAsia="Calibri" w:hAnsi="Calibri"/>
      <w:b w:val="0"/>
      <w:i w:val="0"/>
      <w:color w:val="333333"/>
      <w:sz w:val="22"/>
    </w:rPr>
    <w:pPr>
      <w:spacing w:after="120" w:before="0"/>
    </w:pPr>
  </w:style>
  <w:style w:customStyle="1" w:styleId="Compact" w:type="paragraph">
    <w:name w:val="Compact"/>
    <w:basedOn w:val="BodyText"/>
    <w:qFormat/>
    <w:pPr>
      <w:spacing w:after="40" w:before="0"/>
    </w:pPr>
    <w:rPr>
      <w:rFonts w:ascii="Calibri" w:cs="Calibri" w:eastAsia="Calibri" w:hAnsi="Calibri"/>
      <w:b w:val="0"/>
      <w:i w:val="0"/>
      <w:color w:val="333333"/>
      <w:sz w:val="22"/>
    </w:rPr>
  </w:style>
  <w:style w:styleId="Title" w:type="paragraph">
    <w:name w:val="Title"/>
    <w:basedOn w:val="Normal"/>
    <w:next w:val="BodyText"/>
    <w:qFormat/>
    <w:pPr>
      <w:keepNext/>
      <w:keepLines/>
      <w:spacing w:after="160" w:before="0"/>
      <w:jc w:val="center"/>
    </w:pPr>
    <w:rPr>
      <w:rFonts w:ascii="Calibri" w:asciiTheme="majorHAnsi" w:cs="Calibri" w:cstheme="majorBidi" w:eastAsia="Calibri" w:eastAsiaTheme="majorEastAsia" w:hAnsi="Calibri" w:hAnsiTheme="majorHAnsi"/>
      <w:b/>
      <w:bCs/>
      <w:i w:val="0"/>
      <w:color w:val="0F3D7A"/>
      <w:sz w:val="52"/>
      <w:szCs w:val="36"/>
    </w:rPr>
  </w:style>
  <w:style w:styleId="Subtitle" w:type="paragraph">
    <w:name w:val="Subtitle"/>
    <w:basedOn w:val="Title"/>
    <w:next w:val="BodyText"/>
    <w:qFormat/>
    <w:pPr>
      <w:keepNext/>
      <w:keepLines/>
      <w:spacing w:after="360" w:before="0"/>
      <w:jc w:val="center"/>
    </w:pPr>
    <w:rPr>
      <w:rFonts w:ascii="Calibri" w:cs="Calibri" w:eastAsia="Calibri" w:hAnsi="Calibri"/>
      <w:b w:val="0"/>
      <w:i/>
      <w:color w:val="5F6360"/>
      <w:sz w:val="28"/>
      <w:szCs w:val="30"/>
    </w:rPr>
  </w:style>
  <w:style w:customStyle="1" w:styleId="Author" w:type="paragraph">
    <w:name w:val="Author"/>
    <w:next w:val="BodyText"/>
    <w:qFormat/>
    <w:pPr>
      <w:keepNext/>
      <w:keepLines/>
      <w:jc w:val="center"/>
      <w:spacing w:after="40" w:before="0"/>
    </w:pPr>
    <w:rPr>
      <w:rFonts w:ascii="Calibri" w:cs="Calibri" w:eastAsia="Calibri" w:hAnsi="Calibri"/>
      <w:b w:val="0"/>
      <w:i/>
      <w:color w:val="5F6360"/>
      <w:sz w:val="22"/>
    </w:rPr>
  </w:style>
  <w:style w:styleId="Date" w:type="paragraph">
    <w:name w:val="Date"/>
    <w:next w:val="BodyText"/>
    <w:qFormat/>
    <w:pPr>
      <w:keepNext/>
      <w:keepLines/>
      <w:jc w:val="center"/>
      <w:spacing w:after="360" w:before="0"/>
    </w:pPr>
    <w:rPr>
      <w:rFonts w:ascii="Calibri" w:cs="Calibri" w:eastAsia="Calibri" w:hAnsi="Calibri"/>
      <w:b w:val="0"/>
      <w:i/>
      <w:color w:val="5F6360"/>
      <w:sz w:val="22"/>
    </w:rPr>
  </w:style>
  <w:style w:customStyle="1" w:styleId="Abstract" w:type="paragraph">
    <w:name w:val="Abstract"/>
    <w:basedOn w:val="Normal"/>
    <w:next w:val="BodyText"/>
    <w:qFormat/>
    <w:pPr>
      <w:keepNext/>
      <w:keepLines/>
      <w:spacing w:after="240" w:before="240"/>
    </w:pPr>
    <w:rPr>
      <w:rFonts w:ascii="Calibri" w:cs="Calibri" w:eastAsia="Calibri" w:hAnsi="Calibri"/>
      <w:b w:val="0"/>
      <w:i/>
      <w:color w:val="333333"/>
      <w:sz w:val="22"/>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480"/>
      <w:outlineLvl w:val="0"/>
      <w:pBdr>
        <w:bottom w:color="1D67CD" w:space="4" w:sz="8" w:val="single"/>
      </w:pBdr>
    </w:pPr>
    <w:rPr>
      <w:rFonts w:ascii="Calibri" w:asciiTheme="majorHAnsi" w:cs="Calibri" w:cstheme="majorBidi" w:eastAsia="Calibri" w:eastAsiaTheme="majorEastAsia" w:hAnsi="Calibri" w:hAnsiTheme="majorHAnsi"/>
      <w:b/>
      <w:bCs/>
      <w:i w:val="0"/>
      <w:color w:val="1D67CD"/>
      <w:sz w:val="36"/>
      <w:szCs w:val="32"/>
    </w:rPr>
  </w:style>
  <w:style w:styleId="Heading2" w:type="paragraph">
    <w:name w:val="Heading 2"/>
    <w:basedOn w:val="Normal"/>
    <w:next w:val="BodyText"/>
    <w:uiPriority w:val="9"/>
    <w:unhideWhenUsed/>
    <w:qFormat/>
    <w:pPr>
      <w:keepNext/>
      <w:keepLines/>
      <w:spacing w:after="120" w:before="360"/>
      <w:outlineLvl w:val="1"/>
    </w:pPr>
    <w:rPr>
      <w:rFonts w:ascii="Calibri" w:asciiTheme="majorHAnsi" w:cs="Calibri" w:cstheme="majorBidi" w:eastAsia="Calibri" w:eastAsiaTheme="majorEastAsia" w:hAnsi="Calibri" w:hAnsiTheme="majorHAnsi"/>
      <w:b/>
      <w:bCs/>
      <w:i w:val="0"/>
      <w:color w:val="1D67CD"/>
      <w:sz w:val="28"/>
      <w:szCs w:val="28"/>
    </w:rPr>
  </w:style>
  <w:style w:styleId="Heading3" w:type="paragraph">
    <w:name w:val="Heading 3"/>
    <w:basedOn w:val="Normal"/>
    <w:next w:val="BodyText"/>
    <w:uiPriority w:val="9"/>
    <w:unhideWhenUsed/>
    <w:qFormat/>
    <w:pPr>
      <w:keepNext/>
      <w:keepLines/>
      <w:spacing w:after="80" w:before="240"/>
      <w:outlineLvl w:val="2"/>
    </w:pPr>
    <w:rPr>
      <w:rFonts w:ascii="Calibri" w:asciiTheme="majorHAnsi" w:cs="Calibri" w:cstheme="majorBidi" w:eastAsia="Calibri" w:eastAsiaTheme="majorEastAsia" w:hAnsi="Calibri" w:hAnsiTheme="majorHAnsi"/>
      <w:b/>
      <w:bCs/>
      <w:i w:val="0"/>
      <w:color w:val="0F3D7A"/>
      <w:sz w:val="24"/>
      <w:szCs w:val="24"/>
    </w:rPr>
  </w:style>
  <w:style w:styleId="Heading4" w:type="paragraph">
    <w:name w:val="Heading 4"/>
    <w:basedOn w:val="Normal"/>
    <w:next w:val="BodyText"/>
    <w:uiPriority w:val="9"/>
    <w:unhideWhenUsed/>
    <w:qFormat/>
    <w:pPr>
      <w:keepNext/>
      <w:keepLines/>
      <w:spacing w:after="80" w:before="200"/>
      <w:outlineLvl w:val="3"/>
    </w:pPr>
    <w:rPr>
      <w:rFonts w:ascii="Calibri" w:asciiTheme="majorHAnsi" w:cs="Calibri" w:cstheme="majorBidi" w:eastAsia="Calibri" w:eastAsiaTheme="majorEastAsia" w:hAnsi="Calibri" w:hAnsiTheme="majorHAnsi"/>
      <w:i/>
      <w:b/>
      <w:bCs/>
      <w:color w:val="333333"/>
      <w:sz w:val="22"/>
      <w:szCs w:val="24"/>
    </w:rPr>
  </w:style>
  <w:style w:styleId="Heading5" w:type="paragraph">
    <w:name w:val="Heading 5"/>
    <w:basedOn w:val="Normal"/>
    <w:next w:val="BodyText"/>
    <w:uiPriority w:val="9"/>
    <w:unhideWhenUsed/>
    <w:qFormat/>
    <w:pPr>
      <w:keepNext/>
      <w:keepLines/>
      <w:spacing w:after="60" w:before="160"/>
      <w:outlineLvl w:val="4"/>
    </w:pPr>
    <w:rPr>
      <w:rFonts w:ascii="Calibri" w:asciiTheme="majorHAnsi" w:cs="Calibri" w:cstheme="majorBidi" w:eastAsia="Calibri" w:eastAsiaTheme="majorEastAsia" w:hAnsi="Calibri" w:hAnsiTheme="majorHAnsi"/>
      <w:b/>
      <w:i w:val="0"/>
      <w:iCs/>
      <w:color w:val="333333"/>
      <w:sz w:val="22"/>
      <w:szCs w:val="24"/>
    </w:rPr>
  </w:style>
  <w:style w:styleId="Heading6" w:type="paragraph">
    <w:name w:val="Heading 6"/>
    <w:basedOn w:val="Normal"/>
    <w:next w:val="BodyText"/>
    <w:uiPriority w:val="9"/>
    <w:unhideWhenUsed/>
    <w:qFormat/>
    <w:pPr>
      <w:keepNext/>
      <w:keepLines/>
      <w:spacing w:after="60" w:before="160"/>
      <w:outlineLvl w:val="5"/>
    </w:pPr>
    <w:rPr>
      <w:rFonts w:ascii="Calibri" w:asciiTheme="majorHAnsi" w:cs="Calibri" w:cstheme="majorBidi" w:eastAsia="Calibri" w:eastAsiaTheme="majorEastAsia" w:hAnsi="Calibri" w:hAnsiTheme="majorHAnsi"/>
      <w:b w:val="0"/>
      <w:i/>
      <w:color w:val="5F6360"/>
      <w:sz w:val="22"/>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60"/>
      <w:ind w:firstLine="0" w:left="480" w:right="480"/>
    </w:pPr>
    <w:rPr>
      <w:rFonts w:ascii="Calibri" w:cs="Calibri" w:eastAsia="Calibri" w:hAnsi="Calibri"/>
      <w:b w:val="0"/>
      <w:i/>
      <w:color w:val="5F6360"/>
      <w:sz w:val="22"/>
    </w:rPr>
  </w:style>
  <w:style w:styleId="FootnoteText" w:type="paragraph">
    <w:name w:val="Footnote Text"/>
    <w:basedOn w:val="Normal"/>
    <w:next w:val="FootnoteText"/>
    <w:uiPriority w:val="9"/>
    <w:unhideWhenUsed/>
    <w:qFormat/>
    <w:rPr>
      <w:rFonts w:ascii="Calibri" w:cs="Calibri" w:eastAsia="Calibri" w:hAnsi="Calibri"/>
      <w:b w:val="0"/>
      <w:i w:val="0"/>
      <w:color w:val="333333"/>
      <w:sz w:val="18"/>
    </w:rPr>
    <w:pPr>
      <w:spacing w:after="40" w:before="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BFBFBF" w:sz="4" w:val="single"/>
        <w:left w:color="BFBFBF" w:sz="4" w:val="single"/>
        <w:bottom w:color="BFBFBF" w:sz="4" w:val="single"/>
        <w:right w:color="BFBFBF" w:sz="4" w:val="single"/>
        <w:insideH w:color="BFBFBF" w:sz="4" w:val="single"/>
        <w:insideV w:color="BFBFBF"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20"/>
    </w:pPr>
    <w:rPr>
      <w:rFonts w:ascii="Calibri" w:cs="Calibri" w:eastAsia="Calibri" w:hAnsi="Calibri"/>
      <w:b/>
      <w:i w:val="0"/>
      <w:color w:val="0F3D7A"/>
      <w:sz w:val="22"/>
    </w:rPr>
  </w:style>
  <w:style w:customStyle="1" w:styleId="Definition" w:type="paragraph">
    <w:name w:val="Definition"/>
    <w:basedOn w:val="Normal"/>
    <w:rPr>
      <w:rFonts w:ascii="Calibri" w:cs="Calibri" w:eastAsia="Calibri" w:hAnsi="Calibri"/>
      <w:b w:val="0"/>
      <w:i w:val="0"/>
      <w:color w:val="333333"/>
      <w:sz w:val="22"/>
    </w:rPr>
    <w:pPr>
      <w:spacing w:after="120" w:before="0"/>
    </w:pPr>
  </w:style>
  <w:style w:styleId="Caption" w:type="paragraph">
    <w:name w:val="Caption"/>
    <w:basedOn w:val="Normal"/>
    <w:link w:val="BodyTextChar"/>
    <w:pPr>
      <w:spacing w:after="160" w:before="40"/>
    </w:pPr>
    <w:rPr>
      <w:rFonts w:ascii="Calibri" w:cs="Calibri" w:eastAsia="Calibri" w:hAnsi="Calibri"/>
      <w:b w:val="0"/>
      <w:i/>
      <w:color w:val="5F6360"/>
      <w:sz w:val="18"/>
    </w:rPr>
  </w:style>
  <w:style w:customStyle="1" w:styleId="TableCaption" w:type="paragraph">
    <w:name w:val="Table Caption"/>
    <w:basedOn w:val="Caption"/>
    <w:pPr>
      <w:keepNext/>
      <w:spacing w:after="160" w:before="40"/>
    </w:pPr>
    <w:rPr>
      <w:rFonts w:ascii="Calibri" w:cs="Calibri" w:eastAsia="Calibri" w:hAnsi="Calibri"/>
      <w:b w:val="0"/>
      <w:i/>
      <w:color w:val="5F6360"/>
      <w:sz w:val="18"/>
    </w:rPr>
  </w:style>
  <w:style w:customStyle="1" w:styleId="ImageCaption" w:type="paragraph">
    <w:name w:val="Image Caption"/>
    <w:basedOn w:val="Caption"/>
    <w:rPr>
      <w:rFonts w:ascii="Calibri" w:cs="Calibri" w:eastAsia="Calibri" w:hAnsi="Calibri"/>
      <w:b w:val="0"/>
      <w:i/>
      <w:color w:val="5F6360"/>
      <w:sz w:val="18"/>
    </w:rPr>
    <w:pPr>
      <w:spacing w:after="160" w:before="40"/>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0F3D7A"/>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D67C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Fichas metodológicas · Cinturón Macroeconomía</dc:title>
  <dc:creator>Fundación CIGOB</dc:creator>
  <cp:keywords/>
  <dcterms:created xsi:type="dcterms:W3CDTF">2026-08-09T23:50:11Z</dcterms:created>
  <dcterms:modified xsi:type="dcterms:W3CDTF">2026-08-09T23:50:11Z</dcterms:modified>
  <dc:description>fichas-cigob: estilado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Informe de Coyuntura · Capa de semáforo (4 colores)</vt:lpwstr>
  </property>
</Properties>
</file>