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inturón-gestión"/>
    <w:p>
      <w:pPr>
        <w:pStyle w:val="Heading1"/>
      </w:pPr>
      <w:r>
        <w:t xml:space="preserve">Cinturón Gestión</w:t>
      </w:r>
    </w:p>
    <w:tbl>
      <w:tblPr>
        <w:tblStyle w:val="Table"/>
        <w:tblW w:type="pct" w:w="0.0"/>
        <w:tblLook w:firstRow="1" w:lastRow="0" w:firstColumn="0" w:lastColumn="0" w:noHBand="0" w:noVBand="0" w:val="0020"/>
      </w:tblPr>
      <w:tblGrid/>
      <w:tr>
        <w:tc>
          <w:p>
            <w:pPr>
              <w:pStyle w:val="Compact"/>
              <w:jc w:val="left"/>
            </w:pPr>
            <w:r>
              <w:t xml:space="preserve">Campo</w:t>
            </w:r>
          </w:p>
        </w:tc>
        <w:tc>
          <w:p>
            <w:pPr>
              <w:pStyle w:val="Compact"/>
              <w:jc w:val="left"/>
            </w:pPr>
            <w:r>
              <w:t xml:space="preserve">Valor</w:t>
            </w:r>
          </w:p>
        </w:tc>
      </w:tr>
      <w:tr>
        <w:tc>
          <w:p>
            <w:pPr>
              <w:pStyle w:val="Compact"/>
              <w:jc w:val="left"/>
            </w:pPr>
            <w:r>
              <w:t xml:space="preserve">Script</w:t>
            </w:r>
          </w:p>
        </w:tc>
        <w:tc>
          <w:p>
            <w:pPr>
              <w:pStyle w:val="Compact"/>
              <w:jc w:val="left"/>
            </w:pPr>
            <w:r>
              <w:rPr>
                <w:rStyle w:val="VerbatimChar"/>
              </w:rPr>
              <w:t xml:space="preserve">scripts/gestion.py</w:t>
            </w:r>
          </w:p>
        </w:tc>
      </w:tr>
      <w:tr>
        <w:tc>
          <w:p>
            <w:pPr>
              <w:pStyle w:val="Compact"/>
              <w:jc w:val="left"/>
            </w:pPr>
            <w:r>
              <w:t xml:space="preserve">Cache</w:t>
            </w:r>
          </w:p>
        </w:tc>
        <w:tc>
          <w:p>
            <w:pPr>
              <w:pStyle w:val="Compact"/>
              <w:jc w:val="left"/>
            </w:pPr>
            <w:r>
              <w:rPr>
                <w:rStyle w:val="VerbatimChar"/>
              </w:rPr>
              <w:t xml:space="preserve">output/cache/gestion.json</w:t>
            </w:r>
          </w:p>
        </w:tc>
      </w:tr>
      <w:tr>
        <w:tc>
          <w:p>
            <w:pPr>
              <w:pStyle w:val="Compact"/>
              <w:jc w:val="left"/>
            </w:pPr>
            <w:r>
              <w:t xml:space="preserve">Datos de carga manual</w:t>
            </w:r>
          </w:p>
        </w:tc>
        <w:tc>
          <w:p>
            <w:pPr>
              <w:pStyle w:val="Compact"/>
              <w:jc w:val="left"/>
            </w:pPr>
            <w:r>
              <w:rPr>
                <w:rStyle w:val="VerbatimChar"/>
              </w:rPr>
              <w:t xml:space="preserve">data/gestion/manuales.json</w:t>
            </w:r>
          </w:p>
        </w:tc>
      </w:tr>
      <w:tr>
        <w:tc>
          <w:p>
            <w:pPr>
              <w:pStyle w:val="Compact"/>
              <w:jc w:val="left"/>
            </w:pPr>
            <w:r>
              <w:t xml:space="preserve">Peso en score global</w:t>
            </w:r>
          </w:p>
        </w:tc>
        <w:tc>
          <w:p>
            <w:pPr>
              <w:pStyle w:val="Compact"/>
              <w:jc w:val="left"/>
            </w:pPr>
            <w:r>
              <w:t xml:space="preserve">20%</w:t>
            </w:r>
          </w:p>
        </w:tc>
      </w:tr>
      <w:tr>
        <w:tc>
          <w:p>
            <w:pPr>
              <w:pStyle w:val="Compact"/>
              <w:jc w:val="left"/>
            </w:pPr>
            <w:r>
              <w:t xml:space="preserve">Barbarismo de riesgo</w:t>
            </w:r>
          </w:p>
        </w:tc>
        <w:tc>
          <w:p>
            <w:pPr>
              <w:pStyle w:val="Compact"/>
              <w:jc w:val="left"/>
            </w:pPr>
            <w:r>
              <w:t xml:space="preserve">gerencial</w:t>
            </w:r>
          </w:p>
        </w:tc>
      </w:tr>
    </w:tbl>
    <w:bookmarkStart w:id="20" w:name="encuadre"/>
    <w:p>
      <w:pPr>
        <w:pStyle w:val="Heading2"/>
      </w:pPr>
      <w:r>
        <w:t xml:space="preserve">Encuadre</w:t>
      </w:r>
    </w:p>
    <w:p>
      <w:pPr>
        <w:pStyle w:val="FirstParagraph"/>
      </w:pPr>
      <w:r>
        <w:t xml:space="preserve">Mide el cumplimiento de reformas del Estado y compromisos de la Administración Pública Nacional iniciados en diciembre de 2023. Cada indicador expresa un avance porcentual sobre el objetivo de la reforma. La conversión a score de tensión es</w:t>
      </w:r>
      <w:r>
        <w:t xml:space="preserve"> </w:t>
      </w:r>
      <w:r>
        <w:rPr>
          <w:rStyle w:val="VerbatimChar"/>
        </w:rPr>
        <w:t xml:space="preserve">score = 10 × (1 − avance_pct/100)</w:t>
      </w:r>
      <w:r>
        <w:t xml:space="preserve">: a mayor ejecución, menor tensión. El score del cinturón es el promedio simple de los 12 indicadores.</w:t>
      </w:r>
    </w:p>
    <w:p>
      <w:pPr>
        <w:pStyle w:val="BodyText"/>
      </w:pPr>
      <w:r>
        <w:t xml:space="preserve">Umbrales: 0–3 estable, 4–6 en tensión, 7–10 tensionado.</w:t>
      </w:r>
    </w:p>
    <w:bookmarkEnd w:id="20"/>
    <w:bookmarkStart w:id="21" w:name="indicadores-activos"/>
    <w:p>
      <w:pPr>
        <w:pStyle w:val="Heading2"/>
      </w:pPr>
      <w:r>
        <w:t xml:space="preserve">Indicadores activos</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Indicador</w:t>
            </w:r>
          </w:p>
        </w:tc>
        <w:tc>
          <w:p>
            <w:pPr>
              <w:pStyle w:val="Compact"/>
              <w:jc w:val="left"/>
            </w:pPr>
            <w:r>
              <w:t xml:space="preserve">Estado</w:t>
            </w:r>
          </w:p>
        </w:tc>
        <w:tc>
          <w:p>
            <w:pPr>
              <w:pStyle w:val="Compact"/>
              <w:jc w:val="left"/>
            </w:pPr>
            <w:r>
              <w:t xml:space="preserve">Fuente</w:t>
            </w:r>
          </w:p>
        </w:tc>
        <w:tc>
          <w:p>
            <w:pPr>
              <w:pStyle w:val="Compact"/>
              <w:jc w:val="left"/>
            </w:pPr>
            <w:r>
              <w:t xml:space="preserve">Frecuencia</w:t>
            </w:r>
          </w:p>
        </w:tc>
        <w:tc>
          <w:p>
            <w:pPr>
              <w:pStyle w:val="Compact"/>
              <w:jc w:val="left"/>
            </w:pPr>
            <w:r>
              <w:t xml:space="preserve">Avance actual</w:t>
            </w:r>
          </w:p>
        </w:tc>
      </w:tr>
      <w:tr>
        <w:tc>
          <w:p>
            <w:pPr>
              <w:pStyle w:val="Compact"/>
              <w:jc w:val="left"/>
            </w:pPr>
            <w:r>
              <w:rPr>
                <w:rStyle w:val="VerbatimChar"/>
              </w:rPr>
              <w:t xml:space="preserve">cepo_mulc</w:t>
            </w:r>
          </w:p>
        </w:tc>
        <w:tc>
          <w:p>
            <w:pPr>
              <w:pStyle w:val="Compact"/>
              <w:jc w:val="left"/>
            </w:pPr>
            <w:r>
              <w:t xml:space="preserve">Automático</w:t>
            </w:r>
          </w:p>
        </w:tc>
        <w:tc>
          <w:p>
            <w:pPr>
              <w:pStyle w:val="Compact"/>
              <w:jc w:val="left"/>
            </w:pPr>
            <w:r>
              <w:t xml:space="preserve">dolarapi.com (brecha CCL/oficial)</w:t>
            </w:r>
          </w:p>
        </w:tc>
        <w:tc>
          <w:p>
            <w:pPr>
              <w:pStyle w:val="Compact"/>
              <w:jc w:val="left"/>
            </w:pPr>
            <w:r>
              <w:t xml:space="preserve">Diaria</w:t>
            </w:r>
          </w:p>
        </w:tc>
        <w:tc>
          <w:p>
            <w:pPr>
              <w:pStyle w:val="Compact"/>
              <w:jc w:val="left"/>
            </w:pPr>
            <w:r>
              <w:t xml:space="preserve">78.4% (brecha 4.3%)</w:t>
            </w:r>
          </w:p>
        </w:tc>
      </w:tr>
      <w:tr>
        <w:tc>
          <w:p>
            <w:pPr>
              <w:pStyle w:val="Compact"/>
              <w:jc w:val="left"/>
            </w:pPr>
            <w:r>
              <w:rPr>
                <w:rStyle w:val="VerbatimChar"/>
              </w:rPr>
              <w:t xml:space="preserve">reduccion_estado</w:t>
            </w:r>
          </w:p>
        </w:tc>
        <w:tc>
          <w:p>
            <w:pPr>
              <w:pStyle w:val="Compact"/>
              <w:jc w:val="left"/>
            </w:pPr>
            <w:r>
              <w:t xml:space="preserve">Automático</w:t>
            </w:r>
          </w:p>
        </w:tc>
        <w:tc>
          <w:p>
            <w:pPr>
              <w:pStyle w:val="Compact"/>
              <w:jc w:val="left"/>
            </w:pPr>
            <w:r>
              <w:t xml:space="preserve">datos.gob.ar, serie 324.1</w:t>
            </w:r>
          </w:p>
        </w:tc>
        <w:tc>
          <w:p>
            <w:pPr>
              <w:pStyle w:val="Compact"/>
              <w:jc w:val="left"/>
            </w:pPr>
            <w:r>
              <w:t xml:space="preserve">Trimestral</w:t>
            </w:r>
          </w:p>
        </w:tc>
        <w:tc>
          <w:p>
            <w:pPr>
              <w:pStyle w:val="Compact"/>
              <w:jc w:val="left"/>
            </w:pPr>
            <w:r>
              <w:t xml:space="preserve">2.7% (var −0.8%)</w:t>
            </w:r>
          </w:p>
        </w:tc>
      </w:tr>
      <w:tr>
        <w:tc>
          <w:p>
            <w:pPr>
              <w:pStyle w:val="Compact"/>
              <w:jc w:val="left"/>
            </w:pPr>
            <w:r>
              <w:rPr>
                <w:rStyle w:val="VerbatimChar"/>
              </w:rPr>
              <w:t xml:space="preserve">apertura_comercial</w:t>
            </w:r>
          </w:p>
        </w:tc>
        <w:tc>
          <w:p>
            <w:pPr>
              <w:pStyle w:val="Compact"/>
              <w:jc w:val="left"/>
            </w:pPr>
            <w:r>
              <w:t xml:space="preserve">Automático</w:t>
            </w:r>
          </w:p>
        </w:tc>
        <w:tc>
          <w:p>
            <w:pPr>
              <w:pStyle w:val="Compact"/>
              <w:jc w:val="left"/>
            </w:pPr>
            <w:r>
              <w:t xml:space="preserve">datos.gob.ar, serie 163.3 (importaciones, proxy)</w:t>
            </w:r>
          </w:p>
        </w:tc>
        <w:tc>
          <w:p>
            <w:pPr>
              <w:pStyle w:val="Compact"/>
              <w:jc w:val="left"/>
            </w:pPr>
            <w:r>
              <w:t xml:space="preserve">Mensual</w:t>
            </w:r>
          </w:p>
        </w:tc>
        <w:tc>
          <w:p>
            <w:pPr>
              <w:pStyle w:val="Compact"/>
              <w:jc w:val="left"/>
            </w:pPr>
            <w:r>
              <w:t xml:space="preserve">100% (+42.4% i.a.)</w:t>
            </w:r>
          </w:p>
        </w:tc>
      </w:tr>
      <w:tr>
        <w:tc>
          <w:p>
            <w:pPr>
              <w:pStyle w:val="Compact"/>
              <w:jc w:val="left"/>
            </w:pPr>
            <w:r>
              <w:rPr>
                <w:rStyle w:val="VerbatimChar"/>
              </w:rPr>
              <w:t xml:space="preserve">desregulacion_normativa</w:t>
            </w:r>
          </w:p>
        </w:tc>
        <w:tc>
          <w:p>
            <w:pPr>
              <w:pStyle w:val="Compact"/>
              <w:jc w:val="left"/>
            </w:pPr>
            <w:r>
              <w:t xml:space="preserve">Automático</w:t>
            </w:r>
          </w:p>
        </w:tc>
        <w:tc>
          <w:p>
            <w:pPr>
              <w:pStyle w:val="Compact"/>
              <w:jc w:val="left"/>
            </w:pPr>
            <w:r>
              <w:t xml:space="preserve">InfoLeg, sesión POST,</w:t>
            </w:r>
            <w:r>
              <w:t xml:space="preserve"> </w:t>
            </w:r>
            <w:r>
              <w:rPr>
                <w:rStyle w:val="VerbatimChar"/>
              </w:rPr>
              <w:t xml:space="preserve">texto="deroga"</w:t>
            </w:r>
            <w:r>
              <w:t xml:space="preserve"> </w:t>
            </w:r>
            <w:r>
              <w:t xml:space="preserve">desde dic-2023</w:t>
            </w:r>
          </w:p>
        </w:tc>
        <w:tc>
          <w:p>
            <w:pPr>
              <w:pStyle w:val="Compact"/>
              <w:jc w:val="left"/>
            </w:pPr>
            <w:r>
              <w:t xml:space="preserve">Mensual</w:t>
            </w:r>
          </w:p>
        </w:tc>
        <w:tc>
          <w:p>
            <w:pPr>
              <w:pStyle w:val="Compact"/>
              <w:jc w:val="left"/>
            </w:pPr>
            <w:r>
              <w:t xml:space="preserve">55% (55 normas)</w:t>
            </w:r>
          </w:p>
        </w:tc>
      </w:tr>
      <w:tr>
        <w:tc>
          <w:p>
            <w:pPr>
              <w:pStyle w:val="Compact"/>
              <w:jc w:val="left"/>
            </w:pPr>
            <w:r>
              <w:rPr>
                <w:rStyle w:val="VerbatimChar"/>
              </w:rPr>
              <w:t xml:space="preserve">reestructuracion_organismos</w:t>
            </w:r>
          </w:p>
        </w:tc>
        <w:tc>
          <w:p>
            <w:pPr>
              <w:pStyle w:val="Compact"/>
              <w:jc w:val="left"/>
            </w:pPr>
            <w:r>
              <w:t xml:space="preserve">Automático</w:t>
            </w:r>
          </w:p>
        </w:tc>
        <w:tc>
          <w:p>
            <w:pPr>
              <w:pStyle w:val="Compact"/>
              <w:jc w:val="left"/>
            </w:pPr>
            <w:r>
              <w:t xml:space="preserve">InfoLeg, sesión POST,</w:t>
            </w:r>
            <w:r>
              <w:t xml:space="preserve"> </w:t>
            </w:r>
            <w:r>
              <w:rPr>
                <w:rStyle w:val="VerbatimChar"/>
              </w:rPr>
              <w:t xml:space="preserve">texto="disolucion"</w:t>
            </w:r>
            <w:r>
              <w:t xml:space="preserve"> </w:t>
            </w:r>
            <w:r>
              <w:t xml:space="preserve">desde dic-2023</w:t>
            </w:r>
          </w:p>
        </w:tc>
        <w:tc>
          <w:p>
            <w:pPr>
              <w:pStyle w:val="Compact"/>
              <w:jc w:val="left"/>
            </w:pPr>
            <w:r>
              <w:t xml:space="preserve">Mensual</w:t>
            </w:r>
          </w:p>
        </w:tc>
        <w:tc>
          <w:p>
            <w:pPr>
              <w:pStyle w:val="Compact"/>
              <w:jc w:val="left"/>
            </w:pPr>
            <w:r>
              <w:t xml:space="preserve">40% (18 normas)</w:t>
            </w:r>
          </w:p>
        </w:tc>
      </w:tr>
      <w:tr>
        <w:tc>
          <w:p>
            <w:pPr>
              <w:pStyle w:val="Compact"/>
              <w:jc w:val="left"/>
            </w:pPr>
            <w:r>
              <w:rPr>
                <w:rStyle w:val="VerbatimChar"/>
              </w:rPr>
              <w:t xml:space="preserve">rigi_inversiones</w:t>
            </w:r>
          </w:p>
        </w:tc>
        <w:tc>
          <w:p>
            <w:pPr>
              <w:pStyle w:val="Compact"/>
              <w:jc w:val="left"/>
            </w:pPr>
            <w:r>
              <w:t xml:space="preserve">Automático</w:t>
            </w:r>
          </w:p>
        </w:tc>
        <w:tc>
          <w:p>
            <w:pPr>
              <w:pStyle w:val="Compact"/>
              <w:jc w:val="left"/>
            </w:pPr>
            <w:r>
              <w:t xml:space="preserve">InfoLeg, sesión POST,</w:t>
            </w:r>
            <w:r>
              <w:t xml:space="preserve"> </w:t>
            </w:r>
            <w:r>
              <w:rPr>
                <w:rStyle w:val="VerbatimChar"/>
              </w:rPr>
              <w:t xml:space="preserve">tipoNorma=3 texto="VPU"</w:t>
            </w:r>
            <w:r>
              <w:t xml:space="preserve"> </w:t>
            </w:r>
            <w:r>
              <w:t xml:space="preserve">desde jul-2024</w:t>
            </w:r>
          </w:p>
        </w:tc>
        <w:tc>
          <w:p>
            <w:pPr>
              <w:pStyle w:val="Compact"/>
              <w:jc w:val="left"/>
            </w:pPr>
            <w:r>
              <w:t xml:space="preserve">Mensual</w:t>
            </w:r>
          </w:p>
        </w:tc>
        <w:tc>
          <w:p>
            <w:pPr>
              <w:pStyle w:val="Compact"/>
              <w:jc w:val="left"/>
            </w:pPr>
            <w:r>
              <w:t xml:space="preserve">28% (28 resoluciones)</w:t>
            </w:r>
          </w:p>
        </w:tc>
      </w:tr>
      <w:tr>
        <w:tc>
          <w:p>
            <w:pPr>
              <w:pStyle w:val="Compact"/>
              <w:jc w:val="left"/>
            </w:pPr>
            <w:r>
              <w:rPr>
                <w:rStyle w:val="VerbatimChar"/>
              </w:rPr>
              <w:t xml:space="preserve">concesiones_infraestructura</w:t>
            </w:r>
          </w:p>
        </w:tc>
        <w:tc>
          <w:p>
            <w:pPr>
              <w:pStyle w:val="Compact"/>
              <w:jc w:val="left"/>
            </w:pPr>
            <w:r>
              <w:t xml:space="preserve">Carga manual</w:t>
            </w:r>
          </w:p>
        </w:tc>
        <w:tc>
          <w:p>
            <w:pPr>
              <w:pStyle w:val="Compact"/>
              <w:jc w:val="left"/>
            </w:pPr>
            <w:r>
              <w:t xml:space="preserve">Vialidad Nacional / ORSNA (informes PDF trimestrales)</w:t>
            </w:r>
          </w:p>
        </w:tc>
        <w:tc>
          <w:p>
            <w:pPr>
              <w:pStyle w:val="Compact"/>
              <w:jc w:val="left"/>
            </w:pPr>
            <w:r>
              <w:t xml:space="preserve">Trimestral</w:t>
            </w:r>
          </w:p>
        </w:tc>
        <w:tc>
          <w:p>
            <w:pPr>
              <w:pStyle w:val="Compact"/>
              <w:jc w:val="left"/>
            </w:pPr>
            <w:r>
              <w:t xml:space="preserve">35%</w:t>
            </w:r>
          </w:p>
        </w:tc>
      </w:tr>
      <w:tr>
        <w:tc>
          <w:p>
            <w:pPr>
              <w:pStyle w:val="Compact"/>
              <w:jc w:val="left"/>
            </w:pPr>
            <w:r>
              <w:rPr>
                <w:rStyle w:val="VerbatimChar"/>
              </w:rPr>
              <w:t xml:space="preserve">asistencia_directa</w:t>
            </w:r>
          </w:p>
        </w:tc>
        <w:tc>
          <w:p>
            <w:pPr>
              <w:pStyle w:val="Compact"/>
              <w:jc w:val="left"/>
            </w:pPr>
            <w:r>
              <w:t xml:space="preserve">Carga manual</w:t>
            </w:r>
          </w:p>
        </w:tc>
        <w:tc>
          <w:p>
            <w:pPr>
              <w:pStyle w:val="Compact"/>
              <w:jc w:val="left"/>
            </w:pPr>
            <w:r>
              <w:t xml:space="preserve">ANSES / MDS (programa Volver al Trabajo)</w:t>
            </w:r>
          </w:p>
        </w:tc>
        <w:tc>
          <w:p>
            <w:pPr>
              <w:pStyle w:val="Compact"/>
              <w:jc w:val="left"/>
            </w:pPr>
            <w:r>
              <w:t xml:space="preserve">Mensual</w:t>
            </w:r>
          </w:p>
        </w:tc>
        <w:tc>
          <w:p>
            <w:pPr>
              <w:pStyle w:val="Compact"/>
              <w:jc w:val="left"/>
            </w:pPr>
            <w:r>
              <w:t xml:space="preserve">35%</w:t>
            </w:r>
          </w:p>
        </w:tc>
      </w:tr>
      <w:tr>
        <w:tc>
          <w:p>
            <w:pPr>
              <w:pStyle w:val="Compact"/>
              <w:jc w:val="left"/>
            </w:pPr>
            <w:r>
              <w:rPr>
                <w:rStyle w:val="VerbatimChar"/>
              </w:rPr>
              <w:t xml:space="preserve">fal_modernizacion_laboral</w:t>
            </w:r>
          </w:p>
        </w:tc>
        <w:tc>
          <w:p>
            <w:pPr>
              <w:pStyle w:val="Compact"/>
              <w:jc w:val="left"/>
            </w:pPr>
            <w:r>
              <w:t xml:space="preserve">Carga manual</w:t>
            </w:r>
          </w:p>
        </w:tc>
        <w:tc>
          <w:p>
            <w:pPr>
              <w:pStyle w:val="Compact"/>
              <w:jc w:val="left"/>
            </w:pPr>
            <w:r>
              <w:t xml:space="preserve">MTEySS (FAL operativo H2-2026)</w:t>
            </w:r>
          </w:p>
        </w:tc>
        <w:tc>
          <w:p>
            <w:pPr>
              <w:pStyle w:val="Compact"/>
              <w:jc w:val="left"/>
            </w:pPr>
            <w:r>
              <w:t xml:space="preserve">Mensual</w:t>
            </w:r>
          </w:p>
        </w:tc>
        <w:tc>
          <w:p>
            <w:pPr>
              <w:pStyle w:val="Compact"/>
              <w:jc w:val="left"/>
            </w:pPr>
            <w:r>
              <w:t xml:space="preserve">10%</w:t>
            </w:r>
          </w:p>
        </w:tc>
      </w:tr>
      <w:tr>
        <w:tc>
          <w:p>
            <w:pPr>
              <w:pStyle w:val="Compact"/>
              <w:jc w:val="left"/>
            </w:pPr>
            <w:r>
              <w:rPr>
                <w:rStyle w:val="VerbatimChar"/>
              </w:rPr>
              <w:t xml:space="preserve">protocolo_antipiquetes</w:t>
            </w:r>
          </w:p>
        </w:tc>
        <w:tc>
          <w:p>
            <w:pPr>
              <w:pStyle w:val="Compact"/>
              <w:jc w:val="left"/>
            </w:pPr>
            <w:r>
              <w:t xml:space="preserve">Carga manual</w:t>
            </w:r>
          </w:p>
        </w:tc>
        <w:tc>
          <w:p>
            <w:pPr>
              <w:pStyle w:val="Compact"/>
              <w:jc w:val="left"/>
            </w:pPr>
            <w:r>
              <w:t xml:space="preserve">Ministerio de Seguridad</w:t>
            </w:r>
          </w:p>
        </w:tc>
        <w:tc>
          <w:p>
            <w:pPr>
              <w:pStyle w:val="Compact"/>
              <w:jc w:val="left"/>
            </w:pPr>
            <w:r>
              <w:t xml:space="preserve">Trimestral</w:t>
            </w:r>
          </w:p>
        </w:tc>
        <w:tc>
          <w:p>
            <w:pPr>
              <w:pStyle w:val="Compact"/>
              <w:jc w:val="left"/>
            </w:pPr>
            <w:r>
              <w:t xml:space="preserve">55%</w:t>
            </w:r>
          </w:p>
        </w:tc>
      </w:tr>
      <w:tr>
        <w:tc>
          <w:p>
            <w:pPr>
              <w:pStyle w:val="Compact"/>
              <w:jc w:val="left"/>
            </w:pPr>
            <w:r>
              <w:rPr>
                <w:rStyle w:val="VerbatimChar"/>
              </w:rPr>
              <w:t xml:space="preserve">privatizaciones</w:t>
            </w:r>
          </w:p>
        </w:tc>
        <w:tc>
          <w:p>
            <w:pPr>
              <w:pStyle w:val="Compact"/>
              <w:jc w:val="left"/>
            </w:pPr>
            <w:r>
              <w:t xml:space="preserve">Sin fuente disponible</w:t>
            </w:r>
          </w:p>
        </w:tc>
        <w:tc>
          <w:p>
            <w:pPr>
              <w:pStyle w:val="Compact"/>
              <w:jc w:val="left"/>
            </w:pPr>
            <w:r>
              <w:t xml:space="preserve">Carga manual desde anuncios oficiales</w:t>
            </w:r>
          </w:p>
        </w:tc>
        <w:tc>
          <w:p>
            <w:pPr>
              <w:pStyle w:val="Compact"/>
              <w:jc w:val="left"/>
            </w:pPr>
            <w:r>
              <w:t xml:space="preserve">Mensual</w:t>
            </w:r>
          </w:p>
        </w:tc>
        <w:tc>
          <w:p>
            <w:pPr>
              <w:pStyle w:val="Compact"/>
              <w:jc w:val="left"/>
            </w:pPr>
            <w:r>
              <w:t xml:space="preserve">15%</w:t>
            </w:r>
          </w:p>
        </w:tc>
      </w:tr>
      <w:tr>
        <w:tc>
          <w:p>
            <w:pPr>
              <w:pStyle w:val="Compact"/>
              <w:jc w:val="left"/>
            </w:pPr>
            <w:r>
              <w:rPr>
                <w:rStyle w:val="VerbatimChar"/>
              </w:rPr>
              <w:t xml:space="preserve">libertad_opcion_salud</w:t>
            </w:r>
          </w:p>
        </w:tc>
        <w:tc>
          <w:p>
            <w:pPr>
              <w:pStyle w:val="Compact"/>
              <w:jc w:val="left"/>
            </w:pPr>
            <w:r>
              <w:t xml:space="preserve">Sin fuente disponible</w:t>
            </w:r>
          </w:p>
        </w:tc>
        <w:tc>
          <w:p>
            <w:pPr>
              <w:pStyle w:val="Compact"/>
              <w:jc w:val="left"/>
            </w:pPr>
            <w:r>
              <w:t xml:space="preserve">Carga manual desde reportes SSS</w:t>
            </w:r>
          </w:p>
        </w:tc>
        <w:tc>
          <w:p>
            <w:pPr>
              <w:pStyle w:val="Compact"/>
              <w:jc w:val="left"/>
            </w:pPr>
            <w:r>
              <w:t xml:space="preserve">Trimestral</w:t>
            </w:r>
          </w:p>
        </w:tc>
        <w:tc>
          <w:p>
            <w:pPr>
              <w:pStyle w:val="Compact"/>
              <w:jc w:val="left"/>
            </w:pPr>
            <w:r>
              <w:t xml:space="preserve">40%</w:t>
            </w:r>
          </w:p>
        </w:tc>
      </w:tr>
    </w:tbl>
    <w:p>
      <w:pPr>
        <w:pStyle w:val="BodyText"/>
      </w:pPr>
      <w:r>
        <w:t xml:space="preserve">Score actual del cinturón:</w:t>
      </w:r>
      <w:r>
        <w:t xml:space="preserve"> </w:t>
      </w:r>
      <w:r>
        <w:rPr>
          <w:bCs/>
          <w:b/>
        </w:rPr>
        <w:t xml:space="preserve">5.9 (en tensión)</w:t>
      </w:r>
      <w:r>
        <w:t xml:space="preserve">. Última ejecución: 23 de mayo de 2026, 6 de 6 automáticos frescos, 12 de 12 con dato.</w:t>
      </w:r>
    </w:p>
    <w:bookmarkEnd w:id="21"/>
    <w:bookmarkStart w:id="34" w:name="detalle-por-indicador"/>
    <w:p>
      <w:pPr>
        <w:pStyle w:val="Heading2"/>
      </w:pPr>
      <w:r>
        <w:t xml:space="preserve">Detalle por indicador</w:t>
      </w:r>
    </w:p>
    <w:bookmarkStart w:id="22" w:name="cepo_mulc-cepo-corporativo"/>
    <w:p>
      <w:pPr>
        <w:pStyle w:val="Heading3"/>
      </w:pPr>
      <w:r>
        <w:rPr>
          <w:rStyle w:val="VerbatimChar"/>
        </w:rPr>
        <w:t xml:space="preserve">cepo_mulc</w:t>
      </w:r>
      <w:r>
        <w:t xml:space="preserve"> </w:t>
      </w:r>
      <w:r>
        <w:t xml:space="preserve">— Cepo Corporativo</w:t>
      </w:r>
    </w:p>
    <w:p>
      <w:pPr>
        <w:numPr>
          <w:ilvl w:val="0"/>
          <w:numId w:val="1001"/>
        </w:numPr>
        <w:pStyle w:val="Compact"/>
      </w:pPr>
      <w:r>
        <w:t xml:space="preserve">Fuente:</w:t>
      </w:r>
      <w:r>
        <w:t xml:space="preserve"> </w:t>
      </w:r>
      <w:r>
        <w:rPr>
          <w:rStyle w:val="VerbatimChar"/>
        </w:rPr>
        <w:t xml:space="preserve">GET https://dolarapi.com/v1/dolares</w:t>
      </w:r>
    </w:p>
    <w:p>
      <w:pPr>
        <w:numPr>
          <w:ilvl w:val="0"/>
          <w:numId w:val="1001"/>
        </w:numPr>
        <w:pStyle w:val="Compact"/>
      </w:pPr>
      <w:r>
        <w:t xml:space="preserve">Cálculo:</w:t>
      </w:r>
      <w:r>
        <w:t xml:space="preserve"> </w:t>
      </w:r>
      <w:r>
        <w:rPr>
          <w:rStyle w:val="VerbatimChar"/>
        </w:rPr>
        <w:t xml:space="preserve">brecha = (CCL_venta − oficial_venta) / oficial_venta × 100</w:t>
      </w:r>
    </w:p>
    <w:p>
      <w:pPr>
        <w:numPr>
          <w:ilvl w:val="0"/>
          <w:numId w:val="1001"/>
        </w:numPr>
        <w:pStyle w:val="Compact"/>
      </w:pPr>
      <w:r>
        <w:t xml:space="preserve">Fórmula de avance:</w:t>
      </w:r>
      <w:r>
        <w:t xml:space="preserve"> </w:t>
      </w:r>
      <w:r>
        <w:rPr>
          <w:rStyle w:val="VerbatimChar"/>
        </w:rPr>
        <w:t xml:space="preserve">max(0, 100 − brecha × 5)</w:t>
      </w:r>
      <w:r>
        <w:t xml:space="preserve">. Brecha 0% equivale a avance 100%; brecha 20% equivale a avance 0%.</w:t>
      </w:r>
    </w:p>
    <w:p>
      <w:pPr>
        <w:numPr>
          <w:ilvl w:val="0"/>
          <w:numId w:val="1001"/>
        </w:numPr>
        <w:pStyle w:val="Compact"/>
      </w:pPr>
      <w:r>
        <w:t xml:space="preserve">Interpretación: el cepo minorista se levantó en abril de 2025. Para empresas persiste la restricción cambiaria: giro de dividendos, remesa de utilidades, acceso al MULC para capital. El CCL (contado con liquidación) refleja esta brecha. El dólar blue, en cambio, retornó cerca de cero respecto del oficial y resulta engañoso como proxy.</w:t>
      </w:r>
    </w:p>
    <w:p>
      <w:pPr>
        <w:numPr>
          <w:ilvl w:val="0"/>
          <w:numId w:val="1001"/>
        </w:numPr>
        <w:pStyle w:val="Compact"/>
      </w:pPr>
      <w:r>
        <w:t xml:space="preserve">Último valor (mayo 2026): CCL=1486.6, oficial=1425, brecha=4.32%, avance=78.4%.</w:t>
      </w:r>
    </w:p>
    <w:bookmarkEnd w:id="22"/>
    <w:bookmarkStart w:id="23" w:name="reduccion_estado-reducción-del-estado"/>
    <w:p>
      <w:pPr>
        <w:pStyle w:val="Heading3"/>
      </w:pPr>
      <w:r>
        <w:rPr>
          <w:rStyle w:val="VerbatimChar"/>
        </w:rPr>
        <w:t xml:space="preserve">reduccion_estado</w:t>
      </w:r>
      <w:r>
        <w:t xml:space="preserve"> </w:t>
      </w:r>
      <w:r>
        <w:t xml:space="preserve">— Reducción del Estado</w:t>
      </w:r>
    </w:p>
    <w:p>
      <w:pPr>
        <w:numPr>
          <w:ilvl w:val="0"/>
          <w:numId w:val="1002"/>
        </w:numPr>
        <w:pStyle w:val="Compact"/>
      </w:pPr>
      <w:r>
        <w:t xml:space="preserve">Fuente:</w:t>
      </w:r>
      <w:r>
        <w:t xml:space="preserve"> </w:t>
      </w:r>
      <w:r>
        <w:rPr>
          <w:rStyle w:val="VerbatimChar"/>
        </w:rPr>
        <w:t xml:space="preserve">GET https://apis.datos.gob.ar/series/api/series/?ids=324.1_TOTAL_SECTAJO__36&amp;sort=desc&amp;limit=16</w:t>
      </w:r>
    </w:p>
    <w:p>
      <w:pPr>
        <w:numPr>
          <w:ilvl w:val="0"/>
          <w:numId w:val="1002"/>
        </w:numPr>
        <w:pStyle w:val="Compact"/>
      </w:pPr>
      <w:r>
        <w:t xml:space="preserve">Serie:</w:t>
      </w:r>
      <w:r>
        <w:t xml:space="preserve"> </w:t>
      </w:r>
      <w:r>
        <w:t xml:space="preserve">“</w:t>
      </w:r>
      <w:r>
        <w:t xml:space="preserve">Total sector público puestos trabajo</w:t>
      </w:r>
      <w:r>
        <w:t xml:space="preserve">”</w:t>
      </w:r>
      <w:r>
        <w:t xml:space="preserve">, frecuencia trimestral.</w:t>
      </w:r>
    </w:p>
    <w:p>
      <w:pPr>
        <w:numPr>
          <w:ilvl w:val="0"/>
          <w:numId w:val="1002"/>
        </w:numPr>
        <w:pStyle w:val="Compact"/>
      </w:pPr>
      <w:r>
        <w:t xml:space="preserve">Cálculo: variación porcentual contra baseline Q4-2023 / Q1-2024. Meta de referencia: −30% equivale a avance 100%.</w:t>
      </w:r>
    </w:p>
    <w:p>
      <w:pPr>
        <w:numPr>
          <w:ilvl w:val="0"/>
          <w:numId w:val="1002"/>
        </w:numPr>
        <w:pStyle w:val="Compact"/>
      </w:pPr>
      <w:r>
        <w:t xml:space="preserve">Limitación: la serie mide insumo de mano de obra (puede ser índice, no headcount). La variación −0.8% contra Q1-2024 sugiere reducción modesta. Para mayor precisión se debería identificar serie de nómina ONP en datos.gob.ar.</w:t>
      </w:r>
    </w:p>
    <w:p>
      <w:pPr>
        <w:numPr>
          <w:ilvl w:val="0"/>
          <w:numId w:val="1002"/>
        </w:numPr>
        <w:pStyle w:val="Compact"/>
      </w:pPr>
      <w:r>
        <w:t xml:space="preserve">Último valor (mayo 2026): −0.8% versus 2024-01-01, avance=2.7%.</w:t>
      </w:r>
    </w:p>
    <w:bookmarkEnd w:id="23"/>
    <w:bookmarkStart w:id="24" w:name="apertura_comercial-apertura-comercial"/>
    <w:p>
      <w:pPr>
        <w:pStyle w:val="Heading3"/>
      </w:pPr>
      <w:r>
        <w:rPr>
          <w:rStyle w:val="VerbatimChar"/>
        </w:rPr>
        <w:t xml:space="preserve">apertura_comercial</w:t>
      </w:r>
      <w:r>
        <w:t xml:space="preserve"> </w:t>
      </w:r>
      <w:r>
        <w:t xml:space="preserve">— Apertura Comercial</w:t>
      </w:r>
    </w:p>
    <w:p>
      <w:pPr>
        <w:numPr>
          <w:ilvl w:val="0"/>
          <w:numId w:val="1003"/>
        </w:numPr>
        <w:pStyle w:val="Compact"/>
      </w:pPr>
      <w:r>
        <w:t xml:space="preserve">Fuente:</w:t>
      </w:r>
      <w:r>
        <w:t xml:space="preserve"> </w:t>
      </w:r>
      <w:r>
        <w:rPr>
          <w:rStyle w:val="VerbatimChar"/>
        </w:rPr>
        <w:t xml:space="preserve">GET https://apis.datos.gob.ar/series/api/series/?ids=163.3_MTALTAL_0_0_7&amp;sort=desc&amp;limit=14</w:t>
      </w:r>
    </w:p>
    <w:p>
      <w:pPr>
        <w:numPr>
          <w:ilvl w:val="0"/>
          <w:numId w:val="1003"/>
        </w:numPr>
        <w:pStyle w:val="Compact"/>
      </w:pPr>
      <w:r>
        <w:t xml:space="preserve">Serie:</w:t>
      </w:r>
      <w:r>
        <w:t xml:space="preserve"> </w:t>
      </w:r>
      <w:r>
        <w:t xml:space="preserve">“</w:t>
      </w:r>
      <w:r>
        <w:t xml:space="preserve">Importaciones. Total. Millones USD. Mensual</w:t>
      </w:r>
      <w:r>
        <w:t xml:space="preserve">”</w:t>
      </w:r>
      <w:r>
        <w:t xml:space="preserve"> </w:t>
      </w:r>
      <w:r>
        <w:t xml:space="preserve">(INDEC).</w:t>
      </w:r>
    </w:p>
    <w:p>
      <w:pPr>
        <w:numPr>
          <w:ilvl w:val="0"/>
          <w:numId w:val="1003"/>
        </w:numPr>
        <w:pStyle w:val="Compact"/>
      </w:pPr>
      <w:r>
        <w:t xml:space="preserve">Cálculo: variación interanual. +30% i.a. equivale a avance 100%; flat equivale a avance 50%; −30% i.a. equivale a avance 0%.</w:t>
      </w:r>
    </w:p>
    <w:p>
      <w:pPr>
        <w:numPr>
          <w:ilvl w:val="0"/>
          <w:numId w:val="1003"/>
        </w:numPr>
        <w:pStyle w:val="Compact"/>
      </w:pPr>
      <w:r>
        <w:t xml:space="preserve">Limitación: proxy imperfecto. Mide recuperación del comercio, no directamente la eliminación de aranceles o trabas no arancelarias.</w:t>
      </w:r>
    </w:p>
    <w:p>
      <w:pPr>
        <w:numPr>
          <w:ilvl w:val="0"/>
          <w:numId w:val="1003"/>
        </w:numPr>
        <w:pStyle w:val="Compact"/>
      </w:pPr>
      <w:r>
        <w:t xml:space="preserve">Último valor (mayo 2026): +42.4% i.a. (febrero 2025), avance=100% (rebote desde recesión 2024).</w:t>
      </w:r>
    </w:p>
    <w:bookmarkEnd w:id="24"/>
    <w:bookmarkStart w:id="25" w:name="Xd04e9bb30d52a11af84242d8672c1348278fdbe"/>
    <w:p>
      <w:pPr>
        <w:pStyle w:val="Heading3"/>
      </w:pPr>
      <w:r>
        <w:rPr>
          <w:rStyle w:val="VerbatimChar"/>
        </w:rPr>
        <w:t xml:space="preserve">desregulacion_normativa</w:t>
      </w:r>
      <w:r>
        <w:t xml:space="preserve"> </w:t>
      </w:r>
      <w:r>
        <w:t xml:space="preserve">— Desregulación Normativa</w:t>
      </w:r>
    </w:p>
    <w:p>
      <w:pPr>
        <w:numPr>
          <w:ilvl w:val="0"/>
          <w:numId w:val="1004"/>
        </w:numPr>
        <w:pStyle w:val="Compact"/>
      </w:pPr>
      <w:r>
        <w:t xml:space="preserve">Fuente: InfoLeg, búsqueda mediante sesión POST. Requiere GET previo a la home para obtener</w:t>
      </w:r>
      <w:r>
        <w:t xml:space="preserve"> </w:t>
      </w:r>
      <w:r>
        <w:rPr>
          <w:rStyle w:val="VerbatimChar"/>
        </w:rPr>
        <w:t xml:space="preserve">jsessionid</w:t>
      </w:r>
      <w:r>
        <w:t xml:space="preserve">, luego POST con</w:t>
      </w:r>
      <w:r>
        <w:t xml:space="preserve"> </w:t>
      </w:r>
      <w:r>
        <w:rPr>
          <w:rStyle w:val="VerbatimChar"/>
        </w:rPr>
        <w:t xml:space="preserve">texto="deroga"</w:t>
      </w:r>
      <w:r>
        <w:t xml:space="preserve"> </w:t>
      </w:r>
      <w:r>
        <w:t xml:space="preserve">y rango dic-2023 a hoy.</w:t>
      </w:r>
    </w:p>
    <w:p>
      <w:pPr>
        <w:numPr>
          <w:ilvl w:val="0"/>
          <w:numId w:val="1004"/>
        </w:numPr>
        <w:pStyle w:val="Compact"/>
      </w:pPr>
      <w:r>
        <w:t xml:space="preserve">Cálculo: conteo de normas con</w:t>
      </w:r>
      <w:r>
        <w:t xml:space="preserve"> </w:t>
      </w:r>
      <w:r>
        <w:t xml:space="preserve">“</w:t>
      </w:r>
      <w:r>
        <w:t xml:space="preserve">deroga</w:t>
      </w:r>
      <w:r>
        <w:t xml:space="preserve">”</w:t>
      </w:r>
      <w:r>
        <w:t xml:space="preserve"> </w:t>
      </w:r>
      <w:r>
        <w:t xml:space="preserve">en el texto publicadas desde diciembre 2023. 100 normas equivalen a avance 100% (escala lineal).</w:t>
      </w:r>
    </w:p>
    <w:p>
      <w:pPr>
        <w:numPr>
          <w:ilvl w:val="0"/>
          <w:numId w:val="1004"/>
        </w:numPr>
        <w:pStyle w:val="Compact"/>
      </w:pPr>
      <w:r>
        <w:t xml:space="preserve">Observación: cada documento cuenta como uno independientemente de cuántos artículos derogue (el DL 70/23 cuenta como una acción aunque contenga cientos de derogaciones).</w:t>
      </w:r>
    </w:p>
    <w:p>
      <w:pPr>
        <w:numPr>
          <w:ilvl w:val="0"/>
          <w:numId w:val="1004"/>
        </w:numPr>
        <w:pStyle w:val="Compact"/>
      </w:pPr>
      <w:r>
        <w:t xml:space="preserve">Último valor (mayo 2026): 55 normas, avance=55%.</w:t>
      </w:r>
    </w:p>
    <w:bookmarkEnd w:id="25"/>
    <w:bookmarkStart w:id="26" w:name="Xf30d8edc70a3d5da09aae548825059908e0345a"/>
    <w:p>
      <w:pPr>
        <w:pStyle w:val="Heading3"/>
      </w:pPr>
      <w:r>
        <w:rPr>
          <w:rStyle w:val="VerbatimChar"/>
        </w:rPr>
        <w:t xml:space="preserve">reestructuracion_organismos</w:t>
      </w:r>
      <w:r>
        <w:t xml:space="preserve"> </w:t>
      </w:r>
      <w:r>
        <w:t xml:space="preserve">— Reestructuración de Organismos</w:t>
      </w:r>
    </w:p>
    <w:p>
      <w:pPr>
        <w:numPr>
          <w:ilvl w:val="0"/>
          <w:numId w:val="1005"/>
        </w:numPr>
        <w:pStyle w:val="Compact"/>
      </w:pPr>
      <w:r>
        <w:t xml:space="preserve">Fuente: InfoLeg, sesión POST con</w:t>
      </w:r>
      <w:r>
        <w:t xml:space="preserve"> </w:t>
      </w:r>
      <w:r>
        <w:rPr>
          <w:rStyle w:val="VerbatimChar"/>
        </w:rPr>
        <w:t xml:space="preserve">texto="disolucion"</w:t>
      </w:r>
      <w:r>
        <w:t xml:space="preserve"> </w:t>
      </w:r>
      <w:r>
        <w:t xml:space="preserve">y rango dic-2023 a hoy.</w:t>
      </w:r>
    </w:p>
    <w:p>
      <w:pPr>
        <w:numPr>
          <w:ilvl w:val="0"/>
          <w:numId w:val="1005"/>
        </w:numPr>
        <w:pStyle w:val="Compact"/>
      </w:pPr>
      <w:r>
        <w:t xml:space="preserve">Cálculo: conteo de normas con</w:t>
      </w:r>
      <w:r>
        <w:t xml:space="preserve"> </w:t>
      </w:r>
      <w:r>
        <w:t xml:space="preserve">“</w:t>
      </w:r>
      <w:r>
        <w:t xml:space="preserve">disolucion</w:t>
      </w:r>
      <w:r>
        <w:t xml:space="preserve">”</w:t>
      </w:r>
      <w:r>
        <w:t xml:space="preserve"> </w:t>
      </w:r>
      <w:r>
        <w:t xml:space="preserve">publicadas desde diciembre 2023. 45 normas equivalen a avance 100%.</w:t>
      </w:r>
    </w:p>
    <w:p>
      <w:pPr>
        <w:numPr>
          <w:ilvl w:val="0"/>
          <w:numId w:val="1005"/>
        </w:numPr>
        <w:pStyle w:val="Compact"/>
      </w:pPr>
      <w:r>
        <w:t xml:space="preserve">Observación: el DNU 70/23 (el mega-decreto de diciembre 2023 que redujo secretarías de 106 a aproximadamente 54) no aparece en la búsqueda de texto libre de InfoLeg porque no está indexado como full-text. Los 18 documentos capturados corresponden a acciones de disolución y fusión posteriores al megadecreto.</w:t>
      </w:r>
    </w:p>
    <w:p>
      <w:pPr>
        <w:numPr>
          <w:ilvl w:val="0"/>
          <w:numId w:val="1005"/>
        </w:numPr>
        <w:pStyle w:val="Compact"/>
      </w:pPr>
      <w:r>
        <w:t xml:space="preserve">Calibración: 18 actos equivalen a avance 40%, valor validado contra estimación manual previa.</w:t>
      </w:r>
    </w:p>
    <w:p>
      <w:pPr>
        <w:numPr>
          <w:ilvl w:val="0"/>
          <w:numId w:val="1005"/>
        </w:numPr>
        <w:pStyle w:val="Compact"/>
      </w:pPr>
      <w:r>
        <w:t xml:space="preserve">Último valor (mayo 2026): 18 normas, avance=40%.</w:t>
      </w:r>
    </w:p>
    <w:bookmarkEnd w:id="26"/>
    <w:bookmarkStart w:id="27" w:name="rigi_inversiones-inversiones-rigi"/>
    <w:p>
      <w:pPr>
        <w:pStyle w:val="Heading3"/>
      </w:pPr>
      <w:r>
        <w:rPr>
          <w:rStyle w:val="VerbatimChar"/>
        </w:rPr>
        <w:t xml:space="preserve">rigi_inversiones</w:t>
      </w:r>
      <w:r>
        <w:t xml:space="preserve"> </w:t>
      </w:r>
      <w:r>
        <w:t xml:space="preserve">— Inversiones RIGI</w:t>
      </w:r>
    </w:p>
    <w:p>
      <w:pPr>
        <w:numPr>
          <w:ilvl w:val="0"/>
          <w:numId w:val="1006"/>
        </w:numPr>
        <w:pStyle w:val="Compact"/>
      </w:pPr>
      <w:r>
        <w:t xml:space="preserve">Fuente: InfoLeg, sesión POST con</w:t>
      </w:r>
      <w:r>
        <w:t xml:space="preserve"> </w:t>
      </w:r>
      <w:r>
        <w:rPr>
          <w:rStyle w:val="VerbatimChar"/>
        </w:rPr>
        <w:t xml:space="preserve">tipoNorma=3</w:t>
      </w:r>
      <w:r>
        <w:t xml:space="preserve"> </w:t>
      </w:r>
      <w:r>
        <w:t xml:space="preserve">(Resolución) +</w:t>
      </w:r>
      <w:r>
        <w:t xml:space="preserve"> </w:t>
      </w:r>
      <w:r>
        <w:rPr>
          <w:rStyle w:val="VerbatimChar"/>
        </w:rPr>
        <w:t xml:space="preserve">texto="VPU"</w:t>
      </w:r>
      <w:r>
        <w:t xml:space="preserve"> </w:t>
      </w:r>
      <w:r>
        <w:t xml:space="preserve">desde 01/07/2024 (entrada en vigencia de la Ley 27.742).</w:t>
      </w:r>
    </w:p>
    <w:p>
      <w:pPr>
        <w:numPr>
          <w:ilvl w:val="0"/>
          <w:numId w:val="1006"/>
        </w:numPr>
        <w:pStyle w:val="Compact"/>
      </w:pPr>
      <w:r>
        <w:t xml:space="preserve">Cálculo: conteo de resoluciones con</w:t>
      </w:r>
      <w:r>
        <w:t xml:space="preserve"> </w:t>
      </w:r>
      <w:r>
        <w:t xml:space="preserve">“</w:t>
      </w:r>
      <w:r>
        <w:t xml:space="preserve">VPU</w:t>
      </w:r>
      <w:r>
        <w:t xml:space="preserve">”</w:t>
      </w:r>
      <w:r>
        <w:t xml:space="preserve"> </w:t>
      </w:r>
      <w:r>
        <w:t xml:space="preserve">(Vehículo de Proyecto Único). Fórmula directa:</w:t>
      </w:r>
      <w:r>
        <w:t xml:space="preserve"> </w:t>
      </w:r>
      <w:r>
        <w:rPr>
          <w:rStyle w:val="VerbatimChar"/>
        </w:rPr>
        <w:t xml:space="preserve">avance_pct = min(100, count)</w:t>
      </w:r>
      <w:r>
        <w:t xml:space="preserve">.</w:t>
      </w:r>
    </w:p>
    <w:p>
      <w:pPr>
        <w:numPr>
          <w:ilvl w:val="0"/>
          <w:numId w:val="1006"/>
        </w:numPr>
        <w:pStyle w:val="Compact"/>
      </w:pPr>
      <w:r>
        <w:t xml:space="preserve">Calibración: 28 resoluciones VPU equivalen a aproximadamente 16 proyectos aprobados (USD 27.210 millones, mayo 2026). Ratio de aproximadamente 1.7 resoluciones por proyecto (aprobación más complementarias). Calibrado contra el dato manual publicado por El Cronista y La Nueva en mayo 2026.</w:t>
      </w:r>
    </w:p>
    <w:p>
      <w:pPr>
        <w:numPr>
          <w:ilvl w:val="0"/>
          <w:numId w:val="1006"/>
        </w:numPr>
        <w:pStyle w:val="Compact"/>
      </w:pPr>
      <w:r>
        <w:t xml:space="preserve">Nota técnica: la búsqueda OR-search del InfoLeg falla con términos genéricos como</w:t>
      </w:r>
      <w:r>
        <w:t xml:space="preserve"> </w:t>
      </w:r>
      <w:r>
        <w:t xml:space="preserve">“</w:t>
      </w:r>
      <w:r>
        <w:t xml:space="preserve">RIGI</w:t>
      </w:r>
      <w:r>
        <w:t xml:space="preserve">”</w:t>
      </w:r>
      <w:r>
        <w:t xml:space="preserve"> </w:t>
      </w:r>
      <w:r>
        <w:t xml:space="preserve">(devuelve 93 normas mezcladas) o</w:t>
      </w:r>
      <w:r>
        <w:t xml:space="preserve"> </w:t>
      </w:r>
      <w:r>
        <w:t xml:space="preserve">“</w:t>
      </w:r>
      <w:r>
        <w:t xml:space="preserve">adhesion</w:t>
      </w:r>
      <w:r>
        <w:t xml:space="preserve">”</w:t>
      </w:r>
      <w:r>
        <w:t xml:space="preserve"> </w:t>
      </w:r>
      <w:r>
        <w:t xml:space="preserve">(164 normas).</w:t>
      </w:r>
      <w:r>
        <w:t xml:space="preserve"> </w:t>
      </w:r>
      <w:r>
        <w:t xml:space="preserve">“</w:t>
      </w:r>
      <w:r>
        <w:t xml:space="preserve">VPU</w:t>
      </w:r>
      <w:r>
        <w:t xml:space="preserve">”</w:t>
      </w:r>
      <w:r>
        <w:t xml:space="preserve"> </w:t>
      </w:r>
      <w:r>
        <w:t xml:space="preserve">es vocabulario técnico exclusivo del régimen y aparece únicamente en resoluciones de aprobación e implementación.</w:t>
      </w:r>
    </w:p>
    <w:p>
      <w:pPr>
        <w:numPr>
          <w:ilvl w:val="0"/>
          <w:numId w:val="1006"/>
        </w:numPr>
        <w:pStyle w:val="Compact"/>
      </w:pPr>
      <w:r>
        <w:t xml:space="preserve">Último valor (mayo 2026): 28 resoluciones VPU, avance=28.0%.</w:t>
      </w:r>
    </w:p>
    <w:bookmarkEnd w:id="27"/>
    <w:bookmarkStart w:id="28" w:name="privatizaciones-privatizaciones"/>
    <w:p>
      <w:pPr>
        <w:pStyle w:val="Heading3"/>
      </w:pPr>
      <w:r>
        <w:rPr>
          <w:rStyle w:val="VerbatimChar"/>
        </w:rPr>
        <w:t xml:space="preserve">privatizaciones</w:t>
      </w:r>
      <w:r>
        <w:t xml:space="preserve"> </w:t>
      </w:r>
      <w:r>
        <w:t xml:space="preserve">— Privatizaciones</w:t>
      </w:r>
    </w:p>
    <w:p>
      <w:pPr>
        <w:numPr>
          <w:ilvl w:val="0"/>
          <w:numId w:val="1007"/>
        </w:numPr>
        <w:pStyle w:val="Compact"/>
      </w:pPr>
      <w:r>
        <w:t xml:space="preserve">Fuente: carga manual desde</w:t>
      </w:r>
      <w:r>
        <w:t xml:space="preserve"> </w:t>
      </w:r>
      <w:r>
        <w:rPr>
          <w:rStyle w:val="VerbatimChar"/>
        </w:rPr>
        <w:t xml:space="preserve">data/gestion/manuales.json</w:t>
      </w:r>
      <w:r>
        <w:t xml:space="preserve">.</w:t>
      </w:r>
    </w:p>
    <w:p>
      <w:pPr>
        <w:numPr>
          <w:ilvl w:val="0"/>
          <w:numId w:val="1007"/>
        </w:numPr>
        <w:pStyle w:val="Compact"/>
      </w:pPr>
      <w:r>
        <w:t xml:space="preserve">Cálculo: porcentaje de empresas privatizadas efectivamente sobre el listado del DL 70/23.</w:t>
      </w:r>
    </w:p>
    <w:p>
      <w:pPr>
        <w:numPr>
          <w:ilvl w:val="0"/>
          <w:numId w:val="1007"/>
        </w:numPr>
        <w:pStyle w:val="Compact"/>
      </w:pPr>
      <w:r>
        <w:t xml:space="preserve">Estado actual: Aerolíneas y Correo en proceso parlamentario sin transferencia efectiva. Avance estimado 15%.</w:t>
      </w:r>
    </w:p>
    <w:p>
      <w:pPr>
        <w:numPr>
          <w:ilvl w:val="0"/>
          <w:numId w:val="1007"/>
        </w:numPr>
        <w:pStyle w:val="Compact"/>
      </w:pPr>
      <w:r>
        <w:t xml:space="preserve">Razón del bloqueo técnico: el Boletín Oficial no expone API JSON pública (los endpoints retornan HTML). ComprAR (plataforma de pliegos) es ASP.NET con</w:t>
      </w:r>
      <w:r>
        <w:t xml:space="preserve"> </w:t>
      </w:r>
      <w:r>
        <w:rPr>
          <w:rStyle w:val="VerbatimChar"/>
        </w:rPr>
        <w:t xml:space="preserve">__VIEWSTATE</w:t>
      </w:r>
      <w:r>
        <w:t xml:space="preserve"> </w:t>
      </w:r>
      <w:r>
        <w:t xml:space="preserve">y requiere mantener sesión con formularios complejos. InfoLeg con</w:t>
      </w:r>
      <w:r>
        <w:t xml:space="preserve"> </w:t>
      </w:r>
      <w:r>
        <w:rPr>
          <w:rStyle w:val="VerbatimChar"/>
        </w:rPr>
        <w:t xml:space="preserve">tipoNorma=3 texto="privatizacion"</w:t>
      </w:r>
      <w:r>
        <w:t xml:space="preserve"> </w:t>
      </w:r>
      <w:r>
        <w:t xml:space="preserve">devuelve 9 normas pero el OR-search es ambiguo: contar normas no equivale a transferencia efectiva.</w:t>
      </w:r>
    </w:p>
    <w:p>
      <w:pPr>
        <w:numPr>
          <w:ilvl w:val="0"/>
          <w:numId w:val="1007"/>
        </w:numPr>
        <w:pStyle w:val="Compact"/>
      </w:pPr>
      <w:r>
        <w:t xml:space="preserve">Política de actualización: carga manual mensual desde anuncios oficiales del Ministerio de Economía.</w:t>
      </w:r>
    </w:p>
    <w:bookmarkEnd w:id="28"/>
    <w:bookmarkStart w:id="29" w:name="X9edcebfae6270fa110dcee9c10df7da14da36ce"/>
    <w:p>
      <w:pPr>
        <w:pStyle w:val="Heading3"/>
      </w:pPr>
      <w:r>
        <w:rPr>
          <w:rStyle w:val="VerbatimChar"/>
        </w:rPr>
        <w:t xml:space="preserve">concesiones_infraestructura</w:t>
      </w:r>
      <w:r>
        <w:t xml:space="preserve"> </w:t>
      </w:r>
      <w:r>
        <w:t xml:space="preserve">— Concesiones de Infraestructura</w:t>
      </w:r>
    </w:p>
    <w:p>
      <w:pPr>
        <w:numPr>
          <w:ilvl w:val="0"/>
          <w:numId w:val="1008"/>
        </w:numPr>
        <w:pStyle w:val="Compact"/>
      </w:pPr>
      <w:r>
        <w:t xml:space="preserve">Fuente: carga manual desde</w:t>
      </w:r>
      <w:r>
        <w:t xml:space="preserve"> </w:t>
      </w:r>
      <w:r>
        <w:rPr>
          <w:rStyle w:val="VerbatimChar"/>
        </w:rPr>
        <w:t xml:space="preserve">data/gestion/manuales.json</w:t>
      </w:r>
      <w:r>
        <w:t xml:space="preserve">.</w:t>
      </w:r>
    </w:p>
    <w:p>
      <w:pPr>
        <w:numPr>
          <w:ilvl w:val="0"/>
          <w:numId w:val="1008"/>
        </w:numPr>
        <w:pStyle w:val="Compact"/>
      </w:pPr>
      <w:r>
        <w:t xml:space="preserve">Cálculo: porcentaje de corredores viales concesionados sobre el plan total de 9 corredores.</w:t>
      </w:r>
    </w:p>
    <w:p>
      <w:pPr>
        <w:numPr>
          <w:ilvl w:val="0"/>
          <w:numId w:val="1008"/>
        </w:numPr>
        <w:pStyle w:val="Compact"/>
      </w:pPr>
      <w:r>
        <w:t xml:space="preserve">Estado actual: corredores viales en licitación activa. Avance estimado 35%.</w:t>
      </w:r>
    </w:p>
    <w:p>
      <w:pPr>
        <w:numPr>
          <w:ilvl w:val="0"/>
          <w:numId w:val="1008"/>
        </w:numPr>
        <w:pStyle w:val="Compact"/>
      </w:pPr>
      <w:r>
        <w:t xml:space="preserve">Vía de automatización futura: parser de PDF sobre informes trimestrales de Vialidad Nacional / ORSNA, similar al utilizado para CICCRA en vida cotidiana.</w:t>
      </w:r>
    </w:p>
    <w:bookmarkEnd w:id="29"/>
    <w:bookmarkStart w:id="30" w:name="asistencia_directa-asistencia-directa"/>
    <w:p>
      <w:pPr>
        <w:pStyle w:val="Heading3"/>
      </w:pPr>
      <w:r>
        <w:rPr>
          <w:rStyle w:val="VerbatimChar"/>
        </w:rPr>
        <w:t xml:space="preserve">asistencia_directa</w:t>
      </w:r>
      <w:r>
        <w:t xml:space="preserve"> </w:t>
      </w:r>
      <w:r>
        <w:t xml:space="preserve">— Asistencia Directa</w:t>
      </w:r>
    </w:p>
    <w:p>
      <w:pPr>
        <w:numPr>
          <w:ilvl w:val="0"/>
          <w:numId w:val="1009"/>
        </w:numPr>
        <w:pStyle w:val="Compact"/>
      </w:pPr>
      <w:r>
        <w:t xml:space="preserve">Fuente: carga manual desde</w:t>
      </w:r>
      <w:r>
        <w:t xml:space="preserve"> </w:t>
      </w:r>
      <w:r>
        <w:rPr>
          <w:rStyle w:val="VerbatimChar"/>
        </w:rPr>
        <w:t xml:space="preserve">data/gestion/manuales.json</w:t>
      </w:r>
      <w:r>
        <w:t xml:space="preserve">.</w:t>
      </w:r>
    </w:p>
    <w:p>
      <w:pPr>
        <w:numPr>
          <w:ilvl w:val="0"/>
          <w:numId w:val="1009"/>
        </w:numPr>
        <w:pStyle w:val="Compact"/>
      </w:pPr>
      <w:r>
        <w:t xml:space="preserve">Cálculo: porcentaje de beneficiarios sociales que cobran directamente sobre el total de beneficiarios.</w:t>
      </w:r>
    </w:p>
    <w:p>
      <w:pPr>
        <w:numPr>
          <w:ilvl w:val="0"/>
          <w:numId w:val="1009"/>
        </w:numPr>
        <w:pStyle w:val="Compact"/>
      </w:pPr>
      <w:r>
        <w:t xml:space="preserve">Programa de referencia: Volver al Trabajo (ex Potenciar Trabajo), aproximadamente 330.000 beneficiarios iniciales.</w:t>
      </w:r>
    </w:p>
    <w:p>
      <w:pPr>
        <w:numPr>
          <w:ilvl w:val="0"/>
          <w:numId w:val="1009"/>
        </w:numPr>
        <w:pStyle w:val="Compact"/>
      </w:pPr>
      <w:r>
        <w:t xml:space="preserve">Estado actual: avance estimado 35%.</w:t>
      </w:r>
    </w:p>
    <w:p>
      <w:pPr>
        <w:numPr>
          <w:ilvl w:val="0"/>
          <w:numId w:val="1009"/>
        </w:numPr>
        <w:pStyle w:val="Compact"/>
      </w:pPr>
      <w:r>
        <w:t xml:space="preserve">Vía de automatización futura: portal de transparencia ANSES, pendiente de apertura de API pública.</w:t>
      </w:r>
    </w:p>
    <w:bookmarkEnd w:id="30"/>
    <w:bookmarkStart w:id="31" w:name="X0a27b8dbbbded6c2839bb72023b251b3b6ec5ec"/>
    <w:p>
      <w:pPr>
        <w:pStyle w:val="Heading3"/>
      </w:pPr>
      <w:r>
        <w:rPr>
          <w:rStyle w:val="VerbatimChar"/>
        </w:rPr>
        <w:t xml:space="preserve">fal_modernizacion_laboral</w:t>
      </w:r>
      <w:r>
        <w:t xml:space="preserve"> </w:t>
      </w:r>
      <w:r>
        <w:t xml:space="preserve">— Modernización Laboral (FAL)</w:t>
      </w:r>
    </w:p>
    <w:p>
      <w:pPr>
        <w:numPr>
          <w:ilvl w:val="0"/>
          <w:numId w:val="1010"/>
        </w:numPr>
        <w:pStyle w:val="Compact"/>
      </w:pPr>
      <w:r>
        <w:t xml:space="preserve">Fuente: carga manual desde</w:t>
      </w:r>
      <w:r>
        <w:t xml:space="preserve"> </w:t>
      </w:r>
      <w:r>
        <w:rPr>
          <w:rStyle w:val="VerbatimChar"/>
        </w:rPr>
        <w:t xml:space="preserve">data/gestion/manuales.json</w:t>
      </w:r>
      <w:r>
        <w:t xml:space="preserve">.</w:t>
      </w:r>
    </w:p>
    <w:p>
      <w:pPr>
        <w:numPr>
          <w:ilvl w:val="0"/>
          <w:numId w:val="1010"/>
        </w:numPr>
        <w:pStyle w:val="Compact"/>
      </w:pPr>
      <w:r>
        <w:t xml:space="preserve">Cálculo: porcentaje de etapas implementadas (ley, reglamentación, operación).</w:t>
      </w:r>
    </w:p>
    <w:p>
      <w:pPr>
        <w:numPr>
          <w:ilvl w:val="0"/>
          <w:numId w:val="1010"/>
        </w:numPr>
        <w:pStyle w:val="Compact"/>
      </w:pPr>
      <w:r>
        <w:t xml:space="preserve">Estado actual (mayo 2026): FAL aprobado por ley, reglamentación incompleta (ARCA, CNV, ANSES pendiente). Entrada en vigencia postergada a H2-2026. Avance 10%.</w:t>
      </w:r>
    </w:p>
    <w:p>
      <w:pPr>
        <w:numPr>
          <w:ilvl w:val="0"/>
          <w:numId w:val="1010"/>
        </w:numPr>
        <w:pStyle w:val="Compact"/>
      </w:pPr>
      <w:r>
        <w:t xml:space="preserve">Vía de automatización futura: implementable cuando el FAL entre en operación, vía endpoints de MTEySS, ARCA y ANSES.</w:t>
      </w:r>
    </w:p>
    <w:bookmarkEnd w:id="31"/>
    <w:bookmarkStart w:id="32" w:name="Xc8c65f0873464d9e94176eeb1769f85fc29721b"/>
    <w:p>
      <w:pPr>
        <w:pStyle w:val="Heading3"/>
      </w:pPr>
      <w:r>
        <w:rPr>
          <w:rStyle w:val="VerbatimChar"/>
        </w:rPr>
        <w:t xml:space="preserve">libertad_opcion_salud</w:t>
      </w:r>
      <w:r>
        <w:t xml:space="preserve"> </w:t>
      </w:r>
      <w:r>
        <w:t xml:space="preserve">— Libertad de Opción en Salud</w:t>
      </w:r>
    </w:p>
    <w:p>
      <w:pPr>
        <w:numPr>
          <w:ilvl w:val="0"/>
          <w:numId w:val="1011"/>
        </w:numPr>
        <w:pStyle w:val="Compact"/>
      </w:pPr>
      <w:r>
        <w:t xml:space="preserve">Fuente: carga manual desde</w:t>
      </w:r>
      <w:r>
        <w:t xml:space="preserve"> </w:t>
      </w:r>
      <w:r>
        <w:rPr>
          <w:rStyle w:val="VerbatimChar"/>
        </w:rPr>
        <w:t xml:space="preserve">data/gestion/manuales.json</w:t>
      </w:r>
      <w:r>
        <w:t xml:space="preserve">.</w:t>
      </w:r>
    </w:p>
    <w:p>
      <w:pPr>
        <w:numPr>
          <w:ilvl w:val="0"/>
          <w:numId w:val="1011"/>
        </w:numPr>
        <w:pStyle w:val="Compact"/>
      </w:pPr>
      <w:r>
        <w:t xml:space="preserve">Cálculo: opciones de cambio captadas acumuladas desde diciembre 2023 sobre baseline.</w:t>
      </w:r>
    </w:p>
    <w:p>
      <w:pPr>
        <w:numPr>
          <w:ilvl w:val="0"/>
          <w:numId w:val="1011"/>
        </w:numPr>
        <w:pStyle w:val="Compact"/>
      </w:pPr>
      <w:r>
        <w:t xml:space="preserve">Estado actual: avance estimado 40%.</w:t>
      </w:r>
    </w:p>
    <w:p>
      <w:pPr>
        <w:numPr>
          <w:ilvl w:val="0"/>
          <w:numId w:val="1011"/>
        </w:numPr>
        <w:pStyle w:val="Compact"/>
      </w:pPr>
      <w:r>
        <w:t xml:space="preserve">Razón del bloqueo técnico: la Superintendencia de Servicios de Salud usa fingerprinting de cliente en backend (endpoint</w:t>
      </w:r>
      <w:r>
        <w:t xml:space="preserve"> </w:t>
      </w:r>
      <w:r>
        <w:rPr>
          <w:rStyle w:val="VerbatimChar"/>
        </w:rPr>
        <w:t xml:space="preserve">/fwb/first_submit.df</w:t>
      </w:r>
      <w:r>
        <w:t xml:space="preserve">); el sitio devuelve</w:t>
      </w:r>
      <w:r>
        <w:t xml:space="preserve"> </w:t>
      </w:r>
      <w:r>
        <w:t xml:space="preserve">“</w:t>
      </w:r>
      <w:r>
        <w:t xml:space="preserve">No se reportan datos</w:t>
      </w:r>
      <w:r>
        <w:t xml:space="preserve">”</w:t>
      </w:r>
      <w:r>
        <w:t xml:space="preserve"> </w:t>
      </w:r>
      <w:r>
        <w:t xml:space="preserve">incluso con browser real (Playwright). Los datasets de obras sociales en datos.gob.ar están congelados con</w:t>
      </w:r>
      <w:r>
        <w:t xml:space="preserve"> </w:t>
      </w:r>
      <w:r>
        <w:rPr>
          <w:rStyle w:val="VerbatimChar"/>
        </w:rPr>
        <w:t xml:space="preserve">last_modified</w:t>
      </w:r>
      <w:r>
        <w:t xml:space="preserve"> </w:t>
      </w:r>
      <w:r>
        <w:t xml:space="preserve">2018-2019.</w:t>
      </w:r>
    </w:p>
    <w:p>
      <w:pPr>
        <w:numPr>
          <w:ilvl w:val="0"/>
          <w:numId w:val="1011"/>
        </w:numPr>
        <w:pStyle w:val="Compact"/>
      </w:pPr>
      <w:r>
        <w:t xml:space="preserve">Política de actualización: carga manual trimestral desde reportes oficiales de SSS.</w:t>
      </w:r>
    </w:p>
    <w:bookmarkEnd w:id="32"/>
    <w:bookmarkStart w:id="33" w:name="X606d44cf07d449704a4adfb8c0763f0dafac46e"/>
    <w:p>
      <w:pPr>
        <w:pStyle w:val="Heading3"/>
      </w:pPr>
      <w:r>
        <w:rPr>
          <w:rStyle w:val="VerbatimChar"/>
        </w:rPr>
        <w:t xml:space="preserve">protocolo_antipiquetes</w:t>
      </w:r>
      <w:r>
        <w:t xml:space="preserve"> </w:t>
      </w:r>
      <w:r>
        <w:t xml:space="preserve">— Protocolo Antipiquetes</w:t>
      </w:r>
    </w:p>
    <w:p>
      <w:pPr>
        <w:numPr>
          <w:ilvl w:val="0"/>
          <w:numId w:val="1012"/>
        </w:numPr>
        <w:pStyle w:val="Compact"/>
      </w:pPr>
      <w:r>
        <w:t xml:space="preserve">Fuente: carga manual desde</w:t>
      </w:r>
      <w:r>
        <w:t xml:space="preserve"> </w:t>
      </w:r>
      <w:r>
        <w:rPr>
          <w:rStyle w:val="VerbatimChar"/>
        </w:rPr>
        <w:t xml:space="preserve">data/gestion/manuales.json</w:t>
      </w:r>
      <w:r>
        <w:t xml:space="preserve">.</w:t>
      </w:r>
    </w:p>
    <w:p>
      <w:pPr>
        <w:numPr>
          <w:ilvl w:val="0"/>
          <w:numId w:val="1012"/>
        </w:numPr>
        <w:pStyle w:val="Compact"/>
      </w:pPr>
      <w:r>
        <w:t xml:space="preserve">Cálculo: porcentaje de cortes con carril libre garantizado sobre el total de cortes registrados desde diciembre 2023.</w:t>
      </w:r>
    </w:p>
    <w:p>
      <w:pPr>
        <w:numPr>
          <w:ilvl w:val="0"/>
          <w:numId w:val="1012"/>
        </w:numPr>
        <w:pStyle w:val="Compact"/>
      </w:pPr>
      <w:r>
        <w:t xml:space="preserve">Estado actual: avance estimado 55%.</w:t>
      </w:r>
    </w:p>
    <w:p>
      <w:pPr>
        <w:numPr>
          <w:ilvl w:val="0"/>
          <w:numId w:val="1012"/>
        </w:numPr>
        <w:pStyle w:val="Compact"/>
      </w:pPr>
      <w:r>
        <w:t xml:space="preserve">Vía de automatización futura: requeriría acuerdo institucional con Ministerio de Seguridad o relevamiento propio.</w:t>
      </w:r>
    </w:p>
    <w:bookmarkEnd w:id="33"/>
    <w:bookmarkEnd w:id="34"/>
    <w:bookmarkStart w:id="35" w:name="ejecución"/>
    <w:p>
      <w:pPr>
        <w:pStyle w:val="Heading2"/>
      </w:pPr>
      <w:r>
        <w:t xml:space="preserve">Ejecución</w:t>
      </w:r>
    </w:p>
    <w:p>
      <w:pPr>
        <w:pStyle w:val="SourceCode"/>
      </w:pPr>
      <w:r>
        <w:rPr>
          <w:rStyle w:val="BuiltInTok"/>
        </w:rPr>
        <w:t xml:space="preserve">cd</w:t>
      </w:r>
      <w:r>
        <w:rPr>
          <w:rStyle w:val="NormalTok"/>
        </w:rPr>
        <w:t xml:space="preserve"> projects/informe_coyuntura</w:t>
      </w:r>
      <w:r>
        <w:br/>
      </w:r>
      <w:r>
        <w:rPr>
          <w:rStyle w:val="ExtensionTok"/>
        </w:rPr>
        <w:t xml:space="preserve">python</w:t>
      </w:r>
      <w:r>
        <w:rPr>
          <w:rStyle w:val="NormalTok"/>
        </w:rPr>
        <w:t xml:space="preserve"> scripts/gestion.py</w:t>
      </w:r>
    </w:p>
    <w:p>
      <w:pPr>
        <w:pStyle w:val="FirstParagraph"/>
      </w:pPr>
      <w:r>
        <w:t xml:space="preserve">Códigos de salida:</w:t>
      </w:r>
    </w:p>
    <w:tbl>
      <w:tblPr>
        <w:tblStyle w:val="Table"/>
        <w:tblW w:type="pct" w:w="0.0"/>
        <w:tblLook w:firstRow="1" w:lastRow="0" w:firstColumn="0" w:lastColumn="0" w:noHBand="0" w:noVBand="0" w:val="0020"/>
      </w:tblPr>
      <w:tblGrid/>
      <w:tr>
        <w:tc>
          <w:p>
            <w:pPr>
              <w:pStyle w:val="Compact"/>
              <w:jc w:val="left"/>
            </w:pPr>
            <w:r>
              <w:t xml:space="preserve">Código</w:t>
            </w:r>
          </w:p>
        </w:tc>
        <w:tc>
          <w:p>
            <w:pPr>
              <w:pStyle w:val="Compact"/>
              <w:jc w:val="left"/>
            </w:pPr>
            <w:r>
              <w:t xml:space="preserve">Significado</w:t>
            </w:r>
          </w:p>
        </w:tc>
      </w:tr>
      <w:tr>
        <w:tc>
          <w:p>
            <w:pPr>
              <w:pStyle w:val="Compact"/>
              <w:jc w:val="left"/>
            </w:pPr>
            <w:r>
              <w:t xml:space="preserve">0</w:t>
            </w:r>
          </w:p>
        </w:tc>
        <w:tc>
          <w:p>
            <w:pPr>
              <w:pStyle w:val="Compact"/>
              <w:jc w:val="left"/>
            </w:pPr>
            <w:r>
              <w:t xml:space="preserve">Todos los colectores automáticos devolvieron datos frescos</w:t>
            </w:r>
          </w:p>
        </w:tc>
      </w:tr>
      <w:tr>
        <w:tc>
          <w:p>
            <w:pPr>
              <w:pStyle w:val="Compact"/>
              <w:jc w:val="left"/>
            </w:pPr>
            <w:r>
              <w:t xml:space="preserve">1</w:t>
            </w:r>
          </w:p>
        </w:tc>
        <w:tc>
          <w:p>
            <w:pPr>
              <w:pStyle w:val="Compact"/>
              <w:jc w:val="left"/>
            </w:pPr>
            <w:r>
              <w:t xml:space="preserve">Al menos un colector automático fresco (parcial)</w:t>
            </w:r>
          </w:p>
        </w:tc>
      </w:tr>
      <w:tr>
        <w:tc>
          <w:p>
            <w:pPr>
              <w:pStyle w:val="Compact"/>
              <w:jc w:val="left"/>
            </w:pPr>
            <w:r>
              <w:t xml:space="preserve">2</w:t>
            </w:r>
          </w:p>
        </w:tc>
        <w:tc>
          <w:p>
            <w:pPr>
              <w:pStyle w:val="Compact"/>
              <w:jc w:val="left"/>
            </w:pPr>
            <w:r>
              <w:t xml:space="preserve">Ningún colector automático fresco</w:t>
            </w:r>
          </w:p>
        </w:tc>
      </w:tr>
    </w:tbl>
    <w:bookmarkEnd w:id="35"/>
    <w:bookmarkEnd w:id="36"/>
    <w:sectPr>
      <w:headerReference r:id="rId9" w:type="default"/>
      <w:footerReference r:id="rId10" w:type="default"/>
      <w:pgMar w:bottom="1134"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BFBFBF"/>
      </w:pBdr>
    </w:pPr>
    <w:r>
      <w:rPr>
        <w:rFonts w:ascii="Calibri" w:hAnsi="Calibri" w:cs="Calibri" w:eastAsia="Calibri"/>
        <w:color w:val="5F6360"/>
        <w:sz w:val="16"/>
      </w:rPr>
      <w:t xml:space="preserve">Fundación CiGob   ·   página </w:t>
    </w:r>
    <w:r>
      <w:rPr>
        <w:rFonts w:ascii="Calibri" w:hAnsi="Calibri" w:cs="Calibri" w:eastAsia="Calibri"/>
        <w:color w:val="5F6360"/>
        <w:sz w:val="16"/>
      </w:rPr>
      <w:fldChar w:fldCharType="begin"/>
      <w:instrText>PAGE</w:instrText>
      <w:fldChar w:fldCharType="end"/>
    </w:r>
    <w:r>
      <w:rPr>
        <w:rFonts w:ascii="Calibri" w:hAnsi="Calibri" w:cs="Calibri" w:eastAsia="Calibri"/>
        <w:color w:val="5F6360"/>
        <w:sz w:val="16"/>
      </w:rPr>
      <w:t xml:space="preserve"> de </w:t>
    </w:r>
    <w:r>
      <w:rPr>
        <w:rFonts w:ascii="Calibri" w:hAnsi="Calibri" w:cs="Calibri" w:eastAsia="Calibri"/>
        <w:color w:val="5F6360"/>
        <w:sz w:val="16"/>
      </w:rPr>
      <w:fldChar w:fldCharType="begin"/>
      <w:instrText>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8" w:color="1D67CD"/>
      </w:pBdr>
    </w:pPr>
    <w:r>
      <w:drawing>
        <wp:inline xmlns:a="http://schemas.openxmlformats.org/drawingml/2006/main" xmlns:pic="http://schemas.openxmlformats.org/drawingml/2006/picture">
          <wp:extent cx="1196883" cy="360000"/>
          <wp:docPr id="1" name="Picture 1"/>
          <wp:cNvGraphicFramePr>
            <a:graphicFrameLocks noChangeAspect="1"/>
          </wp:cNvGraphicFramePr>
          <a:graphic>
            <a:graphicData uri="http://schemas.openxmlformats.org/drawingml/2006/picture">
              <pic:pic>
                <pic:nvPicPr>
                  <pic:cNvPr id="0" name="cigob_logo.png"/>
                  <pic:cNvPicPr/>
                </pic:nvPicPr>
                <pic:blipFill>
                  <a:blip r:embed="rId1"/>
                  <a:stretch>
                    <a:fillRect/>
                  </a:stretch>
                </pic:blipFill>
                <pic:spPr>
                  <a:xfrm>
                    <a:off x="0" y="0"/>
                    <a:ext cx="1196883" cy="360000"/>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b w:val="0"/>
      <w:i w:val="0"/>
      <w:color w:val="333333"/>
      <w:sz w:val="22"/>
    </w:rPr>
    <w:pPr>
      <w:spacing w:after="120" w:before="0"/>
    </w:pPr>
  </w:style>
  <w:style w:styleId="BodyText" w:type="paragraph">
    <w:name w:val="Body Text"/>
    <w:basedOn w:val="Normal"/>
    <w:link w:val="BodyTextChar"/>
    <w:pPr>
      <w:spacing w:after="120" w:before="0"/>
    </w:pPr>
    <w:qFormat/>
    <w:rPr>
      <w:rFonts w:ascii="Calibri" w:cs="Calibri" w:eastAsia="Calibri" w:hAnsi="Calibri"/>
      <w:b w:val="0"/>
      <w:i w:val="0"/>
      <w:color w:val="333333"/>
      <w:sz w:val="22"/>
    </w:rPr>
  </w:style>
  <w:style w:customStyle="1" w:styleId="FirstParagraph" w:type="paragraph">
    <w:name w:val="First Paragraph"/>
    <w:basedOn w:val="BodyText"/>
    <w:next w:val="BodyText"/>
    <w:qFormat/>
    <w:rPr>
      <w:rFonts w:ascii="Calibri" w:cs="Calibri" w:eastAsia="Calibri" w:hAnsi="Calibri"/>
      <w:b w:val="0"/>
      <w:i w:val="0"/>
      <w:color w:val="333333"/>
      <w:sz w:val="22"/>
    </w:rPr>
    <w:pPr>
      <w:spacing w:after="120" w:before="0"/>
    </w:pPr>
  </w:style>
  <w:style w:customStyle="1" w:styleId="Compact" w:type="paragraph">
    <w:name w:val="Compact"/>
    <w:basedOn w:val="BodyText"/>
    <w:qFormat/>
    <w:pPr>
      <w:spacing w:after="40" w:before="0"/>
    </w:pPr>
    <w:rPr>
      <w:rFonts w:ascii="Calibri" w:cs="Calibri" w:eastAsia="Calibri" w:hAnsi="Calibri"/>
      <w:b w:val="0"/>
      <w:i w:val="0"/>
      <w:color w:val="333333"/>
      <w:sz w:val="22"/>
    </w:rPr>
  </w:style>
  <w:style w:styleId="Title" w:type="paragraph">
    <w:name w:val="Title"/>
    <w:basedOn w:val="Normal"/>
    <w:next w:val="BodyText"/>
    <w:qFormat/>
    <w:pPr>
      <w:keepNext/>
      <w:keepLines/>
      <w:spacing w:after="160" w:before="0"/>
      <w:jc w:val="center"/>
    </w:pPr>
    <w:rPr>
      <w:rFonts w:ascii="Calibri" w:asciiTheme="majorHAnsi" w:cs="Calibri" w:cstheme="majorBidi" w:eastAsia="Calibri" w:eastAsiaTheme="majorEastAsia" w:hAnsi="Calibri" w:hAnsiTheme="majorHAnsi"/>
      <w:b/>
      <w:bCs/>
      <w:i w:val="0"/>
      <w:color w:val="0F3D7A"/>
      <w:sz w:val="52"/>
      <w:szCs w:val="36"/>
    </w:rPr>
  </w:style>
  <w:style w:styleId="Subtitle" w:type="paragraph">
    <w:name w:val="Subtitle"/>
    <w:basedOn w:val="Title"/>
    <w:next w:val="BodyText"/>
    <w:qFormat/>
    <w:pPr>
      <w:keepNext/>
      <w:keepLines/>
      <w:spacing w:after="360" w:before="0"/>
      <w:jc w:val="center"/>
    </w:pPr>
    <w:rPr>
      <w:rFonts w:ascii="Calibri" w:cs="Calibri" w:eastAsia="Calibri" w:hAnsi="Calibri"/>
      <w:b w:val="0"/>
      <w:i/>
      <w:color w:val="5F6360"/>
      <w:sz w:val="28"/>
      <w:szCs w:val="30"/>
    </w:rPr>
  </w:style>
  <w:style w:customStyle="1" w:styleId="Author" w:type="paragraph">
    <w:name w:val="Author"/>
    <w:next w:val="BodyText"/>
    <w:qFormat/>
    <w:pPr>
      <w:keepNext/>
      <w:keepLines/>
      <w:jc w:val="center"/>
      <w:spacing w:after="40" w:before="0"/>
    </w:pPr>
    <w:rPr>
      <w:rFonts w:ascii="Calibri" w:cs="Calibri" w:eastAsia="Calibri" w:hAnsi="Calibri"/>
      <w:b w:val="0"/>
      <w:i/>
      <w:color w:val="5F6360"/>
      <w:sz w:val="22"/>
    </w:rPr>
  </w:style>
  <w:style w:styleId="Date" w:type="paragraph">
    <w:name w:val="Date"/>
    <w:next w:val="BodyText"/>
    <w:qFormat/>
    <w:pPr>
      <w:keepNext/>
      <w:keepLines/>
      <w:jc w:val="center"/>
      <w:spacing w:after="360" w:before="0"/>
    </w:pPr>
    <w:rPr>
      <w:rFonts w:ascii="Calibri" w:cs="Calibri" w:eastAsia="Calibri" w:hAnsi="Calibri"/>
      <w:b w:val="0"/>
      <w:i/>
      <w:color w:val="5F6360"/>
      <w:sz w:val="22"/>
    </w:rPr>
  </w:style>
  <w:style w:customStyle="1" w:styleId="Abstract" w:type="paragraph">
    <w:name w:val="Abstract"/>
    <w:basedOn w:val="Normal"/>
    <w:next w:val="BodyText"/>
    <w:qFormat/>
    <w:pPr>
      <w:keepNext/>
      <w:keepLines/>
      <w:spacing w:after="240" w:before="240"/>
    </w:pPr>
    <w:rPr>
      <w:rFonts w:ascii="Calibri" w:cs="Calibri" w:eastAsia="Calibri" w:hAnsi="Calibri"/>
      <w:b w:val="0"/>
      <w:i/>
      <w:color w:val="333333"/>
      <w:sz w:val="22"/>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480"/>
      <w:outlineLvl w:val="0"/>
      <w:pBdr>
        <w:bottom w:color="1D67CD" w:space="4" w:sz="8" w:val="single"/>
      </w:pBdr>
    </w:pPr>
    <w:rPr>
      <w:rFonts w:ascii="Calibri" w:asciiTheme="majorHAnsi" w:cs="Calibri" w:cstheme="majorBidi" w:eastAsia="Calibri" w:eastAsiaTheme="majorEastAsia" w:hAnsi="Calibri" w:hAnsiTheme="majorHAnsi"/>
      <w:b/>
      <w:bCs/>
      <w:i w:val="0"/>
      <w:color w:val="1D67CD"/>
      <w:sz w:val="36"/>
      <w:szCs w:val="32"/>
    </w:rPr>
  </w:style>
  <w:style w:styleId="Heading2" w:type="paragraph">
    <w:name w:val="Heading 2"/>
    <w:basedOn w:val="Normal"/>
    <w:next w:val="BodyText"/>
    <w:uiPriority w:val="9"/>
    <w:unhideWhenUsed/>
    <w:qFormat/>
    <w:pPr>
      <w:keepNext/>
      <w:keepLines/>
      <w:spacing w:after="120" w:before="360"/>
      <w:outlineLvl w:val="1"/>
    </w:pPr>
    <w:rPr>
      <w:rFonts w:ascii="Calibri" w:asciiTheme="majorHAnsi" w:cs="Calibri" w:cstheme="majorBidi" w:eastAsia="Calibri" w:eastAsiaTheme="majorEastAsia" w:hAnsi="Calibri" w:hAnsiTheme="majorHAnsi"/>
      <w:b/>
      <w:bCs/>
      <w:i w:val="0"/>
      <w:color w:val="1D67CD"/>
      <w:sz w:val="28"/>
      <w:szCs w:val="28"/>
    </w:rPr>
  </w:style>
  <w:style w:styleId="Heading3" w:type="paragraph">
    <w:name w:val="Heading 3"/>
    <w:basedOn w:val="Normal"/>
    <w:next w:val="BodyText"/>
    <w:uiPriority w:val="9"/>
    <w:unhideWhenUsed/>
    <w:qFormat/>
    <w:pPr>
      <w:keepNext/>
      <w:keepLines/>
      <w:spacing w:after="80" w:before="240"/>
      <w:outlineLvl w:val="2"/>
    </w:pPr>
    <w:rPr>
      <w:rFonts w:ascii="Calibri" w:asciiTheme="majorHAnsi" w:cs="Calibri" w:cstheme="majorBidi" w:eastAsia="Calibri" w:eastAsiaTheme="majorEastAsia" w:hAnsi="Calibri" w:hAnsiTheme="majorHAnsi"/>
      <w:b/>
      <w:bCs/>
      <w:i w:val="0"/>
      <w:color w:val="0F3D7A"/>
      <w:sz w:val="24"/>
      <w:szCs w:val="24"/>
    </w:rPr>
  </w:style>
  <w:style w:styleId="Heading4" w:type="paragraph">
    <w:name w:val="Heading 4"/>
    <w:basedOn w:val="Normal"/>
    <w:next w:val="BodyText"/>
    <w:uiPriority w:val="9"/>
    <w:unhideWhenUsed/>
    <w:qFormat/>
    <w:pPr>
      <w:keepNext/>
      <w:keepLines/>
      <w:spacing w:after="80" w:before="200"/>
      <w:outlineLvl w:val="3"/>
    </w:pPr>
    <w:rPr>
      <w:rFonts w:ascii="Calibri" w:asciiTheme="majorHAnsi" w:cs="Calibri" w:cstheme="majorBidi" w:eastAsia="Calibri" w:eastAsiaTheme="majorEastAsia" w:hAnsi="Calibri" w:hAnsiTheme="majorHAnsi"/>
      <w:i/>
      <w:b/>
      <w:bCs/>
      <w:color w:val="333333"/>
      <w:sz w:val="22"/>
      <w:szCs w:val="24"/>
    </w:rPr>
  </w:style>
  <w:style w:styleId="Heading5" w:type="paragraph">
    <w:name w:val="Heading 5"/>
    <w:basedOn w:val="Normal"/>
    <w:next w:val="BodyText"/>
    <w:uiPriority w:val="9"/>
    <w:unhideWhenUsed/>
    <w:qFormat/>
    <w:pPr>
      <w:keepNext/>
      <w:keepLines/>
      <w:spacing w:after="60" w:before="160"/>
      <w:outlineLvl w:val="4"/>
    </w:pPr>
    <w:rPr>
      <w:rFonts w:ascii="Calibri" w:asciiTheme="majorHAnsi" w:cs="Calibri" w:cstheme="majorBidi" w:eastAsia="Calibri" w:eastAsiaTheme="majorEastAsia" w:hAnsi="Calibri" w:hAnsiTheme="majorHAnsi"/>
      <w:b/>
      <w:i w:val="0"/>
      <w:iCs/>
      <w:color w:val="333333"/>
      <w:sz w:val="22"/>
      <w:szCs w:val="24"/>
    </w:rPr>
  </w:style>
  <w:style w:styleId="Heading6" w:type="paragraph">
    <w:name w:val="Heading 6"/>
    <w:basedOn w:val="Normal"/>
    <w:next w:val="BodyText"/>
    <w:uiPriority w:val="9"/>
    <w:unhideWhenUsed/>
    <w:qFormat/>
    <w:pPr>
      <w:keepNext/>
      <w:keepLines/>
      <w:spacing w:after="60" w:before="160"/>
      <w:outlineLvl w:val="5"/>
    </w:pPr>
    <w:rPr>
      <w:rFonts w:ascii="Calibri" w:asciiTheme="majorHAnsi" w:cs="Calibri" w:cstheme="majorBidi" w:eastAsia="Calibri" w:eastAsiaTheme="majorEastAsia" w:hAnsi="Calibri" w:hAnsiTheme="majorHAnsi"/>
      <w:b w:val="0"/>
      <w:i/>
      <w:color w:val="5F6360"/>
      <w:sz w:val="22"/>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60"/>
      <w:ind w:firstLine="0" w:left="480" w:right="480"/>
    </w:pPr>
    <w:rPr>
      <w:rFonts w:ascii="Calibri" w:cs="Calibri" w:eastAsia="Calibri" w:hAnsi="Calibri"/>
      <w:b w:val="0"/>
      <w:i/>
      <w:color w:val="5F6360"/>
      <w:sz w:val="22"/>
    </w:rPr>
  </w:style>
  <w:style w:styleId="FootnoteText" w:type="paragraph">
    <w:name w:val="Footnote Text"/>
    <w:basedOn w:val="Normal"/>
    <w:next w:val="FootnoteText"/>
    <w:uiPriority w:val="9"/>
    <w:unhideWhenUsed/>
    <w:qFormat/>
    <w:rPr>
      <w:rFonts w:ascii="Calibri" w:cs="Calibri" w:eastAsia="Calibri" w:hAnsi="Calibri"/>
      <w:b w:val="0"/>
      <w:i w:val="0"/>
      <w:color w:val="333333"/>
      <w:sz w:val="18"/>
    </w:rPr>
    <w:pPr>
      <w:spacing w:after="40" w:before="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FBFBF" w:sz="4" w:val="single"/>
        <w:left w:color="BFBFBF" w:sz="4" w:val="single"/>
        <w:bottom w:color="BFBFBF" w:sz="4" w:val="single"/>
        <w:right w:color="BFBFBF" w:sz="4" w:val="single"/>
        <w:insideH w:color="BFBFBF" w:sz="4" w:val="single"/>
        <w:insideV w:color="BFBFBF"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20"/>
    </w:pPr>
    <w:rPr>
      <w:rFonts w:ascii="Calibri" w:cs="Calibri" w:eastAsia="Calibri" w:hAnsi="Calibri"/>
      <w:b/>
      <w:i w:val="0"/>
      <w:color w:val="0F3D7A"/>
      <w:sz w:val="22"/>
    </w:rPr>
  </w:style>
  <w:style w:customStyle="1" w:styleId="Definition" w:type="paragraph">
    <w:name w:val="Definition"/>
    <w:basedOn w:val="Normal"/>
    <w:rPr>
      <w:rFonts w:ascii="Calibri" w:cs="Calibri" w:eastAsia="Calibri" w:hAnsi="Calibri"/>
      <w:b w:val="0"/>
      <w:i w:val="0"/>
      <w:color w:val="333333"/>
      <w:sz w:val="22"/>
    </w:rPr>
    <w:pPr>
      <w:spacing w:after="120" w:before="0"/>
    </w:pPr>
  </w:style>
  <w:style w:styleId="Caption" w:type="paragraph">
    <w:name w:val="Caption"/>
    <w:basedOn w:val="Normal"/>
    <w:link w:val="BodyTextChar"/>
    <w:pPr>
      <w:spacing w:after="160" w:before="40"/>
    </w:pPr>
    <w:rPr>
      <w:rFonts w:ascii="Calibri" w:cs="Calibri" w:eastAsia="Calibri" w:hAnsi="Calibri"/>
      <w:b w:val="0"/>
      <w:i/>
      <w:color w:val="5F6360"/>
      <w:sz w:val="18"/>
    </w:rPr>
  </w:style>
  <w:style w:customStyle="1" w:styleId="TableCaption" w:type="paragraph">
    <w:name w:val="Table Caption"/>
    <w:basedOn w:val="Caption"/>
    <w:pPr>
      <w:keepNext/>
      <w:spacing w:after="160" w:before="40"/>
    </w:pPr>
    <w:rPr>
      <w:rFonts w:ascii="Calibri" w:cs="Calibri" w:eastAsia="Calibri" w:hAnsi="Calibri"/>
      <w:b w:val="0"/>
      <w:i/>
      <w:color w:val="5F6360"/>
      <w:sz w:val="18"/>
    </w:rPr>
  </w:style>
  <w:style w:customStyle="1" w:styleId="ImageCaption" w:type="paragraph">
    <w:name w:val="Image Caption"/>
    <w:basedOn w:val="Caption"/>
    <w:rPr>
      <w:rFonts w:ascii="Calibri" w:cs="Calibri" w:eastAsia="Calibri" w:hAnsi="Calibri"/>
      <w:b w:val="0"/>
      <w:i/>
      <w:color w:val="5F6360"/>
      <w:sz w:val="18"/>
    </w:rPr>
    <w:pPr>
      <w:spacing w:after="160" w:before="40"/>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0F3D7A"/>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D67C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2026-06-10T22:48:13Z</dcterms:created>
  <dcterms:modified xsi:type="dcterms:W3CDTF">2026-06-10T22:48:13Z</dcterms:modified>
</cp:coreProperties>
</file>

<file path=docProps/custom.xml><?xml version="1.0" encoding="utf-8"?>
<Properties xmlns="http://schemas.openxmlformats.org/officeDocument/2006/custom-properties" xmlns:vt="http://schemas.openxmlformats.org/officeDocument/2006/docPropsVTypes"/>
</file>