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inturón-macro"/>
    <w:p>
      <w:pPr>
        <w:pStyle w:val="Heading1"/>
      </w:pPr>
      <w:r>
        <w:t xml:space="preserve">Cinturón Macro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scripts/macro.py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scripts/itcm.py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output/cache/macro.json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25% (provisional, 5 cinturones)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tecnocrático</w:t>
            </w:r>
          </w:p>
        </w:tc>
      </w:tr>
    </w:tbl>
    <w:bookmarkStart w:id="23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metodológico: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Fórmula Paramétrica para Evaluación del Estado de Tensión — Cinturón de la Macroeconomía</w:t>
      </w:r>
      <w:r>
        <w:rPr>
          <w:bCs/>
          <w:b/>
        </w:rPr>
        <w:t xml:space="preserve">”</w:t>
      </w:r>
      <w:r>
        <w:t xml:space="preserve"> </w:t>
      </w:r>
      <w:r>
        <w:t xml:space="preserve">(Fundación CIGOB, mayo 2026;</w:t>
      </w:r>
      <w:r>
        <w:t xml:space="preserve"> </w:t>
      </w:r>
      <w:r>
        <w:rPr>
          <w:rStyle w:val="VerbatimChar"/>
        </w:rPr>
        <w:t xml:space="preserve">260602 Parametrica Macro.docx</w:t>
      </w:r>
      <w:r>
        <w:t xml:space="preserve">). Reemplazó en junio 2026 al promedio simple de 11 indicadores (encuadre anterior: Dequino,</w:t>
      </w:r>
      <w:r>
        <w:t xml:space="preserve"> </w:t>
      </w:r>
      <w:r>
        <w:rPr>
          <w:iCs/>
          <w:i/>
        </w:rPr>
        <w:t xml:space="preserve">Monitor de Sustentabilidad Macroeconómica</w:t>
      </w:r>
      <w:r>
        <w:t xml:space="preserve">).</w:t>
      </w:r>
    </w:p>
    <w:p>
      <w:pPr>
        <w:pStyle w:val="BodyText"/>
      </w:pPr>
      <w:r>
        <w:t xml:space="preserve">El cinturón se puntúa con el</w:t>
      </w:r>
      <w:r>
        <w:t xml:space="preserve"> </w:t>
      </w:r>
      <w:r>
        <w:rPr>
          <w:bCs/>
          <w:b/>
        </w:rPr>
        <w:t xml:space="preserve">ITCM</w:t>
      </w:r>
      <w:r>
        <w:t xml:space="preserve"> </w:t>
      </w:r>
      <w:r>
        <w:t xml:space="preserve">(Índice de Tensión del Cinturón Macroeconómico), escala 0–100 donde 0 = máxima tensión (cinturón apretado) y 100 = mínima (aflojado). La tensión 0–10 que consume el resto del informe se deriva como</w:t>
      </w:r>
      <w:r>
        <w:t xml:space="preserve"> </w:t>
      </w:r>
      <w:r>
        <w:rPr>
          <w:rStyle w:val="VerbatimChar"/>
        </w:rPr>
        <w:t xml:space="preserve">(100 − ITCM) / 10</w:t>
      </w:r>
      <w:r>
        <w:t xml:space="preserve">, así los umbrales globales no cambian: 0–3 estable, 4–6 en tensión, 7–10 tensionado.</w:t>
      </w:r>
    </w:p>
    <w:bookmarkStart w:id="20" w:name="estructura-del-itcm"/>
    <w:p>
      <w:pPr>
        <w:pStyle w:val="Heading3"/>
      </w:pPr>
      <w:r>
        <w:t xml:space="preserve">Estructura del ITCM</w:t>
      </w:r>
    </w:p>
    <w:p>
      <w:pPr>
        <w:pStyle w:val="SourceCode"/>
      </w:pPr>
      <w:r>
        <w:rPr>
          <w:rStyle w:val="VerbatimChar"/>
        </w:rPr>
        <w:t xml:space="preserve">ITCM = 0,35 × (0,5×P_IPC + 0,5×P_REM)</w:t>
      </w:r>
      <w:r>
        <w:br/>
      </w:r>
      <w:r>
        <w:rPr>
          <w:rStyle w:val="VerbatimChar"/>
        </w:rPr>
        <w:t xml:space="preserve">     + 0,30 × (0,6×P_REC + 0,4×P_COM)</w:t>
      </w:r>
      <w:r>
        <w:br/>
      </w:r>
      <w:r>
        <w:rPr>
          <w:rStyle w:val="VerbatimChar"/>
        </w:rPr>
        <w:t xml:space="preserve">     + 0,20 × (0,5×P_RES + 0,5×P_BADLAR)</w:t>
      </w:r>
      <w:r>
        <w:br/>
      </w:r>
      <w:r>
        <w:rPr>
          <w:rStyle w:val="VerbatimChar"/>
        </w:rPr>
        <w:t xml:space="preserve">     + 0,15 × P_EMAE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p>
            <w:pPr>
              <w:pStyle w:val="Compact"/>
              <w:jc w:val="left"/>
            </w:pPr>
            <w:r>
              <w:t xml:space="preserve">Indicadores (peso interno)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Estabilidad monetaria-inflacionaria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ipc_total</w:t>
            </w:r>
            <w:r>
              <w:t xml:space="preserve"> </w:t>
            </w:r>
            <w:r>
              <w:t xml:space="preserve">(50%) +</w:t>
            </w:r>
            <w:r>
              <w:t xml:space="preserve"> </w:t>
            </w:r>
            <w:r>
              <w:rPr>
                <w:rStyle w:val="VerbatimChar"/>
              </w:rPr>
              <w:t xml:space="preserve">rem_ipc_12m</w:t>
            </w:r>
            <w:r>
              <w:t xml:space="preserve"> </w:t>
            </w:r>
            <w:r>
              <w:t xml:space="preserve">(50%)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Viabilidad fiscal-comercial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recaudacion</w:t>
            </w:r>
            <w:r>
              <w:t xml:space="preserve"> </w:t>
            </w:r>
            <w:r>
              <w:t xml:space="preserve">(60%) +</w:t>
            </w:r>
            <w:r>
              <w:t xml:space="preserve"> </w:t>
            </w:r>
            <w:r>
              <w:rPr>
                <w:rStyle w:val="VerbatimChar"/>
              </w:rPr>
              <w:t xml:space="preserve">saldo_comercial_12m</w:t>
            </w:r>
            <w:r>
              <w:t xml:space="preserve"> </w:t>
            </w:r>
            <w:r>
              <w:t xml:space="preserve">(40%)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Capacidad de financiamiento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reservas_bcra</w:t>
            </w:r>
            <w:r>
              <w:t xml:space="preserve"> </w:t>
            </w:r>
            <w:r>
              <w:t xml:space="preserve">(50%) +</w:t>
            </w:r>
            <w:r>
              <w:t xml:space="preserve"> </w:t>
            </w:r>
            <w:r>
              <w:rPr>
                <w:rStyle w:val="VerbatimChar"/>
              </w:rPr>
              <w:t xml:space="preserve">badlar</w:t>
            </w:r>
            <w:r>
              <w:t xml:space="preserve"> </w:t>
            </w:r>
            <w:r>
              <w:t xml:space="preserve">(50%)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Actividad económica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emae_ia</w:t>
            </w:r>
            <w:r>
              <w:t xml:space="preserve"> </w:t>
            </w:r>
            <w:r>
              <w:t xml:space="preserve">(100%)</w:t>
            </w:r>
          </w:p>
        </w:tc>
      </w:tr>
    </w:tbl>
    <w:p>
      <w:pPr>
        <w:pStyle w:val="BodyText"/>
      </w:pPr>
      <w:r>
        <w:t xml:space="preserve">Cada indicador puntúa 0–100 por</w:t>
      </w:r>
      <w:r>
        <w:t xml:space="preserve"> </w:t>
      </w:r>
      <w:r>
        <w:rPr>
          <w:bCs/>
          <w:b/>
        </w:rPr>
        <w:t xml:space="preserve">tabla de bandas</w:t>
      </w:r>
      <w:r>
        <w:t xml:space="preserve"> </w:t>
      </w:r>
      <w:r>
        <w:t xml:space="preserve">(sección IV del documento; implementadas en</w:t>
      </w:r>
      <w:r>
        <w:t xml:space="preserve"> </w:t>
      </w:r>
      <w:r>
        <w:rPr>
          <w:rStyle w:val="VerbatimChar"/>
        </w:rPr>
        <w:t xml:space="preserve">scripts/itcm.py::BANDAS_ITCM</w:t>
      </w:r>
      <w:r>
        <w:t xml:space="preserve">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Bandas → puntaje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ipc_total</w:t>
            </w:r>
            <w:r>
              <w:t xml:space="preserve"> </w:t>
            </w:r>
            <w:r>
              <w:t xml:space="preserve">(% m/m)</w:t>
            </w:r>
          </w:p>
        </w:tc>
        <w:tc>
          <w:p>
            <w:pPr>
              <w:pStyle w:val="Compact"/>
              <w:jc w:val="left"/>
            </w:pPr>
            <w:r>
              <w:t xml:space="preserve">≤1 → 100 · 1–2 → 85 · 2–3 → 65 · 3–5 → 40 · &gt;5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rem_ipc_12m</w:t>
            </w:r>
            <w:r>
              <w:t xml:space="preserve"> </w:t>
            </w:r>
            <w:r>
              <w:t xml:space="preserve">(% anual)</w:t>
            </w:r>
          </w:p>
        </w:tc>
        <w:tc>
          <w:p>
            <w:pPr>
              <w:pStyle w:val="Compact"/>
              <w:jc w:val="left"/>
            </w:pPr>
            <w:r>
              <w:t xml:space="preserve">≤10 → 100 · 10–15 → 85 · 15–20 → 60 · 20–30 → 35 · &gt;30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recaudacion</w:t>
            </w:r>
            <w:r>
              <w:t xml:space="preserve"> </w:t>
            </w:r>
            <w:r>
              <w:t xml:space="preserve">(% m/m)</w:t>
            </w:r>
          </w:p>
        </w:tc>
        <w:tc>
          <w:p>
            <w:pPr>
              <w:pStyle w:val="Compact"/>
              <w:jc w:val="left"/>
            </w:pPr>
            <w:r>
              <w:t xml:space="preserve">&gt;10 → 100 · 5–10 → 80 · 0–5 → 60 · −5–0 → 40 · &lt;−5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saldo_comercial_12m</w:t>
            </w:r>
            <w:r>
              <w:t xml:space="preserve"> </w:t>
            </w:r>
            <w:r>
              <w:t xml:space="preserve">(M USD)</w:t>
            </w:r>
          </w:p>
        </w:tc>
        <w:tc>
          <w:p>
            <w:pPr>
              <w:pStyle w:val="Compact"/>
              <w:jc w:val="left"/>
            </w:pPr>
            <w:r>
              <w:t xml:space="preserve">&gt;15.000 → 85 · 10–15.000 → 75 · 5–10.000 → 60 · ±5.000 → 50 · −5.000–−15.000 → 30 · &lt;−15.000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reservas_bcra</w:t>
            </w:r>
            <w:r>
              <w:t xml:space="preserve"> </w:t>
            </w:r>
            <w:r>
              <w:t xml:space="preserve">(M USD)</w:t>
            </w:r>
          </w:p>
        </w:tc>
        <w:tc>
          <w:p>
            <w:pPr>
              <w:pStyle w:val="Compact"/>
              <w:jc w:val="left"/>
            </w:pPr>
            <w:r>
              <w:t xml:space="preserve">&gt;60.000 → 100 · 50–60.000 → 85 · 40–50.000 → 70 · 30–40.000 → 50 · 20–30.000 → 30 · &lt;20.000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badlar</w:t>
            </w:r>
            <w:r>
              <w:t xml:space="preserve"> </w:t>
            </w:r>
            <w:r>
              <w:t xml:space="preserve">(% anual)</w:t>
            </w:r>
          </w:p>
        </w:tc>
        <w:tc>
          <w:p>
            <w:pPr>
              <w:pStyle w:val="Compact"/>
              <w:jc w:val="left"/>
            </w:pPr>
            <w:r>
              <w:t xml:space="preserve">&lt;5 → 100 · 5–10 → 80 · 10–15 → 60 · 15–25 → 35 · &gt;25 →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emae_ia</w:t>
            </w:r>
            <w:r>
              <w:t xml:space="preserve"> </w:t>
            </w:r>
            <w:r>
              <w:t xml:space="preserve">(% i.a.)</w:t>
            </w:r>
          </w:p>
        </w:tc>
        <w:tc>
          <w:p>
            <w:pPr>
              <w:pStyle w:val="Compact"/>
              <w:jc w:val="left"/>
            </w:pPr>
            <w:r>
              <w:t xml:space="preserve">&gt;5 → 100 · 3–5 → 80 · 0–3 → 60 · −2–0 → 40 · −5–−2 → 20 · &lt;−5 → 5</w:t>
            </w:r>
          </w:p>
        </w:tc>
      </w:tr>
    </w:tbl>
    <w:p>
      <w:pPr>
        <w:pStyle w:val="BodyText"/>
      </w:pPr>
      <w:r>
        <w:t xml:space="preserve">Convención de bordes (el doc es ambiguo en los límites exactos): cada banda es</w:t>
      </w:r>
      <w:r>
        <w:t xml:space="preserve"> </w:t>
      </w:r>
      <w:r>
        <w:rPr>
          <w:rStyle w:val="VerbatimChar"/>
        </w:rPr>
        <w:t xml:space="preserve">(low, high]</w:t>
      </w:r>
      <w:r>
        <w:t xml:space="preserve"> </w:t>
      </w:r>
      <w:r>
        <w:t xml:space="preserve">— low exclusivo, high inclusivo — pineada por</w:t>
      </w:r>
      <w:r>
        <w:t xml:space="preserve"> </w:t>
      </w:r>
      <w:r>
        <w:rPr>
          <w:rStyle w:val="VerbatimChar"/>
        </w:rPr>
        <w:t xml:space="preserve">tests/test_itcm.py</w:t>
      </w:r>
      <w:r>
        <w:t xml:space="preserve">.</w:t>
      </w:r>
    </w:p>
    <w:p>
      <w:pPr>
        <w:pStyle w:val="BodyText"/>
      </w:pPr>
      <w:r>
        <w:t xml:space="preserve">Interpretación del ITCM: 0–20 severamente apretado · 21–40 apretado · 41–60 moderadamente apretado · 61–80 moderadamente aflojado · 81–100 aflojado.</w:t>
      </w:r>
    </w:p>
    <w:p>
      <w:pPr>
        <w:pStyle w:val="BodyText"/>
      </w:pPr>
      <w:r>
        <w:t xml:space="preserve">Ante indicadores faltantes los pesos se renormalizan (dentro de la dimensión y, si una dimensión queda vacía, entre dimensiones) — consistente con el</w:t>
      </w:r>
      <w:r>
        <w:t xml:space="preserve"> </w:t>
      </w:r>
      <w:r>
        <w:t xml:space="preserve">“</w:t>
      </w:r>
      <w:r>
        <w:t xml:space="preserve">ignorar ausencias</w:t>
      </w:r>
      <w:r>
        <w:t xml:space="preserve">”</w:t>
      </w:r>
      <w:r>
        <w:t xml:space="preserve"> </w:t>
      </w:r>
      <w:r>
        <w:t xml:space="preserve">del resto del informe.</w:t>
      </w:r>
    </w:p>
    <w:bookmarkEnd w:id="20"/>
    <w:bookmarkStart w:id="21" w:name="ajustes-sobre-la-banda"/>
    <w:p>
      <w:pPr>
        <w:pStyle w:val="Heading3"/>
      </w:pPr>
      <w:r>
        <w:t xml:space="preserve">Ajustes sobre la banda</w:t>
      </w:r>
    </w:p>
    <w:p>
      <w:pPr>
        <w:pStyle w:val="FirstParagraph"/>
      </w:pPr>
      <w:r>
        <w:t xml:space="preserve">El documento aplica en su ejemplo tres ajustes discrecionales que las tablas no producen (recaudación 80→75, saldo comercial 85→60</w:t>
      </w:r>
      <w:r>
        <w:t xml:space="preserve"> </w:t>
      </w:r>
      <w:r>
        <w:t xml:space="preserve">“</w:t>
      </w:r>
      <w:r>
        <w:t xml:space="preserve">por contracción</w:t>
      </w:r>
      <w:r>
        <w:t xml:space="preserve">”</w:t>
      </w:r>
      <w:r>
        <w:t xml:space="preserve">, EMAE 100→85). El del saldo comercial está</w:t>
      </w:r>
      <w:r>
        <w:t xml:space="preserve"> </w:t>
      </w:r>
      <w:r>
        <w:rPr>
          <w:bCs/>
          <w:b/>
        </w:rPr>
        <w:t xml:space="preserve">automatizado</w:t>
      </w:r>
      <w:r>
        <w:t xml:space="preserve">; el resto del juicio cualitativo va por override manual.</w:t>
      </w:r>
    </w:p>
    <w:p>
      <w:pPr>
        <w:pStyle w:val="BodyText"/>
      </w:pPr>
      <w:r>
        <w:rPr>
          <w:bCs/>
          <w:b/>
        </w:rPr>
        <w:t xml:space="preserve">Regla automática del saldo comercial</w:t>
      </w:r>
      <w:r>
        <w:t xml:space="preserve"> </w:t>
      </w:r>
      <w:r>
        <w:t xml:space="preserve">(</w:t>
      </w:r>
      <w:r>
        <w:rPr>
          <w:rStyle w:val="VerbatimChar"/>
        </w:rPr>
        <w:t xml:space="preserve">itcm.py::ajuste_automatico_saldo</w:t>
      </w:r>
      <w:r>
        <w:t xml:space="preserve">): el colector calcula el saldo como expo − impo de las series ICA y compara los acumulados 12m contra los 12m previos. Si hay superávit con banda &gt; 60, las importaciones</w:t>
      </w:r>
      <w:r>
        <w:t xml:space="preserve"> </w:t>
      </w:r>
      <w:r>
        <w:rPr>
          <w:bCs/>
          <w:b/>
        </w:rPr>
        <w:t xml:space="preserve">caen</w:t>
      </w:r>
      <w:r>
        <w:t xml:space="preserve">, y esa caída explica más de la mejora del saldo que el aumento de exportaciones (</w:t>
      </w:r>
      <w:r>
        <w:rPr>
          <w:rStyle w:val="VerbatimChar"/>
        </w:rPr>
        <w:t xml:space="preserve">−Δimpo &gt; max(0, Δexpo)</w:t>
      </w:r>
      <w:r>
        <w:t xml:space="preserve">), el puntaje se ajusta a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(el valor del doc), con justificación generada con los números. Si las importaciones crecen —superávit genuino— la regla no opina. Estado jun-2026: NO aplica (expo +14,1% i.a., impo +10,6% i.a.).</w:t>
      </w:r>
    </w:p>
    <w:p>
      <w:pPr>
        <w:pStyle w:val="BodyText"/>
      </w:pPr>
      <w:r>
        <w:rPr>
          <w:bCs/>
          <w:b/>
        </w:rPr>
        <w:t xml:space="preserve">Override manual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data/macro/ajustes_itcm.json</w:t>
      </w:r>
      <w:r>
        <w:t xml:space="preserve"> </w:t>
      </w:r>
      <w:r>
        <w:t xml:space="preserve">(pisa la regla automática), con formato: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"saldo_comercial_12m"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"puntaje"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"Superávit por contracción de importaciones, no por crecimiento exportador"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"vigente_hasta"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 ajuste vencido (</w:t>
      </w:r>
      <w:r>
        <w:rPr>
          <w:rStyle w:val="VerbatimChar"/>
        </w:rPr>
        <w:t xml:space="preserve">vigente_hasta</w:t>
      </w:r>
      <w:r>
        <w:t xml:space="preserve"> </w:t>
      </w:r>
      <w:r>
        <w:t xml:space="preserve">&lt; mes corriente) se ignora automáticamente. El output conserva</w:t>
      </w:r>
      <w:r>
        <w:t xml:space="preserve"> </w:t>
      </w:r>
      <w:r>
        <w:rPr>
          <w:rStyle w:val="VerbatimChar"/>
        </w:rPr>
        <w:t xml:space="preserve">puntaje_banda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puntaje_aplicado</w:t>
      </w:r>
      <w:r>
        <w:t xml:space="preserve">, y la web muestra los ajustes activos con su justificación en la página del cinturón.</w:t>
      </w:r>
    </w:p>
    <w:bookmarkEnd w:id="21"/>
    <w:bookmarkStart w:id="22" w:name="indicadores-de-contexto"/>
    <w:p>
      <w:pPr>
        <w:pStyle w:val="Heading3"/>
      </w:pPr>
      <w:r>
        <w:t xml:space="preserve">Indicadores de contexto</w:t>
      </w:r>
    </w:p>
    <w:p>
      <w:pPr>
        <w:pStyle w:val="FirstParagraph"/>
      </w:pPr>
      <w:r>
        <w:rPr>
          <w:rStyle w:val="VerbatimChar"/>
        </w:rPr>
        <w:t xml:space="preserve">tcrm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prestamos_privados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base_monetaria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tc_mayorista</w:t>
      </w:r>
      <w:r>
        <w:t xml:space="preserve"> </w:t>
      </w:r>
      <w:r>
        <w:t xml:space="preserve">se siguen extrayendo y publicando pero</w:t>
      </w:r>
      <w:r>
        <w:t xml:space="preserve"> </w:t>
      </w:r>
      <w:r>
        <w:rPr>
          <w:bCs/>
          <w:b/>
        </w:rPr>
        <w:t xml:space="preserve">no integran el ITCM</w:t>
      </w:r>
      <w:r>
        <w:t xml:space="preserve"> </w:t>
      </w:r>
      <w:r>
        <w:t xml:space="preserve">(</w:t>
      </w:r>
      <w:r>
        <w:rPr>
          <w:rStyle w:val="VerbatimChar"/>
        </w:rPr>
        <w:t xml:space="preserve">en_indice: false</w:t>
      </w:r>
      <w:r>
        <w:t xml:space="preserve">): la paramétrica no los contempla. Quedan como lectura de contexto.</w:t>
      </w:r>
    </w:p>
    <w:bookmarkEnd w:id="22"/>
    <w:bookmarkEnd w:id="23"/>
    <w:bookmarkStart w:id="24" w:name="indicadores-activos"/>
    <w:p>
      <w:pPr>
        <w:pStyle w:val="Heading2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ipc_total</w:t>
            </w:r>
          </w:p>
        </w:tc>
        <w:tc>
          <w:p>
            <w:pPr>
              <w:pStyle w:val="Compact"/>
              <w:jc w:val="left"/>
            </w:pPr>
            <w:r>
              <w:t xml:space="preserve">Inflación mensual del IPC nacional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reservas_bcra</w:t>
            </w:r>
          </w:p>
        </w:tc>
        <w:tc>
          <w:p>
            <w:pPr>
              <w:pStyle w:val="Compact"/>
              <w:jc w:val="left"/>
            </w:pPr>
            <w:r>
              <w:t xml:space="preserve">Reservas internacionales brutas del BCRA (M USD)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badlar</w:t>
            </w:r>
          </w:p>
        </w:tc>
        <w:tc>
          <w:p>
            <w:pPr>
              <w:pStyle w:val="Compact"/>
              <w:jc w:val="left"/>
            </w:pPr>
            <w:r>
              <w:t xml:space="preserve">Tasa para depósitos bancarios mayoristas (% anual)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emae_ia</w:t>
            </w:r>
          </w:p>
        </w:tc>
        <w:tc>
          <w:p>
            <w:pPr>
              <w:pStyle w:val="Compact"/>
              <w:jc w:val="left"/>
            </w:pPr>
            <w:r>
              <w:t xml:space="preserve">Variación interanual de la actividad económica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saldo_comercial_12m</w:t>
            </w:r>
          </w:p>
        </w:tc>
        <w:tc>
          <w:p>
            <w:pPr>
              <w:pStyle w:val="Compact"/>
              <w:jc w:val="left"/>
            </w:pPr>
            <w:r>
              <w:t xml:space="preserve">Balance exportaciones − importaciones acumulado 12m (M USD)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recaudacion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 la recaudación tributaria total</w:t>
            </w:r>
          </w:p>
        </w:tc>
        <w:tc>
          <w:p>
            <w:pPr>
              <w:pStyle w:val="Compact"/>
              <w:jc w:val="left"/>
            </w:pPr>
            <w:r>
              <w:t xml:space="preserve">INDEC/AFIP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tcrm</w:t>
            </w:r>
          </w:p>
        </w:tc>
        <w:tc>
          <w:p>
            <w:pPr>
              <w:pStyle w:val="Compact"/>
              <w:jc w:val="left"/>
            </w:pPr>
            <w:r>
              <w:t xml:space="preserve">Tipo de cambio real multilateral (base 2010=100)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rem_ipc_12m</w:t>
            </w:r>
          </w:p>
        </w:tc>
        <w:tc>
          <w:p>
            <w:pPr>
              <w:pStyle w:val="Compact"/>
              <w:jc w:val="left"/>
            </w:pPr>
            <w:r>
              <w:t xml:space="preserve">Expectativas de inflación a 12 meses (mediana REM)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prestamos_privados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del crédito bancario al sector privado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base_monetaria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 la base monetaria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tc_mayorista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del tipo de cambio oficial mayorista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</w:tbl>
    <w:p>
      <w:pPr>
        <w:pStyle w:val="BodyText"/>
      </w:pPr>
      <w:r>
        <w:t xml:space="preserve">Score actual del cinturón:</w:t>
      </w:r>
      <w:r>
        <w:t xml:space="preserve"> </w:t>
      </w:r>
      <w:r>
        <w:rPr>
          <w:bCs/>
          <w:b/>
        </w:rPr>
        <w:t xml:space="preserve">2.9 (estable)</w:t>
      </w:r>
      <w:r>
        <w:t xml:space="preserve"> </w:t>
      </w:r>
      <w:r>
        <w:t xml:space="preserve">— ITCM</w:t>
      </w:r>
      <w:r>
        <w:t xml:space="preserve"> </w:t>
      </w:r>
      <w:r>
        <w:rPr>
          <w:bCs/>
          <w:b/>
        </w:rPr>
        <w:t xml:space="preserve">71.2 (moderadamente aflojado)</w:t>
      </w:r>
      <w:r>
        <w:t xml:space="preserve">. Última ejecución: 10 de junio de 2026, 11 de 11 indicadores frescos.</w:t>
      </w:r>
    </w:p>
    <w:bookmarkEnd w:id="24"/>
    <w:bookmarkStart w:id="36" w:name="detalle-por-indicador"/>
    <w:p>
      <w:pPr>
        <w:pStyle w:val="Heading2"/>
      </w:pPr>
      <w:r>
        <w:t xml:space="preserve">Detalle por indicador</w:t>
      </w:r>
    </w:p>
    <w:bookmarkStart w:id="25" w:name="ipc_total-inflación-mensual"/>
    <w:p>
      <w:pPr>
        <w:pStyle w:val="Heading3"/>
      </w:pPr>
      <w:r>
        <w:rPr>
          <w:rStyle w:val="VerbatimChar"/>
        </w:rPr>
        <w:t xml:space="preserve">ipc_total</w:t>
      </w:r>
      <w:r>
        <w:t xml:space="preserve"> </w:t>
      </w:r>
      <w:r>
        <w:t xml:space="preserve">— Inflación mensual</w:t>
      </w:r>
    </w:p>
    <w:p>
      <w:pPr>
        <w:numPr>
          <w:ilvl w:val="0"/>
          <w:numId w:val="1001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https://apis.datos.gob.ar/series/api/series/?ids=148.3_INIVELNAL_DICI_M_26&amp;format=json&amp;limit=2&amp;sort=desc</w:t>
      </w:r>
    </w:p>
    <w:p>
      <w:pPr>
        <w:numPr>
          <w:ilvl w:val="0"/>
          <w:numId w:val="1001"/>
        </w:numPr>
        <w:pStyle w:val="Compact"/>
      </w:pPr>
      <w:r>
        <w:t xml:space="preserve">Cálculo: variación porcentual mensual =</w:t>
      </w:r>
      <w:r>
        <w:t xml:space="preserve"> </w:t>
      </w:r>
      <w:r>
        <w:rPr>
          <w:rStyle w:val="VerbatimChar"/>
        </w:rPr>
        <w:t xml:space="preserve">(actual / anterior − 1) × 100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Puntaje ITCM: por bandas (≤1 → 100 · 1–2 → 85 · 2–3 → 65 · 3–5 → 40 · &gt;5 → 10). Pesa 50% de la dimensión estabilidad monetaria (17,5% del índice).</w:t>
      </w:r>
    </w:p>
    <w:p>
      <w:pPr>
        <w:numPr>
          <w:ilvl w:val="0"/>
          <w:numId w:val="1001"/>
        </w:numPr>
        <w:pStyle w:val="Compact"/>
      </w:pPr>
      <w:r>
        <w:t xml:space="preserve">Último valor: 3.38% (marzo 2026).</w:t>
      </w:r>
    </w:p>
    <w:bookmarkEnd w:id="25"/>
    <w:bookmarkStart w:id="26" w:name="X4b657f4b1c72abc35e675d7ccf84d60e70cd617"/>
    <w:p>
      <w:pPr>
        <w:pStyle w:val="Heading3"/>
      </w:pPr>
      <w:r>
        <w:rPr>
          <w:rStyle w:val="VerbatimChar"/>
        </w:rPr>
        <w:t xml:space="preserve">reservas_bcra</w:t>
      </w:r>
      <w:r>
        <w:t xml:space="preserve"> </w:t>
      </w:r>
      <w:r>
        <w:t xml:space="preserve">— Reservas internacionales brutas</w:t>
      </w:r>
    </w:p>
    <w:p>
      <w:pPr>
        <w:numPr>
          <w:ilvl w:val="0"/>
          <w:numId w:val="1002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https://api.bcra.gob.ar/estadisticas/v4.0/Monetarias/1</w:t>
      </w:r>
    </w:p>
    <w:p>
      <w:pPr>
        <w:numPr>
          <w:ilvl w:val="0"/>
          <w:numId w:val="1002"/>
        </w:numPr>
        <w:pStyle w:val="Compact"/>
      </w:pPr>
      <w:r>
        <w:t xml:space="preserve">Cálculo: último valor disponible en millones USD. La API devuelve datos en orden descendente;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el dato más reciente.</w:t>
      </w:r>
    </w:p>
    <w:p>
      <w:pPr>
        <w:numPr>
          <w:ilvl w:val="0"/>
          <w:numId w:val="1002"/>
        </w:numPr>
        <w:pStyle w:val="Compact"/>
      </w:pPr>
      <w:r>
        <w:t xml:space="preserve">Puntaje ITCM: por bandas (&gt;60.000 → 100 · 50–60k → 85 · 40–50k → 70 · 30–40k → 50 · 20–30k → 30 · &lt;20k → 10). Pesa 50% de la dimensión financiamiento (10% del índice).</w:t>
      </w:r>
    </w:p>
    <w:p>
      <w:pPr>
        <w:numPr>
          <w:ilvl w:val="0"/>
          <w:numId w:val="1002"/>
        </w:numPr>
        <w:pStyle w:val="Compact"/>
      </w:pPr>
      <w:r>
        <w:t xml:space="preserve">Último valor: 46.585 millones USD (mayo 2026).</w:t>
      </w:r>
    </w:p>
    <w:bookmarkEnd w:id="26"/>
    <w:bookmarkStart w:id="27" w:name="badlar-tasa-badlar-bancos-privados"/>
    <w:p>
      <w:pPr>
        <w:pStyle w:val="Heading3"/>
      </w:pPr>
      <w:r>
        <w:rPr>
          <w:rStyle w:val="VerbatimChar"/>
        </w:rPr>
        <w:t xml:space="preserve">badlar</w:t>
      </w:r>
      <w:r>
        <w:t xml:space="preserve"> </w:t>
      </w:r>
      <w:r>
        <w:t xml:space="preserve">— Tasa BADLAR bancos privados</w:t>
      </w:r>
    </w:p>
    <w:p>
      <w:pPr>
        <w:numPr>
          <w:ilvl w:val="0"/>
          <w:numId w:val="1003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https://api.bcra.gob.ar/estadisticas/v4.0/Monetarias/7</w:t>
      </w:r>
    </w:p>
    <w:p>
      <w:pPr>
        <w:numPr>
          <w:ilvl w:val="0"/>
          <w:numId w:val="1003"/>
        </w:numPr>
        <w:pStyle w:val="Compact"/>
      </w:pPr>
      <w:r>
        <w:t xml:space="preserve">Cálculo: último valor disponible (porcentaje anual).</w:t>
      </w:r>
    </w:p>
    <w:p>
      <w:pPr>
        <w:numPr>
          <w:ilvl w:val="0"/>
          <w:numId w:val="1003"/>
        </w:numPr>
        <w:pStyle w:val="Compact"/>
      </w:pPr>
      <w:r>
        <w:t xml:space="preserve">Puntaje ITCM: por bandas (&lt;5 → 100 · 5–10 → 80 · 10–15 → 60 · 15–25 → 35 · &gt;25 → 10). Pesa 50% de la dimensión financiamiento (10% del índice).</w:t>
      </w:r>
    </w:p>
    <w:p>
      <w:pPr>
        <w:numPr>
          <w:ilvl w:val="0"/>
          <w:numId w:val="1003"/>
        </w:numPr>
        <w:pStyle w:val="Compact"/>
      </w:pPr>
      <w:r>
        <w:t xml:space="preserve">Último valor: 22.0% (mayo 2026).</w:t>
      </w:r>
    </w:p>
    <w:bookmarkEnd w:id="27"/>
    <w:bookmarkStart w:id="28" w:name="emae_ia-emae-variación-interanual"/>
    <w:p>
      <w:pPr>
        <w:pStyle w:val="Heading3"/>
      </w:pPr>
      <w:r>
        <w:rPr>
          <w:rStyle w:val="VerbatimChar"/>
        </w:rPr>
        <w:t xml:space="preserve">emae_ia</w:t>
      </w:r>
      <w:r>
        <w:t xml:space="preserve"> </w:t>
      </w:r>
      <w:r>
        <w:t xml:space="preserve">— EMAE variación interanual</w:t>
      </w:r>
    </w:p>
    <w:p>
      <w:pPr>
        <w:numPr>
          <w:ilvl w:val="0"/>
          <w:numId w:val="1004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https://apis.datos.gob.ar/series/api/series/?ids=143.3_ICE_SERVIA_2004_A_25&amp;format=json&amp;limit=2&amp;sort=desc</w:t>
      </w:r>
    </w:p>
    <w:p>
      <w:pPr>
        <w:numPr>
          <w:ilvl w:val="0"/>
          <w:numId w:val="1004"/>
        </w:numPr>
        <w:pStyle w:val="Compact"/>
      </w:pPr>
      <w:r>
        <w:t xml:space="preserve">Cálculo: valor directo en decimal multiplicado por 100. Por ejemplo, 0.0188 equivale a 1.88% i.a.</w:t>
      </w:r>
    </w:p>
    <w:p>
      <w:pPr>
        <w:numPr>
          <w:ilvl w:val="0"/>
          <w:numId w:val="1004"/>
        </w:numPr>
        <w:pStyle w:val="Compact"/>
      </w:pPr>
      <w:r>
        <w:t xml:space="preserve">Puntaje ITCM: por bandas (&gt;5 → 100 · 3–5 → 80 · 0–3 → 60 · −2–0 → 40 · −5–−2 → 20 · &lt;−5 → 5). Única variable de la dimensión actividad (15% del índice).</w:t>
      </w:r>
    </w:p>
    <w:p>
      <w:pPr>
        <w:numPr>
          <w:ilvl w:val="0"/>
          <w:numId w:val="1004"/>
        </w:numPr>
        <w:pStyle w:val="Compact"/>
      </w:pPr>
      <w:r>
        <w:t xml:space="preserve">Nota técnica: las series</w:t>
      </w:r>
      <w:r>
        <w:t xml:space="preserve"> </w:t>
      </w:r>
      <w:r>
        <w:rPr>
          <w:rStyle w:val="VerbatimChar"/>
        </w:rPr>
        <w:t xml:space="preserve">143.1_*</w:t>
      </w:r>
      <w:r>
        <w:t xml:space="preserve"> </w:t>
      </w:r>
      <w:r>
        <w:t xml:space="preserve">son anuales,</w:t>
      </w:r>
      <w:r>
        <w:t xml:space="preserve"> </w:t>
      </w:r>
      <w:r>
        <w:rPr>
          <w:rStyle w:val="VerbatimChar"/>
        </w:rPr>
        <w:t xml:space="preserve">143.2_*</w:t>
      </w:r>
      <w:r>
        <w:t xml:space="preserve"> </w:t>
      </w:r>
      <w:r>
        <w:t xml:space="preserve">son trimestrales,</w:t>
      </w:r>
      <w:r>
        <w:t xml:space="preserve"> </w:t>
      </w:r>
      <w:r>
        <w:rPr>
          <w:rStyle w:val="VerbatimChar"/>
        </w:rPr>
        <w:t xml:space="preserve">143.3_*</w:t>
      </w:r>
      <w:r>
        <w:t xml:space="preserve"> </w:t>
      </w:r>
      <w:r>
        <w:t xml:space="preserve">son mensuales.</w:t>
      </w:r>
    </w:p>
    <w:p>
      <w:pPr>
        <w:numPr>
          <w:ilvl w:val="0"/>
          <w:numId w:val="1004"/>
        </w:numPr>
        <w:pStyle w:val="Compact"/>
      </w:pPr>
      <w:r>
        <w:t xml:space="preserve">Último valor: +1.88% i.a. (enero 2026).</w:t>
      </w:r>
    </w:p>
    <w:bookmarkEnd w:id="28"/>
    <w:bookmarkStart w:id="29" w:name="X66f0bd600fe97adb434b615091a9e05c026800b"/>
    <w:p>
      <w:pPr>
        <w:pStyle w:val="Heading3"/>
      </w:pPr>
      <w:r>
        <w:rPr>
          <w:rStyle w:val="VerbatimChar"/>
        </w:rPr>
        <w:t xml:space="preserve">saldo_comercial_12m</w:t>
      </w:r>
      <w:r>
        <w:t xml:space="preserve"> </w:t>
      </w:r>
      <w:r>
        <w:t xml:space="preserve">— Balance comercial acumulado 12 meses</w:t>
      </w:r>
    </w:p>
    <w:p>
      <w:pPr>
        <w:numPr>
          <w:ilvl w:val="0"/>
          <w:numId w:val="1005"/>
        </w:numPr>
        <w:pStyle w:val="Compact"/>
      </w:pPr>
      <w:r>
        <w:t xml:space="preserve">Fuente primaria: series ICA</w:t>
      </w:r>
      <w:r>
        <w:t xml:space="preserve"> </w:t>
      </w:r>
      <w:r>
        <w:rPr>
          <w:rStyle w:val="VerbatimChar"/>
        </w:rPr>
        <w:t xml:space="preserve">74.3_IET_0_M_16</w:t>
      </w:r>
      <w:r>
        <w:t xml:space="preserve"> </w:t>
      </w:r>
      <w:r>
        <w:t xml:space="preserve">(expo totales) y</w:t>
      </w:r>
      <w:r>
        <w:t xml:space="preserve"> </w:t>
      </w:r>
      <w:r>
        <w:rPr>
          <w:rStyle w:val="VerbatimChar"/>
        </w:rPr>
        <w:t xml:space="preserve">74.3_IIT_0_M_25</w:t>
      </w:r>
      <w:r>
        <w:t xml:space="preserve"> </w:t>
      </w:r>
      <w:r>
        <w:t xml:space="preserve">(impo totales),</w:t>
      </w:r>
      <w:r>
        <w:t xml:space="preserve"> </w:t>
      </w:r>
      <w:r>
        <w:rPr>
          <w:rStyle w:val="VerbatimChar"/>
        </w:rPr>
        <w:t xml:space="preserve">limit=26</w:t>
      </w:r>
      <w:r>
        <w:t xml:space="preserve">, alineadas por fecha. Saldo 12m = Σexpo − Σimpo de los últimos 12 meses comunes.</w:t>
      </w:r>
    </w:p>
    <w:p>
      <w:pPr>
        <w:numPr>
          <w:ilvl w:val="0"/>
          <w:numId w:val="1005"/>
        </w:numPr>
        <w:pStyle w:val="Compact"/>
      </w:pPr>
      <w:r>
        <w:t xml:space="preserve">Composición para la regla automática: el indicador expone</w:t>
      </w:r>
      <w:r>
        <w:t xml:space="preserve"> </w:t>
      </w:r>
      <w:r>
        <w:rPr>
          <w:rStyle w:val="VerbatimChar"/>
        </w:rPr>
        <w:t xml:space="preserve">expo_12m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impo_12m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expo_var_ia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impo_var_ia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expo_delta_12m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impo_delta_12m</w:t>
      </w:r>
      <w:r>
        <w:t xml:space="preserve"> </w:t>
      </w:r>
      <w:r>
        <w:t xml:space="preserve">(acumulado 12m vs 12m previos).</w:t>
      </w:r>
    </w:p>
    <w:p>
      <w:pPr>
        <w:numPr>
          <w:ilvl w:val="0"/>
          <w:numId w:val="1005"/>
        </w:numPr>
        <w:pStyle w:val="Compact"/>
      </w:pPr>
      <w:r>
        <w:t xml:space="preserve">Fallback: serie de saldo directa</w:t>
      </w:r>
      <w:r>
        <w:t xml:space="preserve"> </w:t>
      </w:r>
      <w:r>
        <w:rPr>
          <w:rStyle w:val="VerbatimChar"/>
        </w:rPr>
        <w:t xml:space="preserve">164.3_SOTALTAL_0_0_8</w:t>
      </w:r>
      <w:r>
        <w:t xml:space="preserve"> </w:t>
      </w:r>
      <w:r>
        <w:t xml:space="preserve">(≈14 meses de rezago observado en jun-2026; sin composición → la regla automática no opina).</w:t>
      </w:r>
    </w:p>
    <w:p>
      <w:pPr>
        <w:numPr>
          <w:ilvl w:val="0"/>
          <w:numId w:val="1005"/>
        </w:numPr>
        <w:pStyle w:val="Compact"/>
      </w:pPr>
      <w:r>
        <w:t xml:space="preserve">Puntaje ITCM: por bandas (&gt;15.000 → 85 · 10–15k → 75 · 5–10k → 60 · ±5k → 50 · −5/−15k → 30 · &lt;−15k → 10), con la regla automática de ajuste por contracción (ver</w:t>
      </w:r>
      <w:r>
        <w:t xml:space="preserve"> </w:t>
      </w:r>
      <w:r>
        <w:t xml:space="preserve">“</w:t>
      </w:r>
      <w:r>
        <w:t xml:space="preserve">Ajustes sobre la banda</w:t>
      </w:r>
      <w:r>
        <w:t xml:space="preserve">”</w:t>
      </w:r>
      <w:r>
        <w:t xml:space="preserve">). Pesa 40% de la dimensión fiscal-comercial (12% del índice).</w:t>
      </w:r>
    </w:p>
    <w:p>
      <w:pPr>
        <w:numPr>
          <w:ilvl w:val="0"/>
          <w:numId w:val="1005"/>
        </w:numPr>
        <w:pStyle w:val="Compact"/>
      </w:pPr>
      <w:r>
        <w:t xml:space="preserve">Nota: el acumulado 12 meses elimina estacionalidad energética y sojera.</w:t>
      </w:r>
    </w:p>
    <w:p>
      <w:pPr>
        <w:numPr>
          <w:ilvl w:val="0"/>
          <w:numId w:val="1005"/>
        </w:numPr>
        <w:pStyle w:val="Compact"/>
      </w:pPr>
      <w:r>
        <w:t xml:space="preserve">Último valor: +18.322 millones USD (12 meses hasta abril 2026); expo +14,1% i.a., impo +10,6% i.a. → ajuste no aplicado.</w:t>
      </w:r>
    </w:p>
    <w:bookmarkEnd w:id="29"/>
    <w:bookmarkStart w:id="30" w:name="recaudacion-recaudación-tributaria-total"/>
    <w:p>
      <w:pPr>
        <w:pStyle w:val="Heading3"/>
      </w:pPr>
      <w:r>
        <w:rPr>
          <w:rStyle w:val="VerbatimChar"/>
        </w:rPr>
        <w:t xml:space="preserve">recaudacion</w:t>
      </w:r>
      <w:r>
        <w:t xml:space="preserve"> </w:t>
      </w:r>
      <w:r>
        <w:t xml:space="preserve">— Recaudación tributaria total</w:t>
      </w:r>
    </w:p>
    <w:p>
      <w:pPr>
        <w:numPr>
          <w:ilvl w:val="0"/>
          <w:numId w:val="1006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https://apis.datos.gob.ar/series/api/series/?ids=172.3_TL_RECAION_M_0_0_17&amp;format=json&amp;limit=2&amp;sort=desc</w:t>
      </w:r>
    </w:p>
    <w:p>
      <w:pPr>
        <w:numPr>
          <w:ilvl w:val="0"/>
          <w:numId w:val="1006"/>
        </w:numPr>
        <w:pStyle w:val="Compact"/>
      </w:pPr>
      <w:r>
        <w:t xml:space="preserve">Cálculo: variación porcentual mensual nominal.</w:t>
      </w:r>
    </w:p>
    <w:p>
      <w:pPr>
        <w:numPr>
          <w:ilvl w:val="0"/>
          <w:numId w:val="1006"/>
        </w:numPr>
        <w:pStyle w:val="Compact"/>
      </w:pPr>
      <w:r>
        <w:t xml:space="preserve">Puntaje ITCM: por bandas (&gt;10 → 100 · 5–10 → 80 · 0–5 → 60 · −5–0 → 40 · &lt;−5 → 10). Pesa 60% de la dimensión fiscal-comercial (18% del índice).</w:t>
      </w:r>
    </w:p>
    <w:p>
      <w:pPr>
        <w:numPr>
          <w:ilvl w:val="0"/>
          <w:numId w:val="1006"/>
        </w:numPr>
        <w:pStyle w:val="Compact"/>
      </w:pPr>
      <w:r>
        <w:t xml:space="preserve">Nota: tiene ruido estacional (enero presenta grandes vencimientos). Considerar migrar a variación interanual en futura versión.</w:t>
      </w:r>
    </w:p>
    <w:p>
      <w:pPr>
        <w:numPr>
          <w:ilvl w:val="0"/>
          <w:numId w:val="1006"/>
        </w:numPr>
        <w:pStyle w:val="Compact"/>
      </w:pPr>
      <w:r>
        <w:t xml:space="preserve">Último valor: −0.99% var. m (marzo 2026).</w:t>
      </w:r>
    </w:p>
    <w:bookmarkEnd w:id="30"/>
    <w:bookmarkStart w:id="31" w:name="tcrm-tipo-de-cambio-real-multilateral"/>
    <w:p>
      <w:pPr>
        <w:pStyle w:val="Heading3"/>
      </w:pPr>
      <w:r>
        <w:rPr>
          <w:rStyle w:val="VerbatimChar"/>
        </w:rPr>
        <w:t xml:space="preserve">tcrm</w:t>
      </w:r>
      <w:r>
        <w:t xml:space="preserve"> </w:t>
      </w:r>
      <w:r>
        <w:t xml:space="preserve">— Tipo de cambio real multilateral</w:t>
      </w:r>
    </w:p>
    <w:p>
      <w:pPr>
        <w:numPr>
          <w:ilvl w:val="0"/>
          <w:numId w:val="1007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https://apis.datos.gob.ar/series/api/series/?ids=116.3_TCRMA_0_M_36&amp;format=json&amp;limit=2&amp;sort=desc</w:t>
      </w:r>
    </w:p>
    <w:p>
      <w:pPr>
        <w:numPr>
          <w:ilvl w:val="0"/>
          <w:numId w:val="1007"/>
        </w:numPr>
        <w:pStyle w:val="Compact"/>
      </w:pPr>
      <w:r>
        <w:t xml:space="preserve">Cálculo: último valor índice (base 2010=100).</w:t>
      </w:r>
    </w:p>
    <w:p>
      <w:pPr>
        <w:numPr>
          <w:ilvl w:val="0"/>
          <w:numId w:val="1007"/>
        </w:numPr>
        <w:pStyle w:val="Compact"/>
      </w:pPr>
      <w:r>
        <w:t xml:space="preserve">Rol:</w:t>
      </w:r>
      <w:r>
        <w:t xml:space="preserve"> </w:t>
      </w:r>
      <w:r>
        <w:rPr>
          <w:bCs/>
          <w:b/>
        </w:rPr>
        <w:t xml:space="preserve">contexto</w:t>
      </w:r>
      <w:r>
        <w:t xml:space="preserve"> </w:t>
      </w:r>
      <w:r>
        <w:t xml:space="preserve">— no integra el ITCM (</w:t>
      </w:r>
      <w:r>
        <w:rPr>
          <w:rStyle w:val="VerbatimChar"/>
        </w:rPr>
        <w:t xml:space="preserve">en_indice: false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Nota: rezago de 2-3 meses en INDEC.</w:t>
      </w:r>
    </w:p>
    <w:p>
      <w:pPr>
        <w:numPr>
          <w:ilvl w:val="0"/>
          <w:numId w:val="1007"/>
        </w:numPr>
        <w:pStyle w:val="Compact"/>
      </w:pPr>
      <w:r>
        <w:t xml:space="preserve">Último valor: 79.77 (diciembre 2024).</w:t>
      </w:r>
    </w:p>
    <w:bookmarkEnd w:id="31"/>
    <w:bookmarkStart w:id="32" w:name="X1036686267e3a285ecd1c178e4ef2a9529e41bd"/>
    <w:p>
      <w:pPr>
        <w:pStyle w:val="Heading3"/>
      </w:pPr>
      <w:r>
        <w:rPr>
          <w:rStyle w:val="VerbatimChar"/>
        </w:rPr>
        <w:t xml:space="preserve">rem_ipc_12m</w:t>
      </w:r>
      <w:r>
        <w:t xml:space="preserve"> </w:t>
      </w:r>
      <w:r>
        <w:t xml:space="preserve">— Expectativas de inflación a 12 meses</w:t>
      </w:r>
    </w:p>
    <w:p>
      <w:pPr>
        <w:numPr>
          <w:ilvl w:val="0"/>
          <w:numId w:val="1008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https://api.bcra.gob.ar/estadisticas/v4.0/Monetarias/29</w:t>
      </w:r>
    </w:p>
    <w:p>
      <w:pPr>
        <w:numPr>
          <w:ilvl w:val="0"/>
          <w:numId w:val="1008"/>
        </w:numPr>
        <w:pStyle w:val="Compact"/>
      </w:pPr>
      <w:r>
        <w:t xml:space="preserve">Cálculo: mediana de expectativas de variación interanual del IPC a 12 meses (porcentaje anual).</w:t>
      </w:r>
    </w:p>
    <w:p>
      <w:pPr>
        <w:numPr>
          <w:ilvl w:val="0"/>
          <w:numId w:val="1008"/>
        </w:numPr>
        <w:pStyle w:val="Compact"/>
      </w:pPr>
      <w:r>
        <w:t xml:space="preserve">Puntaje ITCM: por bandas (≤10 → 100 · 10–15 → 85 · 15–20 → 60 · 20–30 → 35 · &gt;30 → 10). Pesa 50% de la dimensión estabilidad monetaria (17,5% del índice).</w:t>
      </w:r>
    </w:p>
    <w:p>
      <w:pPr>
        <w:numPr>
          <w:ilvl w:val="0"/>
          <w:numId w:val="1008"/>
        </w:numPr>
        <w:pStyle w:val="Compact"/>
      </w:pPr>
      <w:r>
        <w:t xml:space="preserve">Último valor: 24.2% anual (abril 2026).</w:t>
      </w:r>
    </w:p>
    <w:bookmarkEnd w:id="32"/>
    <w:bookmarkStart w:id="33" w:name="X71113e3e5156ee861a24aaf079d427b4044fbea"/>
    <w:p>
      <w:pPr>
        <w:pStyle w:val="Heading3"/>
      </w:pPr>
      <w:r>
        <w:rPr>
          <w:rStyle w:val="VerbatimChar"/>
        </w:rPr>
        <w:t xml:space="preserve">prestamos_privados</w:t>
      </w:r>
      <w:r>
        <w:t xml:space="preserve"> </w:t>
      </w:r>
      <w:r>
        <w:t xml:space="preserve">— Préstamos sector privado</w:t>
      </w:r>
    </w:p>
    <w:p>
      <w:pPr>
        <w:numPr>
          <w:ilvl w:val="0"/>
          <w:numId w:val="1009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https://api.bcra.gob.ar/estadisticas/v4.0/Monetarias/26?desde=YYYY-MM-DD</w:t>
      </w:r>
    </w:p>
    <w:p>
      <w:pPr>
        <w:numPr>
          <w:ilvl w:val="0"/>
          <w:numId w:val="1009"/>
        </w:numPr>
        <w:pStyle w:val="Compact"/>
      </w:pPr>
      <w:r>
        <w:t xml:space="preserve">Cálculo: variación porcentual mensual nominal (último valor vs. valor de hace 30 días).</w:t>
      </w:r>
    </w:p>
    <w:p>
      <w:pPr>
        <w:numPr>
          <w:ilvl w:val="0"/>
          <w:numId w:val="1009"/>
        </w:numPr>
        <w:pStyle w:val="Compact"/>
      </w:pPr>
      <w:r>
        <w:t xml:space="preserve">Rol:</w:t>
      </w:r>
      <w:r>
        <w:t xml:space="preserve"> </w:t>
      </w:r>
      <w:r>
        <w:rPr>
          <w:bCs/>
          <w:b/>
        </w:rPr>
        <w:t xml:space="preserve">contexto</w:t>
      </w:r>
      <w:r>
        <w:t xml:space="preserve"> </w:t>
      </w:r>
      <w:r>
        <w:t xml:space="preserve">— no integra el ITCM (</w:t>
      </w:r>
      <w:r>
        <w:rPr>
          <w:rStyle w:val="VerbatimChar"/>
        </w:rPr>
        <w:t xml:space="preserve">en_indice: false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Último valor: +2.13% var. m (mayo 2026).</w:t>
      </w:r>
    </w:p>
    <w:bookmarkEnd w:id="33"/>
    <w:bookmarkStart w:id="34" w:name="base_monetaria-base-monetaria"/>
    <w:p>
      <w:pPr>
        <w:pStyle w:val="Heading3"/>
      </w:pPr>
      <w:r>
        <w:rPr>
          <w:rStyle w:val="VerbatimChar"/>
        </w:rPr>
        <w:t xml:space="preserve">base_monetaria</w:t>
      </w:r>
      <w:r>
        <w:t xml:space="preserve"> </w:t>
      </w:r>
      <w:r>
        <w:t xml:space="preserve">— Base monetaria</w:t>
      </w:r>
    </w:p>
    <w:p>
      <w:pPr>
        <w:numPr>
          <w:ilvl w:val="0"/>
          <w:numId w:val="1010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https://api.bcra.gob.ar/estadisticas/v4.0/Monetarias/15?desde=YYYY-MM-DD</w:t>
      </w:r>
    </w:p>
    <w:p>
      <w:pPr>
        <w:numPr>
          <w:ilvl w:val="0"/>
          <w:numId w:val="1010"/>
        </w:numPr>
        <w:pStyle w:val="Compact"/>
      </w:pPr>
      <w:r>
        <w:t xml:space="preserve">Cálculo: variación porcentual mensual nominal.</w:t>
      </w:r>
    </w:p>
    <w:p>
      <w:pPr>
        <w:numPr>
          <w:ilvl w:val="0"/>
          <w:numId w:val="1010"/>
        </w:numPr>
        <w:pStyle w:val="Compact"/>
      </w:pPr>
      <w:r>
        <w:t xml:space="preserve">Rol:</w:t>
      </w:r>
      <w:r>
        <w:t xml:space="preserve"> </w:t>
      </w:r>
      <w:r>
        <w:rPr>
          <w:bCs/>
          <w:b/>
        </w:rPr>
        <w:t xml:space="preserve">contexto</w:t>
      </w:r>
      <w:r>
        <w:t xml:space="preserve"> </w:t>
      </w:r>
      <w:r>
        <w:t xml:space="preserve">— no integra el ITCM (</w:t>
      </w:r>
      <w:r>
        <w:rPr>
          <w:rStyle w:val="VerbatimChar"/>
        </w:rPr>
        <w:t xml:space="preserve">en_indice: false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Último valor: +0.7% var. m (mayo 2026).</w:t>
      </w:r>
    </w:p>
    <w:bookmarkEnd w:id="34"/>
    <w:bookmarkStart w:id="35" w:name="tc_mayorista-tipo-de-cambio-mayorista"/>
    <w:p>
      <w:pPr>
        <w:pStyle w:val="Heading3"/>
      </w:pPr>
      <w:r>
        <w:rPr>
          <w:rStyle w:val="VerbatimChar"/>
        </w:rPr>
        <w:t xml:space="preserve">tc_mayorista</w:t>
      </w:r>
      <w:r>
        <w:t xml:space="preserve"> </w:t>
      </w:r>
      <w:r>
        <w:t xml:space="preserve">— Tipo de cambio mayorista</w:t>
      </w:r>
    </w:p>
    <w:p>
      <w:pPr>
        <w:numPr>
          <w:ilvl w:val="0"/>
          <w:numId w:val="1011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https://api.bcra.gob.ar/estadisticas/v4.0/Monetarias/5?desde=YYYY-MM-DD</w:t>
      </w:r>
    </w:p>
    <w:p>
      <w:pPr>
        <w:numPr>
          <w:ilvl w:val="0"/>
          <w:numId w:val="1011"/>
        </w:numPr>
        <w:pStyle w:val="Compact"/>
      </w:pPr>
      <w:r>
        <w:t xml:space="preserve">Cálculo: variación porcentual mensual.</w:t>
      </w:r>
    </w:p>
    <w:p>
      <w:pPr>
        <w:numPr>
          <w:ilvl w:val="0"/>
          <w:numId w:val="1011"/>
        </w:numPr>
        <w:pStyle w:val="Compact"/>
      </w:pPr>
      <w:r>
        <w:t xml:space="preserve">Rol:</w:t>
      </w:r>
      <w:r>
        <w:t xml:space="preserve"> </w:t>
      </w:r>
      <w:r>
        <w:rPr>
          <w:bCs/>
          <w:b/>
        </w:rPr>
        <w:t xml:space="preserve">contexto</w:t>
      </w:r>
      <w:r>
        <w:t xml:space="preserve"> </w:t>
      </w:r>
      <w:r>
        <w:t xml:space="preserve">— no integra el ITCM (</w:t>
      </w:r>
      <w:r>
        <w:rPr>
          <w:rStyle w:val="VerbatimChar"/>
        </w:rPr>
        <w:t xml:space="preserve">en_indice: false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Último valor: −0.27% var. m (mayo 2026).</w:t>
      </w:r>
    </w:p>
    <w:bookmarkEnd w:id="35"/>
    <w:bookmarkEnd w:id="36"/>
    <w:bookmarkStart w:id="37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scripts/macro.py</w:t>
      </w:r>
    </w:p>
    <w:p>
      <w:pPr>
        <w:pStyle w:val="FirstParagraph"/>
      </w:pPr>
      <w:r>
        <w:t xml:space="preserve">Códigos de salida: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Todos los indicadores frescos (11/11)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 menos uno fresco (algunos fallaron, usó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Ningún indicador fresco (todo desde cache)</w:t>
            </w:r>
          </w:p>
        </w:tc>
      </w:tr>
    </w:tbl>
    <w:bookmarkEnd w:id="37"/>
    <w:bookmarkStart w:id="38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12"/>
        </w:numPr>
        <w:pStyle w:val="Compact"/>
      </w:pPr>
      <w:r>
        <w:t xml:space="preserve">El BCRA 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 </w:t>
      </w:r>
      <w:r>
        <w:t xml:space="preserve">por la configuración SSL del servidor.</w:t>
      </w:r>
    </w:p>
    <w:p>
      <w:pPr>
        <w:numPr>
          <w:ilvl w:val="0"/>
          <w:numId w:val="1012"/>
        </w:numPr>
        <w:pStyle w:val="Compact"/>
      </w:pPr>
      <w:r>
        <w:t xml:space="preserve">Los datos del BCRA vienen en orden descendente: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el dato más reciente; no usar</w:t>
      </w:r>
      <w:r>
        <w:t xml:space="preserve"> </w:t>
      </w:r>
      <w:r>
        <w:rPr>
          <w:rStyle w:val="VerbatimChar"/>
        </w:rPr>
        <w:t xml:space="preserve">detalle[-1]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Para series INDEC, los prefijos indican frecuencia:</w:t>
      </w:r>
      <w:r>
        <w:t xml:space="preserve"> </w:t>
      </w:r>
      <w:r>
        <w:rPr>
          <w:rStyle w:val="VerbatimChar"/>
        </w:rPr>
        <w:t xml:space="preserve">143.3_*</w:t>
      </w:r>
      <w:r>
        <w:t xml:space="preserve"> </w:t>
      </w:r>
      <w:r>
        <w:t xml:space="preserve">mensual,</w:t>
      </w:r>
      <w:r>
        <w:t xml:space="preserve"> </w:t>
      </w:r>
      <w:r>
        <w:rPr>
          <w:rStyle w:val="VerbatimChar"/>
        </w:rPr>
        <w:t xml:space="preserve">143.2_*</w:t>
      </w:r>
      <w:r>
        <w:t xml:space="preserve"> </w:t>
      </w:r>
      <w:r>
        <w:t xml:space="preserve">trimestral,</w:t>
      </w:r>
      <w:r>
        <w:t xml:space="preserve"> </w:t>
      </w:r>
      <w:r>
        <w:rPr>
          <w:rStyle w:val="VerbatimChar"/>
        </w:rPr>
        <w:t xml:space="preserve">143.1_*</w:t>
      </w:r>
      <w:r>
        <w:t xml:space="preserve"> </w:t>
      </w:r>
      <w:r>
        <w:t xml:space="preserve">anual.</w:t>
      </w:r>
    </w:p>
    <w:p>
      <w:pPr>
        <w:numPr>
          <w:ilvl w:val="0"/>
          <w:numId w:val="1012"/>
        </w:numPr>
        <w:pStyle w:val="Compact"/>
      </w:pPr>
      <w:r>
        <w:t xml:space="preserve">Si INDEC reasigna alguna serie, buscar en</w:t>
      </w:r>
      <w:r>
        <w:t xml:space="preserve"> </w:t>
      </w:r>
      <w:r>
        <w:rPr>
          <w:rStyle w:val="VerbatimChar"/>
        </w:rPr>
        <w:t xml:space="preserve">https://apis.datos.gob.ar/series/api/search/?q=&lt;nombre&gt;&amp;limit=5&amp;format=json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Si BCRA migra la versión de la API (v4.0 a v5.0), actualizar</w:t>
      </w:r>
      <w:r>
        <w:t xml:space="preserve"> </w:t>
      </w:r>
      <w:r>
        <w:rPr>
          <w:rStyle w:val="VerbatimChar"/>
        </w:rPr>
        <w:t xml:space="preserve">BCRA_VARIABLES_BASE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macro.py</w:t>
      </w:r>
      <w:r>
        <w:t xml:space="preserve">.</w:t>
      </w:r>
    </w:p>
    <w:bookmarkEnd w:id="38"/>
    <w:bookmarkEnd w:id="39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2026-06-10T22:48:13Z</dcterms:created>
  <dcterms:modified xsi:type="dcterms:W3CDTF">2026-06-10T22:48:13Z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