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inturón-político"/>
    <w:p>
      <w:pPr>
        <w:pStyle w:val="Heading1"/>
      </w:pPr>
      <w:r>
        <w:t xml:space="preserve">Cinturón Político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scripts/politica.py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output/cache/politica.json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Datos de carga manual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data/politica/manuales.json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político — confundir popularidad con poder</w:t>
            </w:r>
          </w:p>
        </w:tc>
      </w:tr>
    </w:tbl>
    <w:bookmarkStart w:id="20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Fuente conceptual: Carlos Matus,</w:t>
      </w:r>
      <w:r>
        <w:t xml:space="preserve"> </w:t>
      </w:r>
      <w:r>
        <w:rPr>
          <w:iCs/>
          <w:i/>
        </w:rPr>
        <w:t xml:space="preserve">Política, Planificación y Gobierno</w:t>
      </w:r>
      <w:r>
        <w:t xml:space="preserve">. Mide el capital político como recurso acumulable en cinco dimensiones independientes: imagen y voto, poder legislativo, alianzas territoriales, cohesión interna del oficialismo, y conflicto social.</w:t>
      </w:r>
    </w:p>
    <w:p>
      <w:pPr>
        <w:pStyle w:val="BodyText"/>
      </w:pPr>
      <w:r>
        <w:rPr>
          <w:bCs/>
          <w:b/>
        </w:rPr>
        <w:t xml:space="preserve">Nota metodológica (mayo 2026):</w:t>
      </w:r>
      <w:r>
        <w:t xml:space="preserve"> </w:t>
      </w:r>
      <w:r>
        <w:t xml:space="preserve">el ICG UTDT fue removido del cinturón. Mide confianza ciudadana en el gobierno —dimensión que corresponde al cinturón vida cotidiana / Votómetro—, no la capacidad de gobernar con actores políticos. Según Luis Babino (reunión 12 de mayo de 2026):</w:t>
      </w:r>
      <w:r>
        <w:t xml:space="preserve"> </w:t>
      </w:r>
      <w:r>
        <w:t xml:space="preserve">“</w:t>
      </w:r>
      <w:r>
        <w:t xml:space="preserve">yo no lo veo</w:t>
      </w:r>
      <w:r>
        <w:t xml:space="preserve">”</w:t>
      </w:r>
      <w:r>
        <w:t xml:space="preserve"> </w:t>
      </w:r>
      <w:r>
        <w:t xml:space="preserve">en este cinturón. Fue reemplazado por</w:t>
      </w:r>
      <w:r>
        <w:t xml:space="preserve"> </w:t>
      </w:r>
      <w:r>
        <w:rPr>
          <w:rStyle w:val="VerbatimChar"/>
        </w:rPr>
        <w:t xml:space="preserve">ratio_dnu</w:t>
      </w:r>
      <w:r>
        <w:t xml:space="preserve">, indicador de debilidad legislativa y exposición judicial.</w:t>
      </w:r>
    </w:p>
    <w:p>
      <w:pPr>
        <w:pStyle w:val="BodyText"/>
      </w:pPr>
      <w:r>
        <w:t xml:space="preserve">Cada indicador produce un score 0–10 donde mayor implica mayor tensión política. El score del cinturón es el promedio de los indicadores disponibles.</w:t>
      </w:r>
    </w:p>
    <w:p>
      <w:pPr>
        <w:pStyle w:val="BodyText"/>
      </w:pPr>
      <w:r>
        <w:t xml:space="preserve">Umbrales: 0–3 estable, 4–6 en tensión, 7–10 tensionado.</w:t>
      </w:r>
    </w:p>
    <w:bookmarkEnd w:id="20"/>
    <w:bookmarkStart w:id="21" w:name="indicadores-activos"/>
    <w:p>
      <w:pPr>
        <w:pStyle w:val="Heading2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votometro_ventaja_lla</w:t>
            </w:r>
          </w:p>
        </w:tc>
        <w:tc>
          <w:p>
            <w:pPr>
              <w:pStyle w:val="Compact"/>
              <w:jc w:val="left"/>
            </w:pPr>
            <w:r>
              <w:t xml:space="preserve">Brecha ponderada LLA − PJ en intención de voto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 (HTML)</w:t>
            </w:r>
          </w:p>
        </w:tc>
        <w:tc>
          <w:p>
            <w:pPr>
              <w:pStyle w:val="Compact"/>
              <w:jc w:val="left"/>
            </w:pPr>
            <w:r>
              <w:t xml:space="preserve">Por encuesta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ratio_dnu</w:t>
            </w:r>
          </w:p>
        </w:tc>
        <w:tc>
          <w:p>
            <w:pPr>
              <w:pStyle w:val="Compact"/>
              <w:jc w:val="left"/>
            </w:pPr>
            <w:r>
              <w:t xml:space="preserve">DNUs / leyes sancionadas, año corriente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movilizacion_cepa</w:t>
            </w:r>
          </w:p>
        </w:tc>
        <w:tc>
          <w:p>
            <w:pPr>
              <w:pStyle w:val="Compact"/>
              <w:jc w:val="left"/>
            </w:pPr>
            <w:r>
              <w:t xml:space="preserve">Conflictividad social: conflictos laborales y protesta</w:t>
            </w:r>
          </w:p>
        </w:tc>
        <w:tc>
          <w:p>
            <w:pPr>
              <w:pStyle w:val="Compact"/>
              <w:jc w:val="left"/>
            </w:pPr>
            <w:r>
              <w:t xml:space="preserve">centrocepa.com.ar (scraping)</w:t>
            </w:r>
          </w:p>
        </w:tc>
        <w:tc>
          <w:p>
            <w:pPr>
              <w:pStyle w:val="Compact"/>
              <w:jc w:val="left"/>
            </w:pPr>
            <w:r>
              <w:t xml:space="preserve">Por informe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iaf_transferencias</w:t>
            </w:r>
          </w:p>
        </w:tc>
        <w:tc>
          <w:p>
            <w:pPr>
              <w:pStyle w:val="Compact"/>
              <w:jc w:val="left"/>
            </w:pPr>
            <w:r>
              <w:t xml:space="preserve">Variación real interanual de transferencias federales (RON)</w:t>
            </w:r>
          </w:p>
        </w:tc>
        <w:tc>
          <w:p>
            <w:pPr>
              <w:pStyle w:val="Compact"/>
              <w:jc w:val="left"/>
            </w:pPr>
            <w:r>
              <w:t xml:space="preserve">Hacienda, CSV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eficacia_legislativa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proyectos PE aprobados, ventana 12 meses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veto_quorum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sesiones frustradas por falta de quórum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comisiones_caidas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proyectos con dictamen OD que no llegan al recinto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cohesion_bloque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cohesión del bloque LLA en Diputados</w:t>
            </w:r>
          </w:p>
        </w:tc>
        <w:tc>
          <w:p>
            <w:pPr>
              <w:pStyle w:val="Compact"/>
              <w:jc w:val="left"/>
            </w:pPr>
            <w:r>
              <w:t xml:space="preserve">Carga manual (placeholder 78%)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gobernadores_alineamiento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gobernadores alineados con política nacional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 (placeholder 55%)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</w:tr>
    </w:tbl>
    <w:p>
      <w:pPr>
        <w:pStyle w:val="BodyText"/>
      </w:pPr>
      <w:r>
        <w:t xml:space="preserve">Score actual del cinturón:</w:t>
      </w:r>
      <w:r>
        <w:t xml:space="preserve"> </w:t>
      </w:r>
      <w:r>
        <w:rPr>
          <w:bCs/>
          <w:b/>
        </w:rPr>
        <w:t xml:space="preserve">4.7 (en tensión)</w:t>
      </w:r>
      <w:r>
        <w:t xml:space="preserve">. Última ejecución: 23 de mayo de 2026, 8 de 9 indicadores frescos (CEPA falló por 404 en la URL del último informe, usó cache).</w:t>
      </w:r>
    </w:p>
    <w:bookmarkEnd w:id="21"/>
    <w:bookmarkStart w:id="31" w:name="detalle-por-indicador"/>
    <w:p>
      <w:pPr>
        <w:pStyle w:val="Heading2"/>
      </w:pPr>
      <w:r>
        <w:t xml:space="preserve">Detalle por indicador</w:t>
      </w:r>
    </w:p>
    <w:bookmarkStart w:id="22" w:name="Xa4b3c206e82263489886b549be38d44475fb6f0"/>
    <w:p>
      <w:pPr>
        <w:pStyle w:val="Heading3"/>
      </w:pPr>
      <w:r>
        <w:rPr>
          <w:rStyle w:val="VerbatimChar"/>
        </w:rPr>
        <w:t xml:space="preserve">votometro_ventaja_lla</w:t>
      </w:r>
      <w:r>
        <w:t xml:space="preserve"> </w:t>
      </w:r>
      <w:r>
        <w:t xml:space="preserve">— Brecha electoral LLA − PJ</w:t>
      </w:r>
    </w:p>
    <w:p>
      <w:pPr>
        <w:numPr>
          <w:ilvl w:val="0"/>
          <w:numId w:val="1001"/>
        </w:numPr>
        <w:pStyle w:val="Compact"/>
      </w:pPr>
      <w:r>
        <w:t xml:space="preserve">Qué mide: diferencia ponderada en puntos porcentuales entre LLA y PJ en intención de voto. Sintetiza las encuestas espacio más recientes con decaimiento temporal y ponderación por calidad de consultora. Corresponde a la dimensión imagen/voto del marco Matus.</w:t>
      </w:r>
    </w:p>
    <w:p>
      <w:pPr>
        <w:numPr>
          <w:ilvl w:val="0"/>
          <w:numId w:val="1001"/>
        </w:numPr>
        <w:pStyle w:val="Compact"/>
      </w:pPr>
      <w:r>
        <w:t xml:space="preserve">Fuente: parsing del array</w:t>
      </w:r>
      <w:r>
        <w:t xml:space="preserve"> </w:t>
      </w:r>
      <w:r>
        <w:rPr>
          <w:rStyle w:val="VerbatimChar"/>
        </w:rPr>
        <w:t xml:space="preserve">encuestasRaw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projects/votometro/web/votometro.html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Filtros: solo entradas con</w:t>
      </w:r>
      <w:r>
        <w:t xml:space="preserve"> </w:t>
      </w:r>
      <w:r>
        <w:rPr>
          <w:rStyle w:val="VerbatimChar"/>
        </w:rPr>
        <w:t xml:space="preserve">tipo='espacio'</w:t>
      </w:r>
      <w:r>
        <w:t xml:space="preserve">; ventana de los últimos 60 días desde la encuesta más reciente.</w:t>
      </w:r>
    </w:p>
    <w:p>
      <w:pPr>
        <w:numPr>
          <w:ilvl w:val="0"/>
          <w:numId w:val="1001"/>
        </w:numPr>
        <w:pStyle w:val="Compact"/>
      </w:pPr>
      <w:r>
        <w:t xml:space="preserve">Ponderación:</w:t>
      </w:r>
      <w:r>
        <w:t xml:space="preserve"> </w:t>
      </w:r>
      <w:r>
        <w:rPr>
          <w:rStyle w:val="VerbatimChar"/>
        </w:rPr>
        <w:t xml:space="preserve">exp(−0.015 × días) × calidad_mult</w:t>
      </w:r>
      <w:r>
        <w:t xml:space="preserve"> </w:t>
      </w:r>
      <w:r>
        <w:t xml:space="preserve">donde A=3, B=2, C=1.</w:t>
      </w:r>
    </w:p>
    <w:p>
      <w:pPr>
        <w:numPr>
          <w:ilvl w:val="0"/>
          <w:numId w:val="1001"/>
        </w:numPr>
        <w:pStyle w:val="Compact"/>
      </w:pPr>
      <w:r>
        <w:t xml:space="preserve">Cálculo:</w:t>
      </w:r>
      <w:r>
        <w:t xml:space="preserve"> </w:t>
      </w:r>
      <w:r>
        <w:rPr>
          <w:rStyle w:val="VerbatimChar"/>
        </w:rPr>
        <w:t xml:space="preserve">gap = LLA_ponderado − PJ_ponderado</w:t>
      </w:r>
      <w:r>
        <w:t xml:space="preserve"> </w:t>
      </w:r>
      <w:r>
        <w:t xml:space="preserve">en puntos porcentuales.</w:t>
      </w:r>
    </w:p>
    <w:p>
      <w:pPr>
        <w:numPr>
          <w:ilvl w:val="0"/>
          <w:numId w:val="1001"/>
        </w:numPr>
        <w:pStyle w:val="Compact"/>
      </w:pPr>
      <w:r>
        <w:t xml:space="preserve">Score: +15 pp equivale a 0; 0 equivale a 5; −15 pp equivale a 10.</w:t>
      </w:r>
    </w:p>
    <w:p>
      <w:pPr>
        <w:numPr>
          <w:ilvl w:val="0"/>
          <w:numId w:val="1001"/>
        </w:numPr>
        <w:pStyle w:val="Compact"/>
      </w:pPr>
      <w:r>
        <w:t xml:space="preserve">Último valor: +13.3 pp (LLA 41.8 / PJ 28.5), n=11 encuestas (marzo 2026).</w:t>
      </w:r>
    </w:p>
    <w:bookmarkEnd w:id="22"/>
    <w:bookmarkStart w:id="23" w:name="ratio_dnu-ratio-dnu-leyes-sancionadas"/>
    <w:p>
      <w:pPr>
        <w:pStyle w:val="Heading3"/>
      </w:pPr>
      <w:r>
        <w:rPr>
          <w:rStyle w:val="VerbatimChar"/>
        </w:rPr>
        <w:t xml:space="preserve">ratio_dnu</w:t>
      </w:r>
      <w:r>
        <w:t xml:space="preserve"> </w:t>
      </w:r>
      <w:r>
        <w:t xml:space="preserve">— Ratio DNU / leyes sancionadas</w:t>
      </w:r>
    </w:p>
    <w:p>
      <w:pPr>
        <w:numPr>
          <w:ilvl w:val="0"/>
          <w:numId w:val="1002"/>
        </w:numPr>
        <w:pStyle w:val="Compact"/>
      </w:pPr>
      <w:r>
        <w:t xml:space="preserve">Qué mide: proporción de DNUs emitidos respecto a leyes sancionadas por el Congreso en el año corriente. Mayor ratio implica mayor dependencia del decreto, debilidad legislativa y exposición a judicialización. Captura la dimensión poder legislativo y legitimidad normativa (Babino, Agregados de Poder).</w:t>
      </w:r>
    </w:p>
    <w:p>
      <w:pPr>
        <w:numPr>
          <w:ilvl w:val="0"/>
          <w:numId w:val="1002"/>
        </w:numPr>
        <w:pStyle w:val="Compact"/>
      </w:pPr>
      <w:r>
        <w:t xml:space="preserve">Fuente: InfoLeg, búsqueda mediante sesión POST.</w:t>
      </w:r>
    </w:p>
    <w:p>
      <w:pPr>
        <w:numPr>
          <w:ilvl w:val="0"/>
          <w:numId w:val="1002"/>
        </w:numPr>
        <w:pStyle w:val="Compact"/>
      </w:pPr>
      <w:r>
        <w:t xml:space="preserve">Cálculo:</w:t>
      </w:r>
      <w:r>
        <w:t xml:space="preserve"> </w:t>
      </w:r>
      <w:r>
        <w:rPr>
          <w:rStyle w:val="VerbatimChar"/>
        </w:rPr>
        <w:t xml:space="preserve">ratio = count(DNUs enero–hoy) / count(leyes sancionadas enero–hoy)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Score: 0 equivale a 0; 1.0 equivale a 5; 2.0+ equivale a 10. Fórmula:</w:t>
      </w:r>
      <w:r>
        <w:t xml:space="preserve"> </w:t>
      </w:r>
      <w:r>
        <w:rPr>
          <w:rStyle w:val="VerbatimChar"/>
        </w:rPr>
        <w:t xml:space="preserve">ratio × 5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Referencia histórica: año normal 0.3–0.5; gobierno DNU-intensivo 1.0–2.0+.</w:t>
      </w:r>
    </w:p>
    <w:p>
      <w:pPr>
        <w:numPr>
          <w:ilvl w:val="0"/>
          <w:numId w:val="1002"/>
        </w:numPr>
        <w:pStyle w:val="Compact"/>
      </w:pPr>
      <w:r>
        <w:t xml:space="preserve">Último valor: 3.14 (22 DNUs / 7 leyes período 144).</w:t>
      </w:r>
    </w:p>
    <w:bookmarkEnd w:id="23"/>
    <w:bookmarkStart w:id="24" w:name="movilizacion_cepa-conflictividad-social"/>
    <w:p>
      <w:pPr>
        <w:pStyle w:val="Heading3"/>
      </w:pPr>
      <w:r>
        <w:rPr>
          <w:rStyle w:val="VerbatimChar"/>
        </w:rPr>
        <w:t xml:space="preserve">movilizacion_cepa</w:t>
      </w:r>
      <w:r>
        <w:t xml:space="preserve"> </w:t>
      </w:r>
      <w:r>
        <w:t xml:space="preserve">— Conflictividad social</w:t>
      </w:r>
    </w:p>
    <w:p>
      <w:pPr>
        <w:numPr>
          <w:ilvl w:val="0"/>
          <w:numId w:val="1003"/>
        </w:numPr>
        <w:pStyle w:val="Compact"/>
      </w:pPr>
      <w:r>
        <w:t xml:space="preserve">Qué mide: intensidad de la protesta social: huelgas, cortes, conflictos laborales y movilizaciones. Corresponde a la dimensión conflicto social del marco Matus.</w:t>
      </w:r>
    </w:p>
    <w:p>
      <w:pPr>
        <w:numPr>
          <w:ilvl w:val="0"/>
          <w:numId w:val="1003"/>
        </w:numPr>
        <w:pStyle w:val="Compact"/>
      </w:pPr>
      <w:r>
        <w:t xml:space="preserve">Fuente: scraping de</w:t>
      </w:r>
      <w:r>
        <w:t xml:space="preserve"> </w:t>
      </w:r>
      <w:r>
        <w:rPr>
          <w:rStyle w:val="VerbatimChar"/>
        </w:rPr>
        <w:t xml:space="preserve">centrocepa.com.ar/informes</w:t>
      </w:r>
      <w:r>
        <w:t xml:space="preserve">. Identifica el último informe con</w:t>
      </w:r>
      <w:r>
        <w:t xml:space="preserve"> </w:t>
      </w:r>
      <w:r>
        <w:t xml:space="preserve">“</w:t>
      </w:r>
      <w:r>
        <w:t xml:space="preserve">conflictividad</w:t>
      </w:r>
      <w:r>
        <w:t xml:space="preserve">”</w:t>
      </w:r>
      <w:r>
        <w:t xml:space="preserve"> </w:t>
      </w:r>
      <w:r>
        <w:t xml:space="preserve">en URL y extrae la cifra de conflictos del texto.</w:t>
      </w:r>
    </w:p>
    <w:p>
      <w:pPr>
        <w:numPr>
          <w:ilvl w:val="0"/>
          <w:numId w:val="1003"/>
        </w:numPr>
        <w:pStyle w:val="Compact"/>
      </w:pPr>
      <w:r>
        <w:t xml:space="preserve">Cálculo: extrae</w:t>
      </w:r>
      <w:r>
        <w:t xml:space="preserve"> </w:t>
      </w:r>
      <w:r>
        <w:t xml:space="preserve">“</w:t>
      </w:r>
      <w:r>
        <w:t xml:space="preserve">X casos por mes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al menos N conflictos</w:t>
      </w:r>
      <w:r>
        <w:t xml:space="preserve">”</w:t>
      </w:r>
      <w:r>
        <w:t xml:space="preserve"> </w:t>
      </w:r>
      <w:r>
        <w:t xml:space="preserve">y normaliza a escala 0–100 (80 casos por mes equivale a 100, o 200 conflictos acumulados equivale a 100).</w:t>
      </w:r>
    </w:p>
    <w:p>
      <w:pPr>
        <w:numPr>
          <w:ilvl w:val="0"/>
          <w:numId w:val="1003"/>
        </w:numPr>
        <w:pStyle w:val="Compact"/>
      </w:pPr>
      <w:r>
        <w:t xml:space="preserve">Score: 0 equivale a 0; 50 equivale a 5; 100 equivale a 10.</w:t>
      </w:r>
    </w:p>
    <w:p>
      <w:pPr>
        <w:numPr>
          <w:ilvl w:val="0"/>
          <w:numId w:val="1003"/>
        </w:numPr>
        <w:pStyle w:val="Compact"/>
      </w:pPr>
      <w:r>
        <w:t xml:space="preserve">Último valor: 46.0 (92 conflictos laborales en lo que va de 2026 — informe CEPA mayo 2026, en cache por 404 actual).</w:t>
      </w:r>
    </w:p>
    <w:bookmarkEnd w:id="24"/>
    <w:bookmarkStart w:id="25" w:name="Xe590ac528f62e08e2e5a135b3be8afa48b62c69"/>
    <w:p>
      <w:pPr>
        <w:pStyle w:val="Heading3"/>
      </w:pPr>
      <w:r>
        <w:rPr>
          <w:rStyle w:val="VerbatimChar"/>
        </w:rPr>
        <w:t xml:space="preserve">iaf_transferencias</w:t>
      </w:r>
      <w:r>
        <w:t xml:space="preserve"> </w:t>
      </w:r>
      <w:r>
        <w:t xml:space="preserve">— Variación real de transferencias federales</w:t>
      </w:r>
    </w:p>
    <w:p>
      <w:pPr>
        <w:numPr>
          <w:ilvl w:val="0"/>
          <w:numId w:val="1004"/>
        </w:numPr>
        <w:pStyle w:val="Compact"/>
      </w:pPr>
      <w:r>
        <w:t xml:space="preserve">Qué mide: variación real interanual de las transferencias federales totales al sistema provincial (Régimen de Coparticipación + otros regímenes). Captura la dimensión fiscal del Índice de Armonía Federal (IAF) de Babino: el cumplimiento del flujo de recursos a provincias. Mayor caída real implica mayor tensión fiscal federal y mayor presión sobre gobernadores.</w:t>
      </w:r>
    </w:p>
    <w:p>
      <w:pPr>
        <w:numPr>
          <w:ilvl w:val="0"/>
          <w:numId w:val="1004"/>
        </w:numPr>
        <w:pStyle w:val="Compact"/>
      </w:pPr>
      <w:r>
        <w:t xml:space="preserve">Fuente: CSV anual de la Serie RON (Recaudación por Origen y Naturaleza), Ministerio de Hacienda —</w:t>
      </w:r>
      <w:r>
        <w:t xml:space="preserve"> </w:t>
      </w:r>
      <w:r>
        <w:rPr>
          <w:rStyle w:val="VerbatimChar"/>
        </w:rPr>
        <w:t xml:space="preserve">serie_ron_2003_2025.csv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Cálculo: suma de columna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para año de referencia versus año anterior, deflactada por IPC interanual diciembre INDEC.</w:t>
      </w:r>
    </w:p>
    <w:p>
      <w:pPr>
        <w:numPr>
          <w:ilvl w:val="0"/>
          <w:numId w:val="1004"/>
        </w:numPr>
        <w:pStyle w:val="Compact"/>
      </w:pPr>
      <w:r>
        <w:t xml:space="preserve">Score: +10% equivale a 0; 0% equivale a 2.5; −10% equivale a 5; −30%+ equivale a 10. Fórmula:</w:t>
      </w:r>
      <w:r>
        <w:t xml:space="preserve"> </w:t>
      </w:r>
      <w:r>
        <w:rPr>
          <w:rStyle w:val="VerbatimChar"/>
        </w:rPr>
        <w:t xml:space="preserve">(0.10 − var_real) × 25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Frecuencia: dato anual, válido durante todo el año (stale: 365 días).</w:t>
      </w:r>
    </w:p>
    <w:p>
      <w:pPr>
        <w:numPr>
          <w:ilvl w:val="0"/>
          <w:numId w:val="1004"/>
        </w:numPr>
        <w:pStyle w:val="Compact"/>
      </w:pPr>
      <w:r>
        <w:t xml:space="preserve">Configuración IPC: 2024 = 117.06%, 2025 = 38.3%. Actualizar</w:t>
      </w:r>
      <w:r>
        <w:t xml:space="preserve"> </w:t>
      </w:r>
      <w:r>
        <w:rPr>
          <w:rStyle w:val="VerbatimChar"/>
        </w:rPr>
        <w:t xml:space="preserve">IPC_ANUAL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cada enero.</w:t>
      </w:r>
    </w:p>
    <w:p>
      <w:pPr>
        <w:numPr>
          <w:ilvl w:val="0"/>
          <w:numId w:val="1004"/>
        </w:numPr>
        <w:pStyle w:val="Compact"/>
      </w:pPr>
      <w:r>
        <w:t xml:space="preserve">Último valor: +1.8% real i.a.</w:t>
      </w:r>
    </w:p>
    <w:bookmarkEnd w:id="25"/>
    <w:bookmarkStart w:id="26" w:name="Xef406b04abd24069c8785b25848a92872bd8b82"/>
    <w:p>
      <w:pPr>
        <w:pStyle w:val="Heading3"/>
      </w:pPr>
      <w:r>
        <w:rPr>
          <w:rStyle w:val="VerbatimChar"/>
        </w:rPr>
        <w:t xml:space="preserve">eficacia_legislativa</w:t>
      </w:r>
      <w:r>
        <w:t xml:space="preserve"> </w:t>
      </w:r>
      <w:r>
        <w:t xml:space="preserve">— Eficacia legislativa del Ejecutivo</w:t>
      </w:r>
    </w:p>
    <w:p>
      <w:pPr>
        <w:numPr>
          <w:ilvl w:val="0"/>
          <w:numId w:val="1005"/>
        </w:numPr>
        <w:pStyle w:val="Compact"/>
      </w:pPr>
      <w:r>
        <w:t xml:space="preserve">Qué mide: porcentaje de proyectos del Poder Ejecutivo aprobados por el Congreso en una ventana de 12 meses. Captura la dimensión poder legislativo del marco Matus.</w:t>
      </w:r>
    </w:p>
    <w:p>
      <w:pPr>
        <w:numPr>
          <w:ilvl w:val="0"/>
          <w:numId w:val="1005"/>
        </w:numPr>
        <w:pStyle w:val="Compact"/>
      </w:pPr>
      <w:r>
        <w:t xml:space="preserve">Fuente: datos.hcdn.gob.ar (CKAN, proyectos parlamentarios filtrados por origen PE versus sanciones).</w:t>
      </w:r>
    </w:p>
    <w:p>
      <w:pPr>
        <w:numPr>
          <w:ilvl w:val="0"/>
          <w:numId w:val="1005"/>
        </w:numPr>
        <w:pStyle w:val="Compact"/>
      </w:pPr>
      <w:r>
        <w:t xml:space="preserve">Score: 70% equivale a 0; 35% equivale a 5; 0% equivale a 10. Fórmula:</w:t>
      </w:r>
      <w:r>
        <w:t xml:space="preserve"> </w:t>
      </w:r>
      <w:r>
        <w:rPr>
          <w:rStyle w:val="VerbatimChar"/>
        </w:rPr>
        <w:t xml:space="preserve">(70 − val) / 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Último valor: 4.8% (1 de 21 proyectos PE aprobados en últimos 12 meses).</w:t>
      </w:r>
    </w:p>
    <w:bookmarkEnd w:id="26"/>
    <w:bookmarkStart w:id="27" w:name="veto_quorum-poder-de-bloqueo-por-quórum"/>
    <w:p>
      <w:pPr>
        <w:pStyle w:val="Heading3"/>
      </w:pPr>
      <w:r>
        <w:rPr>
          <w:rStyle w:val="VerbatimChar"/>
        </w:rPr>
        <w:t xml:space="preserve">veto_quorum</w:t>
      </w:r>
      <w:r>
        <w:t xml:space="preserve"> </w:t>
      </w:r>
      <w:r>
        <w:t xml:space="preserve">— Poder de bloqueo por quórum</w:t>
      </w:r>
    </w:p>
    <w:p>
      <w:pPr>
        <w:numPr>
          <w:ilvl w:val="0"/>
          <w:numId w:val="1006"/>
        </w:numPr>
        <w:pStyle w:val="Compact"/>
      </w:pPr>
      <w:r>
        <w:t xml:space="preserve">Qué mide: porcentaje de sesiones de Diputados frustradas por falta de quórum. Captura la capacidad de la oposición —o desorganización del oficialismo— de frustrar la agenda legislativa antes del debate. Complementa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: esta mide el bloqueo pre-debate;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 </w:t>
      </w:r>
      <w:r>
        <w:t xml:space="preserve">mide el resultado del debate.</w:t>
      </w:r>
    </w:p>
    <w:p>
      <w:pPr>
        <w:numPr>
          <w:ilvl w:val="0"/>
          <w:numId w:val="1006"/>
        </w:numPr>
        <w:pStyle w:val="Compact"/>
      </w:pPr>
      <w:r>
        <w:t xml:space="preserve">Fuente: datos.hcdn.gob.ar (CKAN, sesiones del período legislativo con</w:t>
      </w:r>
      <w:r>
        <w:t xml:space="preserve"> </w:t>
      </w:r>
      <w:r>
        <w:rPr>
          <w:rStyle w:val="VerbatimChar"/>
        </w:rPr>
        <w:t xml:space="preserve">REUNION_TIPO</w:t>
      </w:r>
      <w:r>
        <w:t xml:space="preserve"> </w:t>
      </w:r>
      <w:r>
        <w:t xml:space="preserve">que contenga</w:t>
      </w:r>
      <w:r>
        <w:t xml:space="preserve"> </w:t>
      </w:r>
      <w:r>
        <w:t xml:space="preserve">“</w:t>
      </w:r>
      <w:r>
        <w:t xml:space="preserve">Fracasada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Cálculo: número de sesiones donde se intentó abrir pero no se llegó a 129 / número de sesiones convocadas, período legislativo en curso.</w:t>
      </w:r>
    </w:p>
    <w:p>
      <w:pPr>
        <w:numPr>
          <w:ilvl w:val="0"/>
          <w:numId w:val="1006"/>
        </w:numPr>
        <w:pStyle w:val="Compact"/>
      </w:pPr>
      <w:r>
        <w:t xml:space="preserve">Score: 0% equivale a 0; 15% equivale a 5; 30%+ equivale a 10. Fórmula:</w:t>
      </w:r>
      <w:r>
        <w:t xml:space="preserve"> </w:t>
      </w:r>
      <w:r>
        <w:rPr>
          <w:rStyle w:val="VerbatimChar"/>
        </w:rPr>
        <w:t xml:space="preserve">val / 3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Nota metodológica: incluye frustraciones tanto por acción opositora activa como por inasistencia del propio bloque oficialista. Ambas son señales de debilidad del capital legislativo.</w:t>
      </w:r>
    </w:p>
    <w:p>
      <w:pPr>
        <w:numPr>
          <w:ilvl w:val="0"/>
          <w:numId w:val="1006"/>
        </w:numPr>
        <w:pStyle w:val="Compact"/>
      </w:pPr>
      <w:r>
        <w:t xml:space="preserve">Último valor: 0.0% (0 de 2 sesiones del período 144 fracasadas).</w:t>
      </w:r>
    </w:p>
    <w:bookmarkEnd w:id="27"/>
    <w:bookmarkStart w:id="28" w:name="Xcabf341081f51584535f5b92694124ff7e7daf5"/>
    <w:p>
      <w:pPr>
        <w:pStyle w:val="Heading3"/>
      </w:pPr>
      <w:r>
        <w:rPr>
          <w:rStyle w:val="VerbatimChar"/>
        </w:rPr>
        <w:t xml:space="preserve">comisiones_caidas</w:t>
      </w:r>
      <w:r>
        <w:t xml:space="preserve"> </w:t>
      </w:r>
      <w:r>
        <w:t xml:space="preserve">— Proyectos varados post-dictamen</w:t>
      </w:r>
    </w:p>
    <w:p>
      <w:pPr>
        <w:numPr>
          <w:ilvl w:val="0"/>
          <w:numId w:val="1007"/>
        </w:numPr>
        <w:pStyle w:val="Compact"/>
      </w:pPr>
      <w:r>
        <w:t xml:space="preserve">Qué mide: porcentaje de proyectos que obtuvieron dictamen favorable de al menos una comisión pero no fueron incluidos en el orden del día del plenario. Captura el</w:t>
      </w:r>
      <w:r>
        <w:t xml:space="preserve"> </w:t>
      </w:r>
      <w:r>
        <w:t xml:space="preserve">“</w:t>
      </w:r>
      <w:r>
        <w:t xml:space="preserve">cementerio post-comisión</w:t>
      </w:r>
      <w:r>
        <w:t xml:space="preserve">”</w:t>
      </w:r>
      <w:r>
        <w:t xml:space="preserve">: proyectos que pasan el filtro técnico pero mueren antes del recinto.</w:t>
      </w:r>
    </w:p>
    <w:p>
      <w:pPr>
        <w:numPr>
          <w:ilvl w:val="0"/>
          <w:numId w:val="1007"/>
        </w:numPr>
        <w:pStyle w:val="Compact"/>
      </w:pPr>
      <w:r>
        <w:t xml:space="preserve">Fuente: datos.hcdn.gob.ar (CKAN, dictámenes con orden del día versus sanciones).</w:t>
      </w:r>
    </w:p>
    <w:p>
      <w:pPr>
        <w:numPr>
          <w:ilvl w:val="0"/>
          <w:numId w:val="1007"/>
        </w:numPr>
        <w:pStyle w:val="Compact"/>
      </w:pPr>
      <w:r>
        <w:t xml:space="preserve">Cálculo: proyectos con dictamen no convocados al recinto / proyectos con dictamen en el período.</w:t>
      </w:r>
    </w:p>
    <w:p>
      <w:pPr>
        <w:numPr>
          <w:ilvl w:val="0"/>
          <w:numId w:val="1007"/>
        </w:numPr>
        <w:pStyle w:val="Compact"/>
      </w:pPr>
      <w:r>
        <w:t xml:space="preserve">Score: 20% equivale a 0; 40% equivale a 5; 60%+ equivale a 10. Fórmula:</w:t>
      </w:r>
      <w:r>
        <w:t xml:space="preserve"> </w:t>
      </w:r>
      <w:r>
        <w:rPr>
          <w:rStyle w:val="VerbatimChar"/>
        </w:rPr>
        <w:t xml:space="preserve">(val − 20) / 4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Último valor: 99.6% (519 de 521 proyectos con OD sin sanción).</w:t>
      </w:r>
    </w:p>
    <w:p>
      <w:pPr>
        <w:numPr>
          <w:ilvl w:val="0"/>
          <w:numId w:val="1007"/>
        </w:numPr>
        <w:pStyle w:val="Compact"/>
      </w:pPr>
      <w:r>
        <w:t xml:space="preserve">Nota metodológica: un 20–30% es normal (no todo dictamen llega de inmediato al recinto); por encima del 50% indica bloqueo sistemático. El valor actual de 99.6% refleja el estructural argentino donde la mayoría de los dictámenes no llegan al plenario, no necesariamente un bloqueo activo.</w:t>
      </w:r>
    </w:p>
    <w:bookmarkEnd w:id="28"/>
    <w:bookmarkStart w:id="29" w:name="cohesion_bloque-cohesión-del-bloque-lla"/>
    <w:p>
      <w:pPr>
        <w:pStyle w:val="Heading3"/>
      </w:pPr>
      <w:r>
        <w:rPr>
          <w:rStyle w:val="VerbatimChar"/>
        </w:rPr>
        <w:t xml:space="preserve">cohesion_bloque</w:t>
      </w:r>
      <w:r>
        <w:t xml:space="preserve"> </w:t>
      </w:r>
      <w:r>
        <w:t xml:space="preserve">— Cohesión del bloque LLA</w:t>
      </w:r>
    </w:p>
    <w:p>
      <w:pPr>
        <w:numPr>
          <w:ilvl w:val="0"/>
          <w:numId w:val="1008"/>
        </w:numPr>
        <w:pStyle w:val="Compact"/>
      </w:pPr>
      <w:r>
        <w:t xml:space="preserve">Qué mide: cuán unido vota el bloque afín al gobierno en Cámara de Diputados.</w:t>
      </w:r>
    </w:p>
    <w:p>
      <w:pPr>
        <w:numPr>
          <w:ilvl w:val="0"/>
          <w:numId w:val="1008"/>
        </w:numPr>
        <w:pStyle w:val="Compact"/>
      </w:pPr>
      <w:r>
        <w:t xml:space="preserve">Fuente: carga manual en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(placeholder 78%).</w:t>
      </w:r>
    </w:p>
    <w:p>
      <w:pPr>
        <w:numPr>
          <w:ilvl w:val="0"/>
          <w:numId w:val="1008"/>
        </w:numPr>
        <w:pStyle w:val="Compact"/>
      </w:pPr>
      <w:r>
        <w:t xml:space="preserve">Cálculo objetivo: porcentaje de votaciones nominales donde diputados LLA votaron alineados con la posición oficial, últimos 3 meses.</w:t>
      </w:r>
    </w:p>
    <w:p>
      <w:pPr>
        <w:numPr>
          <w:ilvl w:val="0"/>
          <w:numId w:val="1008"/>
        </w:numPr>
        <w:pStyle w:val="Compact"/>
      </w:pPr>
      <w:r>
        <w:t xml:space="preserve">Razón de la carga manual: las votaciones nominales en CKAN HCDN están congeladas en el período 137 (2019). La composición actual del bloque LLA (95 diputados) está disponible pero sin</w:t>
      </w:r>
      <w:r>
        <w:t xml:space="preserve"> </w:t>
      </w:r>
      <w:r>
        <w:rPr>
          <w:rStyle w:val="VerbatimChar"/>
        </w:rPr>
        <w:t xml:space="preserve">PERSONA_ID</w:t>
      </w:r>
      <w:r>
        <w:t xml:space="preserve"> </w:t>
      </w:r>
      <w:r>
        <w:t xml:space="preserve">que mapee a los votos históricos. Requeriría headless browser sobre hcdn.gob.ar/votaciones o acuerdo institucional con HCDN.</w:t>
      </w:r>
    </w:p>
    <w:p>
      <w:pPr>
        <w:numPr>
          <w:ilvl w:val="0"/>
          <w:numId w:val="1008"/>
        </w:numPr>
        <w:pStyle w:val="Compact"/>
      </w:pPr>
      <w:r>
        <w:t xml:space="preserve">Último valor: 78% placeholder.</w:t>
      </w:r>
    </w:p>
    <w:bookmarkEnd w:id="29"/>
    <w:bookmarkStart w:id="30" w:name="Xdfb55788f846cf46b460fa1e1c695fcc592b647"/>
    <w:p>
      <w:pPr>
        <w:pStyle w:val="Heading3"/>
      </w:pPr>
      <w:r>
        <w:rPr>
          <w:rStyle w:val="VerbatimChar"/>
        </w:rPr>
        <w:t xml:space="preserve">gobernadores_alineamiento</w:t>
      </w:r>
      <w:r>
        <w:t xml:space="preserve"> </w:t>
      </w:r>
      <w:r>
        <w:t xml:space="preserve">— Alineamiento de gobernadores</w:t>
      </w:r>
    </w:p>
    <w:p>
      <w:pPr>
        <w:numPr>
          <w:ilvl w:val="0"/>
          <w:numId w:val="1009"/>
        </w:numPr>
        <w:pStyle w:val="Compact"/>
      </w:pPr>
      <w:r>
        <w:t xml:space="preserve">Qué mide: soporte territorial y federal del gobierno.</w:t>
      </w:r>
    </w:p>
    <w:p>
      <w:pPr>
        <w:numPr>
          <w:ilvl w:val="0"/>
          <w:numId w:val="1009"/>
        </w:numPr>
        <w:pStyle w:val="Compact"/>
      </w:pPr>
      <w:r>
        <w:t xml:space="preserve">Fuente: carga manual en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(placeholder 55%).</w:t>
      </w:r>
    </w:p>
    <w:p>
      <w:pPr>
        <w:numPr>
          <w:ilvl w:val="0"/>
          <w:numId w:val="1009"/>
        </w:numPr>
        <w:pStyle w:val="Compact"/>
      </w:pPr>
      <w:r>
        <w:t xml:space="preserve">Cálculo objetivo: porcentaje de gobernadores (sobre 24) con posición pública de apoyo al programa nacional.</w:t>
      </w:r>
    </w:p>
    <w:p>
      <w:pPr>
        <w:numPr>
          <w:ilvl w:val="0"/>
          <w:numId w:val="1009"/>
        </w:numPr>
        <w:pStyle w:val="Compact"/>
      </w:pPr>
      <w:r>
        <w:t xml:space="preserve">Razón de la carga manual: sin fuente pública estructurada. Construible con NLP sobre cobertura periodística (La Nación Data, Infobae) pero requiere proyecto separado.</w:t>
      </w:r>
    </w:p>
    <w:p>
      <w:pPr>
        <w:numPr>
          <w:ilvl w:val="0"/>
          <w:numId w:val="1009"/>
        </w:numPr>
        <w:pStyle w:val="Compact"/>
      </w:pPr>
      <w:r>
        <w:t xml:space="preserve">Último valor: 55% placeholder.</w:t>
      </w:r>
    </w:p>
    <w:bookmarkEnd w:id="30"/>
    <w:bookmarkEnd w:id="31"/>
    <w:bookmarkStart w:id="32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scripts/politica.py</w:t>
      </w:r>
    </w:p>
    <w:p>
      <w:pPr>
        <w:pStyle w:val="FirstParagraph"/>
      </w:pPr>
      <w:r>
        <w:t xml:space="preserve">Códigos de salida: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Todos los indicadores frescos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Al menos un indicador fresco (normal si Votómetro no tiene polls recientes)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Ningún indicador fresco (todo desde cache)</w:t>
            </w:r>
          </w:p>
        </w:tc>
      </w:tr>
    </w:tbl>
    <w:bookmarkEnd w:id="32"/>
    <w:bookmarkStart w:id="33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Votómetro desactualizado: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votometro_ventaja_lla.desactualizado=true</w:t>
      </w:r>
      <w:r>
        <w:t xml:space="preserve">, agregar encuestas al Votómetro en</w:t>
      </w:r>
      <w:r>
        <w:t xml:space="preserve"> </w:t>
      </w:r>
      <w:r>
        <w:rPr>
          <w:rStyle w:val="VerbatimChar"/>
        </w:rPr>
        <w:t xml:space="preserve">projects/votometro/web/votometro.html</w:t>
      </w:r>
      <w:r>
        <w:t xml:space="preserve"> </w:t>
      </w:r>
      <w:r>
        <w:t xml:space="preserve">→ array</w:t>
      </w:r>
      <w:r>
        <w:t xml:space="preserve"> </w:t>
      </w:r>
      <w:r>
        <w:rPr>
          <w:rStyle w:val="VerbatimChar"/>
        </w:rPr>
        <w:t xml:space="preserve">encuestasRaw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tipo='espacio'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Falla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ratio_dnu</w:t>
      </w:r>
      <w:r>
        <w:rPr>
          <w:bCs/>
          <w:b/>
        </w:rPr>
        <w:t xml:space="preserve">:</w:t>
      </w:r>
      <w:r>
        <w:t xml:space="preserve"> </w:t>
      </w:r>
      <w:r>
        <w:t xml:space="preserve">verificar que</w:t>
      </w:r>
      <w:r>
        <w:t xml:space="preserve"> </w:t>
      </w:r>
      <w:r>
        <w:rPr>
          <w:rStyle w:val="VerbatimChar"/>
        </w:rPr>
        <w:t xml:space="preserve">servicios.infoleg.gob.ar/infolegInternet/</w:t>
      </w:r>
      <w:r>
        <w:t xml:space="preserve"> </w:t>
      </w:r>
      <w:r>
        <w:t xml:space="preserve">responde. La sesión requiere GET previo para obtener</w:t>
      </w:r>
      <w:r>
        <w:t xml:space="preserve"> </w:t>
      </w:r>
      <w:r>
        <w:rPr>
          <w:rStyle w:val="VerbatimChar"/>
        </w:rPr>
        <w:t xml:space="preserve">jsessionid</w:t>
      </w:r>
      <w:r>
        <w:t xml:space="preserve">. Si el formulario cambia estructura, actualizar el regex</w:t>
      </w:r>
      <w:r>
        <w:t xml:space="preserve"> </w:t>
      </w:r>
      <w:r>
        <w:rPr>
          <w:rStyle w:val="VerbatimChar"/>
        </w:rPr>
        <w:t xml:space="preserve">action_m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fetch_ratio_dnu()</w:t>
      </w:r>
      <w:r>
        <w:t xml:space="preserve">. El texto</w:t>
      </w:r>
      <w:r>
        <w:t xml:space="preserve"> </w:t>
      </w:r>
      <w:r>
        <w:t xml:space="preserve">“</w:t>
      </w:r>
      <w:r>
        <w:t xml:space="preserve">necesidad y urgencia</w:t>
      </w:r>
      <w:r>
        <w:t xml:space="preserve">”</w:t>
      </w:r>
      <w:r>
        <w:t xml:space="preserve"> </w:t>
      </w:r>
      <w:r>
        <w:t xml:space="preserve">en el campo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filtra los DNUs dentro del tipo</w:t>
      </w:r>
      <w:r>
        <w:t xml:space="preserve"> </w:t>
      </w:r>
      <w:r>
        <w:t xml:space="preserve">“</w:t>
      </w:r>
      <w:r>
        <w:t xml:space="preserve">Decreto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Falla de CEPA:</w:t>
      </w:r>
      <w:r>
        <w:t xml:space="preserve"> </w:t>
      </w:r>
      <w:r>
        <w:t xml:space="preserve">revisar que</w:t>
      </w:r>
      <w:r>
        <w:t xml:space="preserve"> </w:t>
      </w:r>
      <w:r>
        <w:rPr>
          <w:rStyle w:val="VerbatimChar"/>
        </w:rPr>
        <w:t xml:space="preserve">centrocepa.com.ar/informes</w:t>
      </w:r>
      <w:r>
        <w:t xml:space="preserve"> </w:t>
      </w:r>
      <w:r>
        <w:t xml:space="preserve">siga publicando links con</w:t>
      </w:r>
      <w:r>
        <w:t xml:space="preserve"> </w:t>
      </w:r>
      <w:r>
        <w:t xml:space="preserve">“</w:t>
      </w:r>
      <w:r>
        <w:t xml:space="preserve">conflictividad</w:t>
      </w:r>
      <w:r>
        <w:t xml:space="preserve">”</w:t>
      </w:r>
      <w:r>
        <w:t xml:space="preserve"> </w:t>
      </w:r>
      <w:r>
        <w:t xml:space="preserve">en la URL. Si cambia la estructura del texto del informe, ajustar los patrones regex en</w:t>
      </w:r>
      <w:r>
        <w:t xml:space="preserve"> </w:t>
      </w:r>
      <w:r>
        <w:rPr>
          <w:rStyle w:val="VerbatimChar"/>
        </w:rPr>
        <w:t xml:space="preserve">fetch_cepa_movilizacion()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IAF transferencias:</w:t>
      </w:r>
      <w:r>
        <w:t xml:space="preserve"> </w:t>
      </w:r>
      <w:r>
        <w:t xml:space="preserve">el CSV de Hacienda se publica anualmente. Si el año cambia y no hay datos (</w:t>
      </w:r>
      <w:r>
        <w:rPr>
          <w:rStyle w:val="VerbatimChar"/>
        </w:rPr>
        <w:t xml:space="preserve">sin datos para AAAA</w:t>
      </w:r>
      <w:r>
        <w:t xml:space="preserve">), actualizar</w:t>
      </w:r>
      <w:r>
        <w:t xml:space="preserve"> </w:t>
      </w:r>
      <w:r>
        <w:rPr>
          <w:rStyle w:val="VerbatimChar"/>
        </w:rPr>
        <w:t xml:space="preserve">RON_CSV_URL</w:t>
      </w:r>
      <w:r>
        <w:t xml:space="preserve"> </w:t>
      </w:r>
      <w:r>
        <w:t xml:space="preserve">con el nuevo nombre de archivo. Actualizar</w:t>
      </w:r>
      <w:r>
        <w:t xml:space="preserve"> </w:t>
      </w:r>
      <w:r>
        <w:rPr>
          <w:rStyle w:val="VerbatimChar"/>
        </w:rPr>
        <w:t xml:space="preserve">IPC_ANUAL</w:t>
      </w:r>
      <w:r>
        <w:t xml:space="preserve"> </w:t>
      </w:r>
      <w:r>
        <w:t xml:space="preserve">cada enero con la variación diciembre-diciembre INDEC del año que cierra. El CSV usa separador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 decimal</w:t>
      </w:r>
      <w:r>
        <w:t xml:space="preserve"> </w:t>
      </w:r>
      <w:r>
        <w:rPr>
          <w:rStyle w:val="VerbatimChar"/>
        </w:rPr>
        <w:t xml:space="preserve">,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Datos de carga manual:</w:t>
      </w:r>
      <w:r>
        <w:t xml:space="preserve"> </w:t>
      </w:r>
      <w:r>
        <w:t xml:space="preserve">actualizar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con nuevos valores y</w:t>
      </w:r>
      <w:r>
        <w:t xml:space="preserve"> </w:t>
      </w:r>
      <w:r>
        <w:rPr>
          <w:rStyle w:val="VerbatimChar"/>
        </w:rPr>
        <w:t xml:space="preserve">fecha_dato</w:t>
      </w:r>
      <w:r>
        <w:t xml:space="preserve"> </w:t>
      </w:r>
      <w:r>
        <w:t xml:space="preserve">actualizada en cada ciclo.</w:t>
      </w:r>
    </w:p>
    <w:bookmarkEnd w:id="33"/>
    <w:bookmarkStart w:id="34" w:name="limitaciones-documentadas-de-ckan-hcdn"/>
    <w:p>
      <w:pPr>
        <w:pStyle w:val="Heading2"/>
      </w:pPr>
      <w:r>
        <w:t xml:space="preserve">Limitaciones documentadas de CKAN HCDN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q=</w:t>
      </w:r>
      <w:r>
        <w:t xml:space="preserve"> </w:t>
      </w:r>
      <w:r>
        <w:t xml:space="preserve">realiza búsqueda full-text por tokens, no substring.</w:t>
      </w:r>
      <w:r>
        <w:t xml:space="preserve"> </w:t>
      </w:r>
      <w:r>
        <w:rPr>
          <w:rStyle w:val="VerbatimChar"/>
        </w:rPr>
        <w:t xml:space="preserve">q="HCDN144"</w:t>
      </w:r>
      <w:r>
        <w:t xml:space="preserve"> </w:t>
      </w:r>
      <w:r>
        <w:t xml:space="preserve">no matchea</w:t>
      </w:r>
      <w:r>
        <w:t xml:space="preserve"> </w:t>
      </w:r>
      <w:r>
        <w:rPr>
          <w:rStyle w:val="VerbatimChar"/>
        </w:rPr>
        <w:t xml:space="preserve">HCDN144R02</w:t>
      </w:r>
      <w:r>
        <w:t xml:space="preserve">. Usar</w:t>
      </w:r>
      <w:r>
        <w:t xml:space="preserve"> </w:t>
      </w:r>
      <w:r>
        <w:rPr>
          <w:rStyle w:val="VerbatimChar"/>
        </w:rPr>
        <w:t xml:space="preserve">q=str(year)</w:t>
      </w:r>
      <w:r>
        <w:t xml:space="preserve"> </w:t>
      </w:r>
      <w:r>
        <w:t xml:space="preserve">y filtrar del lado Python con</w:t>
      </w:r>
      <w:r>
        <w:t xml:space="preserve"> </w:t>
      </w:r>
      <w:r>
        <w:rPr>
          <w:rStyle w:val="VerbatimChar"/>
        </w:rPr>
        <w:t xml:space="preserve">startswith(periodo_prefix)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Filtros por campo exacto con caracteres acentuados devuelven 0 resultados por encoding. Usar siempre Python-side con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 </w:t>
      </w:r>
      <w:r>
        <w:t xml:space="preserve">y substrings.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dictámenes.EXPEDIENTE</w:t>
      </w:r>
      <w:r>
        <w:t xml:space="preserve"> </w:t>
      </w:r>
      <w:r>
        <w:t xml:space="preserve">es el mismo campo que</w:t>
      </w:r>
      <w:r>
        <w:t xml:space="preserve"> </w:t>
      </w:r>
      <w:r>
        <w:rPr>
          <w:rStyle w:val="VerbatimChar"/>
        </w:rPr>
        <w:t xml:space="preserve">movimientos.PROYECTO_ID</w:t>
      </w:r>
      <w:r>
        <w:t xml:space="preserve">. Permite join directo sin pasar por proyectos-parlamentarios.</w:t>
      </w:r>
    </w:p>
    <w:p>
      <w:pPr>
        <w:numPr>
          <w:ilvl w:val="0"/>
          <w:numId w:val="1011"/>
        </w:numPr>
        <w:pStyle w:val="Compact"/>
      </w:pPr>
      <w:r>
        <w:t xml:space="preserve">Las sesiones desactivadas antes de la apertura formal no aparecen en HCDN. Solo aparecen sesiones formalmente iniciadas y luego fracasadas.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REUNION_TIPO</w:t>
      </w:r>
      <w:r>
        <w:t xml:space="preserve"> </w:t>
      </w:r>
      <w:r>
        <w:t xml:space="preserve">para sesiones fracasadas contiene</w:t>
      </w:r>
      <w:r>
        <w:t xml:space="preserve"> </w:t>
      </w:r>
      <w:r>
        <w:t xml:space="preserve">“</w:t>
      </w:r>
      <w:r>
        <w:t xml:space="preserve">Fracasada</w:t>
      </w:r>
      <w:r>
        <w:t xml:space="preserve">”</w:t>
      </w:r>
      <w:r>
        <w:t xml:space="preserve"> </w:t>
      </w:r>
      <w:r>
        <w:t xml:space="preserve">al final (por ejemplo,</w:t>
      </w:r>
      <w:r>
        <w:t xml:space="preserve"> </w:t>
      </w:r>
      <w:r>
        <w:t xml:space="preserve">“</w:t>
      </w:r>
      <w:r>
        <w:t xml:space="preserve">Informativa Art. 71 CN - Citada - Fracasada</w:t>
      </w:r>
      <w:r>
        <w:t xml:space="preserve">”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Período legislativo:</w:t>
      </w:r>
      <w:r>
        <w:t xml:space="preserve"> </w:t>
      </w:r>
      <w:r>
        <w:rPr>
          <w:rStyle w:val="VerbatimChar"/>
        </w:rPr>
        <w:t xml:space="preserve">periodo_num = 144 + (año_actual − 2026)</w:t>
      </w:r>
      <w:r>
        <w:t xml:space="preserve">. Prefijo</w:t>
      </w:r>
      <w:r>
        <w:t xml:space="preserve"> </w:t>
      </w:r>
      <w:r>
        <w:rPr>
          <w:rStyle w:val="VerbatimChar"/>
        </w:rPr>
        <w:t xml:space="preserve">PERIODO_ID</w:t>
      </w:r>
      <w:r>
        <w:t xml:space="preserve">:</w:t>
      </w:r>
      <w:r>
        <w:t xml:space="preserve"> </w:t>
      </w:r>
      <w:r>
        <w:rPr>
          <w:rStyle w:val="VerbatimChar"/>
        </w:rPr>
        <w:t xml:space="preserve">HCDN{periodo_num}</w:t>
      </w:r>
      <w:r>
        <w:t xml:space="preserve">.</w:t>
      </w:r>
    </w:p>
    <w:bookmarkEnd w:id="34"/>
    <w:bookmarkEnd w:id="35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2026-06-10T22:48:13Z</dcterms:created>
  <dcterms:modified xsi:type="dcterms:W3CDTF">2026-06-10T22:48:13Z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