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ad918b7079c15aa6ff5fe91ced0926ac75092b6"/>
    <w:p>
      <w:pPr>
        <w:pStyle w:val="Heading1"/>
      </w:pPr>
      <w:r>
        <w:t xml:space="preserve">Proyecto País — Estado de extracción de indicadores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23 de mayo de 2026</w:t>
      </w:r>
      <w:r>
        <w:t xml:space="preserve"> </w:t>
      </w:r>
      <w:r>
        <w:rPr>
          <w:bCs/>
          <w:b/>
        </w:rPr>
        <w:t xml:space="preserve">Documento base:</w:t>
      </w:r>
      <w:r>
        <w:t xml:space="preserve"> </w:t>
      </w:r>
      <w:r>
        <w:rPr>
          <w:iCs/>
          <w:i/>
        </w:rPr>
        <w:t xml:space="preserve">Proyecto País: Indicadores en trabajo</w:t>
      </w:r>
      <w:r>
        <w:t xml:space="preserve"> </w:t>
      </w:r>
      <w:r>
        <w:t xml:space="preserve">(20 de mayo de 2026)</w:t>
      </w:r>
      <w:r>
        <w:t xml:space="preserve"> </w:t>
      </w:r>
      <w:r>
        <w:rPr>
          <w:bCs/>
          <w:b/>
        </w:rPr>
        <w:t xml:space="preserve">Objeto:</w:t>
      </w:r>
      <w:r>
        <w:t xml:space="preserve"> </w:t>
      </w:r>
      <w:r>
        <w:t xml:space="preserve">documentar, para cada indicador enunciado en el documento base, su estado de implementación, la fuente real utilizada y, en los casos donde no fue posible automatizar, la razón técnica.</w:t>
      </w:r>
    </w:p>
    <w:p>
      <w:pPr>
        <w:pStyle w:val="BlockText"/>
      </w:pPr>
      <w:r>
        <w:rPr>
          <w:bCs/>
          <w:b/>
        </w:rPr>
        <w:t xml:space="preserve">Actualización (10 de junio de 2026):</w:t>
      </w:r>
      <w:r>
        <w:t xml:space="preserve"> </w:t>
      </w:r>
      <w:r>
        <w:t xml:space="preserve">dos documentos institucionales nuevos cambiaron la metodología.</w:t>
      </w:r>
      <w:r>
        <w:t xml:space="preserve"> </w:t>
      </w:r>
      <w:r>
        <w:t xml:space="preserve">1.</w:t>
      </w:r>
      <w:r>
        <w:t xml:space="preserve"> </w:t>
      </w:r>
      <w:r>
        <w:rPr>
          <w:iCs/>
          <w:i/>
        </w:rPr>
        <w:t xml:space="preserve">Fórmula Paramétrica — Cinturón de la Macroeconomía</w:t>
      </w:r>
      <w:r>
        <w:t xml:space="preserve"> </w:t>
      </w:r>
      <w:r>
        <w:t xml:space="preserve">(</w:t>
      </w:r>
      <w:r>
        <w:rPr>
          <w:rStyle w:val="VerbatimChar"/>
        </w:rPr>
        <w:t xml:space="preserve">260602 Parametrica Macro.docx</w:t>
      </w:r>
      <w:r>
        <w:t xml:space="preserve">): el cinturón macro pasó a puntuarse con el</w:t>
      </w:r>
      <w:r>
        <w:t xml:space="preserve"> </w:t>
      </w:r>
      <w:r>
        <w:rPr>
          <w:bCs/>
          <w:b/>
        </w:rPr>
        <w:t xml:space="preserve">ITCM</w:t>
      </w:r>
      <w:r>
        <w:t xml:space="preserve"> </w:t>
      </w:r>
      <w:r>
        <w:t xml:space="preserve">(índice 0–100, 4 dimensiones ponderadas, 7 de los 11 indicadores; los otros 4 quedan como contexto). Detalle en</w:t>
      </w:r>
      <w:r>
        <w:t xml:space="preserve"> </w:t>
      </w:r>
      <w:r>
        <w:rPr>
          <w:rStyle w:val="VerbatimChar"/>
        </w:rPr>
        <w:t xml:space="preserve">docs/cinturon_macro.md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iCs/>
          <w:i/>
        </w:rPr>
        <w:t xml:space="preserve">Marco Conceptual del Informe de Coyuntura</w:t>
      </w:r>
      <w:r>
        <w:t xml:space="preserve"> </w:t>
      </w:r>
      <w:r>
        <w:t xml:space="preserve">(</w:t>
      </w:r>
      <w:r>
        <w:rPr>
          <w:rStyle w:val="VerbatimChar"/>
        </w:rPr>
        <w:t xml:space="preserve">260606 MARCO CONCEPTUAL lINFORME DE COYUNTURA.docx</w:t>
      </w:r>
      <w:r>
        <w:t xml:space="preserve">): se amplió de 4 a</w:t>
      </w:r>
      <w:r>
        <w:t xml:space="preserve"> </w:t>
      </w:r>
      <w:r>
        <w:rPr>
          <w:bCs/>
          <w:b/>
        </w:rPr>
        <w:t xml:space="preserve">5 cinturones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Espíritu de Época</w:t>
      </w:r>
      <w:r>
        <w:t xml:space="preserve"> </w:t>
      </w:r>
      <w:r>
        <w:t xml:space="preserve">(colector</w:t>
      </w:r>
      <w:r>
        <w:t xml:space="preserve"> </w:t>
      </w:r>
      <w:r>
        <w:rPr>
          <w:rStyle w:val="VerbatimChar"/>
        </w:rPr>
        <w:t xml:space="preserve">scripts/espiritu_epoca.py</w:t>
      </w:r>
      <w:r>
        <w:t xml:space="preserve">, 3 proxies v1: ICC UTDT, sentimiento digital, clima electoral del Votómetro). Detalle en</w:t>
      </w:r>
      <w:r>
        <w:t xml:space="preserve"> </w:t>
      </w:r>
      <w:r>
        <w:rPr>
          <w:rStyle w:val="VerbatimChar"/>
        </w:rPr>
        <w:t xml:space="preserve">docs/cinturon_espiritu_epoca.md</w:t>
      </w:r>
      <w:r>
        <w:t xml:space="preserve">.</w:t>
      </w:r>
    </w:p>
    <w:p>
      <w:pPr>
        <w:pStyle w:val="BlockText"/>
      </w:pPr>
      <w:r>
        <w:t xml:space="preserve">Los pesos del score global son</w:t>
      </w:r>
      <w:r>
        <w:t xml:space="preserve"> </w:t>
      </w:r>
      <w:r>
        <w:rPr>
          <w:bCs/>
          <w:b/>
        </w:rPr>
        <w:t xml:space="preserve">por fase del mandato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config.py</w:t>
      </w:r>
      <w:r>
        <w:t xml:space="preserve">, según la ponderación temporal del Marco Conceptual): fase temprana (primeros 4 años) 20% parejo para los cinco; consolidación 25/25/20/15/15. Las tablas de este documento describen el estado a mayo de 2026 y siguen siendo válidas para fuentes y extracción.</w:t>
      </w:r>
    </w:p>
    <w:p>
      <w:r>
        <w:pict>
          <v:rect style="width:0;height:1.5pt" o:hralign="center" o:hrstd="t" o:hr="t"/>
        </w:pict>
      </w:r>
    </w:p>
    <w:bookmarkStart w:id="20" w:name="resumen"/>
    <w:p>
      <w:pPr>
        <w:pStyle w:val="Heading2"/>
      </w:pPr>
      <w:r>
        <w:t xml:space="preserve">Resumen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Cinturón</w:t>
            </w:r>
          </w:p>
        </w:tc>
        <w:tc>
          <w:p>
            <w:pPr>
              <w:pStyle w:val="Compact"/>
              <w:jc w:val="left"/>
            </w:pPr>
            <w:r>
              <w:t xml:space="preserve">Indicadores del documento base</w:t>
            </w:r>
          </w:p>
        </w:tc>
        <w:tc>
          <w:p>
            <w:pPr>
              <w:pStyle w:val="Compact"/>
              <w:jc w:val="left"/>
            </w:pPr>
            <w:r>
              <w:t xml:space="preserve">Automáticos</w:t>
            </w:r>
          </w:p>
        </w:tc>
        <w:tc>
          <w:p>
            <w:pPr>
              <w:pStyle w:val="Compact"/>
              <w:jc w:val="left"/>
            </w:pPr>
            <w:r>
              <w:t xml:space="preserve">Carga manual</w:t>
            </w:r>
          </w:p>
        </w:tc>
        <w:tc>
          <w:p>
            <w:pPr>
              <w:pStyle w:val="Compact"/>
              <w:jc w:val="left"/>
            </w:pPr>
            <w:r>
              <w:t xml:space="preserve">Sin fuente disponible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Vida Cotidiana</w:t>
            </w:r>
          </w:p>
        </w:tc>
        <w:tc>
          <w:p>
            <w:pPr>
              <w:pStyle w:val="Compact"/>
              <w:jc w:val="left"/>
            </w:pPr>
            <w:r>
              <w:t xml:space="preserve">14 + 1 manual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Macroeconomía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Política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Gestión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</w:tr>
    </w:tbl>
    <w:p>
      <w:pPr>
        <w:pStyle w:val="BodyText"/>
      </w:pPr>
      <w:r>
        <w:t xml:space="preserve">Cobertura efectiva: 40 de 47 indicadores producen datos (35 automáticos + 5 con carga manual periódica). Los 7 restantes se documentan al pie de cada cinturón con la razón técnica de la limitación.</w:t>
      </w:r>
    </w:p>
    <w:p>
      <w:pPr>
        <w:pStyle w:val="BodyText"/>
      </w:pPr>
      <w:r>
        <w:t xml:space="preserve">Adicionalmente, se incorporaron 5 indicadores no listados en el documento base pero relevantes para la lectura de coyuntura: brecha LLA−PJ del Votómetro, sesiones fracasadas por falta de quórum, comisiones caídas post-dictamen, patentamiento de motos, y brecha CCL/oficial.</w:t>
      </w:r>
    </w:p>
    <w:p>
      <w:r>
        <w:pict>
          <v:rect style="width:0;height:1.5pt" o:hralign="center" o:hrstd="t" o:hr="t"/>
        </w:pict>
      </w:r>
    </w:p>
    <w:bookmarkEnd w:id="20"/>
    <w:bookmarkStart w:id="25" w:name="cinturón-de-la-vida-cotidiana"/>
    <w:p>
      <w:pPr>
        <w:pStyle w:val="Heading2"/>
      </w:pPr>
      <w:r>
        <w:t xml:space="preserve">1. Cinturón de la Vida Cotidiana</w:t>
      </w:r>
    </w:p>
    <w:p>
      <w:pPr>
        <w:pStyle w:val="FirstParagraph"/>
      </w:pPr>
      <w:r>
        <w:t xml:space="preserve">Orquestador:</w:t>
      </w:r>
      <w:r>
        <w:t xml:space="preserve"> </w:t>
      </w:r>
      <w:r>
        <w:rPr>
          <w:rStyle w:val="VerbatimChar"/>
        </w:rPr>
        <w:t xml:space="preserve">scripts/vida_cotidiana/main.py</w:t>
      </w:r>
      <w:r>
        <w:t xml:space="preserve">. Ocho fuentes activas, aproximadamente 32 datapoints por ejecución. Última corrida: 23 de mayo de 2026, todas las fuentes operativas.</w:t>
      </w:r>
    </w:p>
    <w:bookmarkStart w:id="21" w:name="indicadores-activos"/>
    <w:p>
      <w:pPr>
        <w:pStyle w:val="Heading3"/>
      </w:pPr>
      <w:r>
        <w:t xml:space="preserve">Indicadores activos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p>
            <w:pPr>
              <w:pStyle w:val="Compact"/>
              <w:jc w:val="left"/>
            </w:pPr>
            <w:r>
              <w:t xml:space="preserve">Fuente / proxy</w:t>
            </w:r>
          </w:p>
        </w:tc>
        <w:tc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p>
            <w:pPr>
              <w:pStyle w:val="Compact"/>
              <w:jc w:val="left"/>
            </w:pPr>
            <w:r>
              <w:t xml:space="preserve">Último dato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Brecha salario real vs. CBT</w:t>
            </w:r>
          </w:p>
        </w:tc>
        <w:tc>
          <w:p>
            <w:pPr>
              <w:pStyle w:val="Compact"/>
              <w:jc w:val="left"/>
            </w:pPr>
            <w:r>
              <w:t xml:space="preserve">INDEC, RIPTE + CBT (datos.gob.ar)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3.82 canastas, marzo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IPC alimentos</w:t>
            </w:r>
          </w:p>
        </w:tc>
        <w:tc>
          <w:p>
            <w:pPr>
              <w:pStyle w:val="Compact"/>
              <w:jc w:val="left"/>
            </w:pPr>
            <w:r>
              <w:t xml:space="preserve">INDEC, serie 146.3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+3.35% m/m, marzo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Endeudamiento familiar</w:t>
            </w:r>
          </w:p>
        </w:tc>
        <w:tc>
          <w:p>
            <w:pPr>
              <w:pStyle w:val="Compact"/>
              <w:jc w:val="left"/>
            </w:pPr>
            <w:r>
              <w:t xml:space="preserve">BCRA API v4.0 (tarjeta, personales, hipotecarios, consumo)</w:t>
            </w:r>
          </w:p>
        </w:tc>
        <w:tc>
          <w:p>
            <w:pPr>
              <w:pStyle w:val="Compact"/>
              <w:jc w:val="left"/>
            </w:pPr>
            <w:r>
              <w:t xml:space="preserve">Diaria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$129.334 millones, mayo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Peso de tarifas</w:t>
            </w:r>
          </w:p>
        </w:tc>
        <w:tc>
          <w:p>
            <w:pPr>
              <w:pStyle w:val="Compact"/>
              <w:jc w:val="left"/>
            </w:pPr>
            <w:r>
              <w:t xml:space="preserve">INDEC, IPC vivienda + IPC regulados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+3.71% / +5.08%, marzo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Consumo de carne vacuna</w:t>
            </w:r>
          </w:p>
        </w:tc>
        <w:tc>
          <w:p>
            <w:pPr>
              <w:pStyle w:val="Compact"/>
              <w:jc w:val="left"/>
            </w:pPr>
            <w:r>
              <w:t xml:space="preserve">CICCRA, parsing de PDF mensual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abril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Informalidad laboral</w:t>
            </w:r>
          </w:p>
        </w:tc>
        <w:tc>
          <w:p>
            <w:pPr>
              <w:pStyle w:val="Compact"/>
              <w:jc w:val="left"/>
            </w:pPr>
            <w:r>
              <w:t xml:space="preserve">INDEC, asalariados sin descuento</w:t>
            </w:r>
          </w:p>
        </w:tc>
        <w:tc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36.75%, enero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Mortalidad de PyMEs</w:t>
            </w:r>
          </w:p>
        </w:tc>
        <w:tc>
          <w:p>
            <w:pPr>
              <w:pStyle w:val="Compact"/>
              <w:jc w:val="left"/>
            </w:pPr>
            <w:r>
              <w:t xml:space="preserve">INDEC, IPI manufacturero + EMAE (proxy)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febrero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Despacho de cemento e hierro</w:t>
            </w:r>
          </w:p>
        </w:tc>
        <w:tc>
          <w:p>
            <w:pPr>
              <w:pStyle w:val="Compact"/>
              <w:jc w:val="left"/>
            </w:pPr>
            <w:r>
              <w:t xml:space="preserve">INDEC, ISAC + acero crudo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143.5 / 731.6, febrero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Pluriempleo</w:t>
            </w:r>
          </w:p>
        </w:tc>
        <w:tc>
          <w:p>
            <w:pPr>
              <w:pStyle w:val="Compact"/>
              <w:jc w:val="left"/>
            </w:pPr>
            <w:r>
              <w:t xml:space="preserve">INDEC EPH, subocupación demandante (proxy)</w:t>
            </w:r>
          </w:p>
        </w:tc>
        <w:tc>
          <w:p>
            <w:pPr>
              <w:pStyle w:val="Compact"/>
              <w:jc w:val="left"/>
            </w:pPr>
            <w:r>
              <w:t xml:space="preserve">Trimestral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7.8%, octubre 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Inseguridad urbana</w:t>
            </w:r>
          </w:p>
        </w:tc>
        <w:tc>
          <w:p>
            <w:pPr>
              <w:pStyle w:val="Compact"/>
              <w:jc w:val="left"/>
            </w:pPr>
            <w:r>
              <w:t xml:space="preserve">SNIC + datos abiertos CABA</w:t>
            </w:r>
          </w:p>
        </w:tc>
        <w:tc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2.501.057 hechos, 2024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ICC Confianza del Consumidor</w:t>
            </w:r>
          </w:p>
        </w:tc>
        <w:tc>
          <w:p>
            <w:pPr>
              <w:pStyle w:val="Compact"/>
              <w:jc w:val="left"/>
            </w:pPr>
            <w:r>
              <w:t xml:space="preserve">UTDT, scraping XLS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40.5, mayo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Sentimiento digital</w:t>
            </w:r>
          </w:p>
        </w:tc>
        <w:tc>
          <w:p>
            <w:pPr>
              <w:pStyle w:val="Compact"/>
              <w:jc w:val="left"/>
            </w:pPr>
            <w:r>
              <w:t xml:space="preserve">Google Trends vía pytrends (4 términos)</w:t>
            </w:r>
          </w:p>
        </w:tc>
        <w:tc>
          <w:p>
            <w:pPr>
              <w:pStyle w:val="Compact"/>
              <w:jc w:val="left"/>
            </w:pPr>
            <w:r>
              <w:t xml:space="preserve">Tiempo real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inflación 1.8, precios 9.2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Apatía electoral</w:t>
            </w:r>
          </w:p>
        </w:tc>
        <w:tc>
          <w:p>
            <w:pPr>
              <w:pStyle w:val="Compact"/>
              <w:jc w:val="left"/>
            </w:pPr>
            <w:r>
              <w:t xml:space="preserve">Votómetro CIGOB (implementado en cinturón Política como</w:t>
            </w:r>
            <w:r>
              <w:t xml:space="preserve"> </w:t>
            </w:r>
            <w:r>
              <w:rPr>
                <w:rStyle w:val="VerbatimChar"/>
              </w:rPr>
              <w:t xml:space="preserve">votometro_ventaja_lla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Continua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+13.3 pp LLA−PJ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Espera en salud pública</w:t>
            </w:r>
          </w:p>
        </w:tc>
        <w:tc>
          <w:p>
            <w:pPr>
              <w:pStyle w:val="Compact"/>
              <w:jc w:val="left"/>
            </w:pPr>
            <w:r>
              <w:t xml:space="preserve">DEIS / CKAN (solo enumera datasets disponibles)</w:t>
            </w:r>
          </w:p>
        </w:tc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Automático parcial</w:t>
            </w:r>
          </w:p>
        </w:tc>
        <w:tc>
          <w:p>
            <w:pPr>
              <w:pStyle w:val="Compact"/>
              <w:jc w:val="left"/>
            </w:pPr>
            <w:r>
              <w:t xml:space="preserve">3 datasets identificados</w:t>
            </w:r>
          </w:p>
        </w:tc>
      </w:tr>
    </w:tbl>
    <w:bookmarkEnd w:id="21"/>
    <w:bookmarkStart w:id="22" w:name="indicador-de-carga-manual"/>
    <w:p>
      <w:pPr>
        <w:pStyle w:val="Heading3"/>
      </w:pPr>
      <w:r>
        <w:t xml:space="preserve">Indicador de carga manual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p>
            <w:pPr>
              <w:pStyle w:val="Compact"/>
              <w:jc w:val="left"/>
            </w:pPr>
            <w:r>
              <w:t xml:space="preserve">Razón de carga 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Deserción escolar</w:t>
            </w:r>
          </w:p>
        </w:tc>
        <w:tc>
          <w:p>
            <w:pPr>
              <w:pStyle w:val="Compact"/>
              <w:jc w:val="left"/>
            </w:pPr>
            <w:r>
              <w:t xml:space="preserve">Sin serie mensual disponible. Ministerio de Educación publica datos con rezago anual; carga manual en cada actualización ministerial.</w:t>
            </w:r>
          </w:p>
        </w:tc>
      </w:tr>
    </w:tbl>
    <w:bookmarkEnd w:id="22"/>
    <w:bookmarkStart w:id="23" w:name="indicador-adicional-implementado"/>
    <w:p>
      <w:pPr>
        <w:pStyle w:val="Heading3"/>
      </w:pPr>
      <w:r>
        <w:t xml:space="preserve">Indicador adicional implementado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p>
            <w:pPr>
              <w:pStyle w:val="Compact"/>
              <w:jc w:val="left"/>
            </w:pPr>
            <w:r>
              <w:t xml:space="preserve">Comentario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Patentamiento de motos</w:t>
            </w:r>
          </w:p>
        </w:tc>
        <w:tc>
          <w:p>
            <w:pPr>
              <w:pStyle w:val="Compact"/>
              <w:jc w:val="left"/>
            </w:pPr>
            <w:r>
              <w:t xml:space="preserve">CAFAM</w:t>
            </w:r>
          </w:p>
        </w:tc>
        <w:tc>
          <w:p>
            <w:pPr>
              <w:pStyle w:val="Compact"/>
              <w:jc w:val="left"/>
            </w:pPr>
            <w:r>
              <w:t xml:space="preserve">Proxy de consumo discrecional. 51.124 unidades en mayo 2026.</w:t>
            </w:r>
          </w:p>
        </w:tc>
      </w:tr>
    </w:tbl>
    <w:bookmarkEnd w:id="23"/>
    <w:bookmarkStart w:id="24" w:name="observación-técnica"/>
    <w:p>
      <w:pPr>
        <w:pStyle w:val="Heading3"/>
      </w:pPr>
      <w:r>
        <w:t xml:space="preserve">Observación técnica</w:t>
      </w:r>
    </w:p>
    <w:p>
      <w:pPr>
        <w:pStyle w:val="FirstParagraph"/>
      </w:pPr>
      <w:r>
        <w:t xml:space="preserve">El script puente</w:t>
      </w:r>
      <w:r>
        <w:t xml:space="preserve"> </w:t>
      </w:r>
      <w:r>
        <w:rPr>
          <w:rStyle w:val="VerbatimChar"/>
        </w:rPr>
        <w:t xml:space="preserve">scripts/vida_cotidiana.py</w:t>
      </w:r>
      <w:r>
        <w:t xml:space="preserve"> </w:t>
      </w:r>
      <w:r>
        <w:t xml:space="preserve">—que integra con el orquestador global del informe— solo expone tres indicadores legacy (</w:t>
      </w:r>
      <w:r>
        <w:rPr>
          <w:rStyle w:val="VerbatimChar"/>
        </w:rPr>
        <w:t xml:space="preserve">ipc_total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desocupacion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icc_utdt</w:t>
      </w:r>
      <w:r>
        <w:t xml:space="preserve">). El dashboard agregado del informe debe migrarse a leer del output</w:t>
      </w:r>
      <w:r>
        <w:t xml:space="preserve"> </w:t>
      </w:r>
      <w:r>
        <w:rPr>
          <w:rStyle w:val="VerbatimChar"/>
        </w:rPr>
        <w:t xml:space="preserve">scripts/vida_cotidiana/data/vida_cotidiana_*.json</w:t>
      </w:r>
      <w:r>
        <w:t xml:space="preserve"> </w:t>
      </w:r>
      <w:r>
        <w:t xml:space="preserve">para acceder a los 14 indicadores.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cinturón-de-la-macroeconomía"/>
    <w:p>
      <w:pPr>
        <w:pStyle w:val="Heading2"/>
      </w:pPr>
      <w:r>
        <w:t xml:space="preserve">2. Cinturón de la Macroeconomía</w:t>
      </w:r>
    </w:p>
    <w:p>
      <w:pPr>
        <w:pStyle w:val="FirstParagraph"/>
      </w:pPr>
      <w:r>
        <w:t xml:space="preserve">Script:</w:t>
      </w:r>
      <w:r>
        <w:t xml:space="preserve"> </w:t>
      </w:r>
      <w:r>
        <w:rPr>
          <w:rStyle w:val="VerbatimChar"/>
        </w:rPr>
        <w:t xml:space="preserve">scripts/macro.py</w:t>
      </w:r>
      <w:r>
        <w:t xml:space="preserve">. Once de once indicadores activos. Score actual: 2.1 (estable). Última corrida: 23 de mayo de 2026, todos los indicadores frescos.</w:t>
      </w:r>
    </w:p>
    <w:bookmarkStart w:id="26" w:name="indicadores-activos-1"/>
    <w:p>
      <w:pPr>
        <w:pStyle w:val="Heading3"/>
      </w:pPr>
      <w:r>
        <w:t xml:space="preserve">Indicadores activos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p>
            <w:pPr>
              <w:pStyle w:val="Compact"/>
              <w:jc w:val="left"/>
            </w:pPr>
            <w:r>
              <w:t xml:space="preserve">Qué mide</w:t>
            </w:r>
          </w:p>
        </w:tc>
        <w:tc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p>
            <w:pPr>
              <w:pStyle w:val="Compact"/>
              <w:jc w:val="left"/>
            </w:pPr>
            <w:r>
              <w:t xml:space="preserve">Último valor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IPC total</w:t>
            </w:r>
          </w:p>
        </w:tc>
        <w:tc>
          <w:p>
            <w:pPr>
              <w:pStyle w:val="Compact"/>
              <w:jc w:val="left"/>
            </w:pPr>
            <w:r>
              <w:t xml:space="preserve">Inflación mensual nacional</w:t>
            </w:r>
          </w:p>
        </w:tc>
        <w:tc>
          <w:p>
            <w:pPr>
              <w:pStyle w:val="Compact"/>
              <w:jc w:val="left"/>
            </w:pPr>
            <w:r>
              <w:t xml:space="preserve">INDEC, serie 148.3</w:t>
            </w:r>
          </w:p>
        </w:tc>
        <w:tc>
          <w:p>
            <w:pPr>
              <w:pStyle w:val="Compact"/>
              <w:jc w:val="left"/>
            </w:pPr>
            <w:r>
              <w:t xml:space="preserve">3.38% m/m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Reservas BCRA</w:t>
            </w:r>
          </w:p>
        </w:tc>
        <w:tc>
          <w:p>
            <w:pPr>
              <w:pStyle w:val="Compact"/>
              <w:jc w:val="left"/>
            </w:pPr>
            <w:r>
              <w:t xml:space="preserve">Reservas internacionales brutas</w:t>
            </w:r>
          </w:p>
        </w:tc>
        <w:tc>
          <w:p>
            <w:pPr>
              <w:pStyle w:val="Compact"/>
              <w:jc w:val="left"/>
            </w:pPr>
            <w:r>
              <w:t xml:space="preserve">BCRA API v4.0, variable 1</w:t>
            </w:r>
          </w:p>
        </w:tc>
        <w:tc>
          <w:p>
            <w:pPr>
              <w:pStyle w:val="Compact"/>
              <w:jc w:val="left"/>
            </w:pPr>
            <w:r>
              <w:t xml:space="preserve">46.585 millones USD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Tasa BADLAR</w:t>
            </w:r>
          </w:p>
        </w:tc>
        <w:tc>
          <w:p>
            <w:pPr>
              <w:pStyle w:val="Compact"/>
              <w:jc w:val="left"/>
            </w:pPr>
            <w:r>
              <w:t xml:space="preserve">Costo del dinero para depósitos mayoristas</w:t>
            </w:r>
          </w:p>
        </w:tc>
        <w:tc>
          <w:p>
            <w:pPr>
              <w:pStyle w:val="Compact"/>
              <w:jc w:val="left"/>
            </w:pPr>
            <w:r>
              <w:t xml:space="preserve">BCRA API v4.0, variable 7</w:t>
            </w:r>
          </w:p>
        </w:tc>
        <w:tc>
          <w:p>
            <w:pPr>
              <w:pStyle w:val="Compact"/>
              <w:jc w:val="left"/>
            </w:pPr>
            <w:r>
              <w:t xml:space="preserve">22.0% 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EMAE (variación interanual)</w:t>
            </w:r>
          </w:p>
        </w:tc>
        <w:tc>
          <w:p>
            <w:pPr>
              <w:pStyle w:val="Compact"/>
              <w:jc w:val="left"/>
            </w:pPr>
            <w:r>
              <w:t xml:space="preserve">Actividad económica adelantada</w:t>
            </w:r>
          </w:p>
        </w:tc>
        <w:tc>
          <w:p>
            <w:pPr>
              <w:pStyle w:val="Compact"/>
              <w:jc w:val="left"/>
            </w:pPr>
            <w:r>
              <w:t xml:space="preserve">INDEC, serie 143.3</w:t>
            </w:r>
          </w:p>
        </w:tc>
        <w:tc>
          <w:p>
            <w:pPr>
              <w:pStyle w:val="Compact"/>
              <w:jc w:val="left"/>
            </w:pPr>
            <w:r>
              <w:t xml:space="preserve">+1.88% i.a.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Saldo comercial 12 meses</w:t>
            </w:r>
          </w:p>
        </w:tc>
        <w:tc>
          <w:p>
            <w:pPr>
              <w:pStyle w:val="Compact"/>
              <w:jc w:val="left"/>
            </w:pPr>
            <w:r>
              <w:t xml:space="preserve">Balance exportaciones-importaciones acumulado</w:t>
            </w:r>
          </w:p>
        </w:tc>
        <w:tc>
          <w:p>
            <w:pPr>
              <w:pStyle w:val="Compact"/>
              <w:jc w:val="left"/>
            </w:pPr>
            <w:r>
              <w:t xml:space="preserve">INDEC, serie 164.3</w:t>
            </w:r>
          </w:p>
        </w:tc>
        <w:tc>
          <w:p>
            <w:pPr>
              <w:pStyle w:val="Compact"/>
              <w:jc w:val="left"/>
            </w:pPr>
            <w:r>
              <w:t xml:space="preserve">+17.125 millones USD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Recaudación tributaria</w:t>
            </w:r>
          </w:p>
        </w:tc>
        <w:tc>
          <w:p>
            <w:pPr>
              <w:pStyle w:val="Compact"/>
              <w:jc w:val="left"/>
            </w:pPr>
            <w:r>
              <w:t xml:space="preserve">Variación mensual recaudación total</w:t>
            </w:r>
          </w:p>
        </w:tc>
        <w:tc>
          <w:p>
            <w:pPr>
              <w:pStyle w:val="Compact"/>
              <w:jc w:val="left"/>
            </w:pPr>
            <w:r>
              <w:t xml:space="preserve">INDEC/AFIP, serie 172.3</w:t>
            </w:r>
          </w:p>
        </w:tc>
        <w:tc>
          <w:p>
            <w:pPr>
              <w:pStyle w:val="Compact"/>
              <w:jc w:val="left"/>
            </w:pPr>
            <w:r>
              <w:t xml:space="preserve">−0.99% var. 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TCRM</w:t>
            </w:r>
          </w:p>
        </w:tc>
        <w:tc>
          <w:p>
            <w:pPr>
              <w:pStyle w:val="Compact"/>
              <w:jc w:val="left"/>
            </w:pPr>
            <w:r>
              <w:t xml:space="preserve">Tipo de cambio real multilateral</w:t>
            </w:r>
          </w:p>
        </w:tc>
        <w:tc>
          <w:p>
            <w:pPr>
              <w:pStyle w:val="Compact"/>
              <w:jc w:val="left"/>
            </w:pPr>
            <w:r>
              <w:t xml:space="preserve">INDEC, serie 116.3 (base 2010=100)</w:t>
            </w:r>
          </w:p>
        </w:tc>
        <w:tc>
          <w:p>
            <w:pPr>
              <w:pStyle w:val="Compact"/>
              <w:jc w:val="left"/>
            </w:pPr>
            <w:r>
              <w:t xml:space="preserve">79.77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Expectativas inflación (REM)</w:t>
            </w:r>
          </w:p>
        </w:tc>
        <w:tc>
          <w:p>
            <w:pPr>
              <w:pStyle w:val="Compact"/>
              <w:jc w:val="left"/>
            </w:pPr>
            <w:r>
              <w:t xml:space="preserve">Proyección del mercado a 12 meses</w:t>
            </w:r>
          </w:p>
        </w:tc>
        <w:tc>
          <w:p>
            <w:pPr>
              <w:pStyle w:val="Compact"/>
              <w:jc w:val="left"/>
            </w:pPr>
            <w:r>
              <w:t xml:space="preserve">BCRA API v4.0, variable 29</w:t>
            </w:r>
          </w:p>
        </w:tc>
        <w:tc>
          <w:p>
            <w:pPr>
              <w:pStyle w:val="Compact"/>
              <w:jc w:val="left"/>
            </w:pPr>
            <w:r>
              <w:t xml:space="preserve">24.2% 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Préstamos privados</w:t>
            </w:r>
          </w:p>
        </w:tc>
        <w:tc>
          <w:p>
            <w:pPr>
              <w:pStyle w:val="Compact"/>
              <w:jc w:val="left"/>
            </w:pPr>
            <w:r>
              <w:t xml:space="preserve">Variación crédito bancario al sector privado</w:t>
            </w:r>
          </w:p>
        </w:tc>
        <w:tc>
          <w:p>
            <w:pPr>
              <w:pStyle w:val="Compact"/>
              <w:jc w:val="left"/>
            </w:pPr>
            <w:r>
              <w:t xml:space="preserve">BCRA API v4.0, variable 26</w:t>
            </w:r>
          </w:p>
        </w:tc>
        <w:tc>
          <w:p>
            <w:pPr>
              <w:pStyle w:val="Compact"/>
              <w:jc w:val="left"/>
            </w:pPr>
            <w:r>
              <w:t xml:space="preserve">+2.13% var. 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monetaria</w:t>
            </w:r>
          </w:p>
        </w:tc>
        <w:tc>
          <w:p>
            <w:pPr>
              <w:pStyle w:val="Compact"/>
              <w:jc w:val="left"/>
            </w:pPr>
            <w:r>
              <w:t xml:space="preserve">Variación billetes + reservas bancarias</w:t>
            </w:r>
          </w:p>
        </w:tc>
        <w:tc>
          <w:p>
            <w:pPr>
              <w:pStyle w:val="Compact"/>
              <w:jc w:val="left"/>
            </w:pPr>
            <w:r>
              <w:t xml:space="preserve">BCRA API v4.0, variable 15</w:t>
            </w:r>
          </w:p>
        </w:tc>
        <w:tc>
          <w:p>
            <w:pPr>
              <w:pStyle w:val="Compact"/>
              <w:jc w:val="left"/>
            </w:pPr>
            <w:r>
              <w:t xml:space="preserve">+0.7% var. 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Tipo de cambio mayorista</w:t>
            </w:r>
          </w:p>
        </w:tc>
        <w:tc>
          <w:p>
            <w:pPr>
              <w:pStyle w:val="Compact"/>
              <w:jc w:val="left"/>
            </w:pPr>
            <w:r>
              <w:t xml:space="preserve">Variación tipo de cambio oficial referencia</w:t>
            </w:r>
          </w:p>
        </w:tc>
        <w:tc>
          <w:p>
            <w:pPr>
              <w:pStyle w:val="Compact"/>
              <w:jc w:val="left"/>
            </w:pPr>
            <w:r>
              <w:t xml:space="preserve">BCRA API v4.0, variable 5</w:t>
            </w:r>
          </w:p>
        </w:tc>
        <w:tc>
          <w:p>
            <w:pPr>
              <w:pStyle w:val="Compact"/>
              <w:jc w:val="left"/>
            </w:pPr>
            <w:r>
              <w:t xml:space="preserve">−0.27% var. m</w:t>
            </w:r>
          </w:p>
        </w:tc>
      </w:tr>
    </w:tbl>
    <w:bookmarkEnd w:id="26"/>
    <w:bookmarkStart w:id="27" w:name="Xd689e327162bbd1f084f808c32229ea1f0208f7"/>
    <w:p>
      <w:pPr>
        <w:pStyle w:val="Heading3"/>
      </w:pPr>
      <w:r>
        <w:t xml:space="preserve">Indicadores no implementados del documento base</w:t>
      </w:r>
    </w:p>
    <w:p>
      <w:pPr>
        <w:pStyle w:val="FirstParagraph"/>
      </w:pPr>
      <w:r>
        <w:t xml:space="preserve">El documento base listó 8 indicadores adicionales bajo</w:t>
      </w:r>
      <w:r>
        <w:t xml:space="preserve"> </w:t>
      </w:r>
      <w:r>
        <w:t xml:space="preserve">“</w:t>
      </w:r>
      <w:r>
        <w:t xml:space="preserve">Perspectiva Matusiana en diseño</w:t>
      </w:r>
      <w:r>
        <w:t xml:space="preserve">”</w:t>
      </w:r>
      <w:r>
        <w:t xml:space="preserve">. Estado actual: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p>
            <w:pPr>
              <w:pStyle w:val="Compact"/>
              <w:jc w:val="left"/>
            </w:pPr>
            <w:r>
              <w:t xml:space="preserve">Comentario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Tasa de desempleo / subocupación</w:t>
            </w:r>
          </w:p>
        </w:tc>
        <w:tc>
          <w:p>
            <w:pPr>
              <w:pStyle w:val="Compact"/>
              <w:jc w:val="left"/>
            </w:pPr>
            <w:r>
              <w:t xml:space="preserve">Disponible</w:t>
            </w:r>
          </w:p>
        </w:tc>
        <w:tc>
          <w:p>
            <w:pPr>
              <w:pStyle w:val="Compact"/>
              <w:jc w:val="left"/>
            </w:pPr>
            <w:r>
              <w:t xml:space="preserve">Ya se extrae en cinturón Vida Cotidiana (EPH INDEC). Pendiente: exponerlo también en Macro.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Pobreza por ingresos (proxy)</w:t>
            </w:r>
          </w:p>
        </w:tc>
        <w:tc>
          <w:p>
            <w:pPr>
              <w:pStyle w:val="Compact"/>
              <w:jc w:val="left"/>
            </w:pPr>
            <w:r>
              <w:t xml:space="preserve">Disponible</w:t>
            </w:r>
          </w:p>
        </w:tc>
        <w:tc>
          <w:p>
            <w:pPr>
              <w:pStyle w:val="Compact"/>
              <w:jc w:val="left"/>
            </w:pPr>
            <w:r>
              <w:t xml:space="preserve">Construible con CBT, CBA y RIPTE, todos ya extraídos en Vida Cotidiana.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Brecha cambiaria</w:t>
            </w:r>
          </w:p>
        </w:tc>
        <w:tc>
          <w:p>
            <w:pPr>
              <w:pStyle w:val="Compact"/>
              <w:jc w:val="left"/>
            </w:pPr>
            <w:r>
              <w:t xml:space="preserve">Disponible</w:t>
            </w:r>
          </w:p>
        </w:tc>
        <w:tc>
          <w:p>
            <w:pPr>
              <w:pStyle w:val="Compact"/>
              <w:jc w:val="left"/>
            </w:pPr>
            <w:r>
              <w:t xml:space="preserve">Ya implementado como</w:t>
            </w:r>
            <w:r>
              <w:t xml:space="preserve"> </w:t>
            </w:r>
            <w:r>
              <w:rPr>
                <w:rStyle w:val="VerbatimChar"/>
              </w:rPr>
              <w:t xml:space="preserve">cepo_mulc</w:t>
            </w:r>
            <w:r>
              <w:t xml:space="preserve"> </w:t>
            </w:r>
            <w:r>
              <w:t xml:space="preserve">en Gestión (brecha CCL/oficial, dolarapi.com).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Resultado fiscal financiero</w:t>
            </w:r>
          </w:p>
        </w:tc>
        <w:tc>
          <w:p>
            <w:pPr>
              <w:pStyle w:val="Compact"/>
              <w:jc w:val="left"/>
            </w:pPr>
            <w:r>
              <w:t xml:space="preserve">No implementado</w:t>
            </w:r>
          </w:p>
        </w:tc>
        <w:tc>
          <w:p>
            <w:pPr>
              <w:pStyle w:val="Compact"/>
              <w:jc w:val="left"/>
            </w:pPr>
            <w:r>
              <w:t xml:space="preserve">Fuente disponible: Ministerio de Economía, informe mensual de ejecución presupuestaria (PDF). Requiere parser de PDF.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Riesgo país (EMBI+)</w:t>
            </w:r>
          </w:p>
        </w:tc>
        <w:tc>
          <w:p>
            <w:pPr>
              <w:pStyle w:val="Compact"/>
              <w:jc w:val="left"/>
            </w:pPr>
            <w:r>
              <w:t xml:space="preserve">No implementado</w:t>
            </w:r>
          </w:p>
        </w:tc>
        <w:tc>
          <w:p>
            <w:pPr>
              <w:pStyle w:val="Compact"/>
              <w:jc w:val="left"/>
            </w:pPr>
            <w:r>
              <w:t xml:space="preserve">Fuente disponible: serie EMBI+ Argentina vía datos.gob.ar o scraping de Ámbito Financiero.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Deuda pública bruta / PBI</w:t>
            </w:r>
          </w:p>
        </w:tc>
        <w:tc>
          <w:p>
            <w:pPr>
              <w:pStyle w:val="Compact"/>
              <w:jc w:val="left"/>
            </w:pPr>
            <w:r>
              <w:t xml:space="preserve">No implementado</w:t>
            </w:r>
          </w:p>
        </w:tc>
        <w:tc>
          <w:p>
            <w:pPr>
              <w:pStyle w:val="Compact"/>
              <w:jc w:val="left"/>
            </w:pPr>
            <w:r>
              <w:t xml:space="preserve">Fuente disponible: Ministerio de Economía, Oficina de Crédito Público (publicación trimestral).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Utilización de capacidad instalada</w:t>
            </w:r>
          </w:p>
        </w:tc>
        <w:tc>
          <w:p>
            <w:pPr>
              <w:pStyle w:val="Compact"/>
              <w:jc w:val="left"/>
            </w:pPr>
            <w:r>
              <w:t xml:space="preserve">No implementado</w:t>
            </w:r>
          </w:p>
        </w:tc>
        <w:tc>
          <w:p>
            <w:pPr>
              <w:pStyle w:val="Compact"/>
              <w:jc w:val="left"/>
            </w:pPr>
            <w:r>
              <w:t xml:space="preserve">Fuente disponible: INDEC, serie UCI mensual. Pendiente identificación de serie en datos.gob.ar.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Formación bruta de capital fijo</w:t>
            </w:r>
          </w:p>
        </w:tc>
        <w:tc>
          <w:p>
            <w:pPr>
              <w:pStyle w:val="Compact"/>
              <w:jc w:val="left"/>
            </w:pPr>
            <w:r>
              <w:t xml:space="preserve">No implementado</w:t>
            </w:r>
          </w:p>
        </w:tc>
        <w:tc>
          <w:p>
            <w:pPr>
              <w:pStyle w:val="Compact"/>
              <w:jc w:val="left"/>
            </w:pPr>
            <w:r>
              <w:t xml:space="preserve">Fuente disponible: INDEC Cuentas Nacionales trimestrales.</w:t>
            </w:r>
          </w:p>
        </w:tc>
      </w:tr>
    </w:tbl>
    <w:p>
      <w:pPr>
        <w:pStyle w:val="BodyText"/>
      </w:pPr>
      <w:r>
        <w:t xml:space="preserve">Las 5 incorporaciones pendientes son técnicamente viables. Las 3 disponibles requieren únicamente exponerlas en el output de macro.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cinturón-de-la-política"/>
    <w:p>
      <w:pPr>
        <w:pStyle w:val="Heading2"/>
      </w:pPr>
      <w:r>
        <w:t xml:space="preserve">3. Cinturón de la Política</w:t>
      </w:r>
    </w:p>
    <w:p>
      <w:pPr>
        <w:pStyle w:val="FirstParagraph"/>
      </w:pPr>
      <w:r>
        <w:t xml:space="preserve">Script:</w:t>
      </w:r>
      <w:r>
        <w:t xml:space="preserve"> </w:t>
      </w:r>
      <w:r>
        <w:rPr>
          <w:rStyle w:val="VerbatimChar"/>
        </w:rPr>
        <w:t xml:space="preserve">scripts/politica.py</w:t>
      </w:r>
      <w:r>
        <w:t xml:space="preserve">. Siete indicadores automáticos y dos con carga manual. Score actual: 4.7 (en tensión). Última corrida: 23 de mayo de 2026, 8 de 9 indicadores frescos (CEPA cayó por error 404 en URL del informe).</w:t>
      </w:r>
    </w:p>
    <w:bookmarkStart w:id="29" w:name="X3302e7574b1a5550df56d0fd4c68ed4d50a9608"/>
    <w:p>
      <w:pPr>
        <w:pStyle w:val="Heading3"/>
      </w:pPr>
      <w:r>
        <w:t xml:space="preserve">Mapeo de los 10 indicadores propuestos en el documento base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Indicador del documento base</w:t>
            </w:r>
          </w:p>
        </w:tc>
        <w:tc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p>
            <w:pPr>
              <w:pStyle w:val="Compact"/>
              <w:jc w:val="left"/>
            </w:pPr>
            <w:r>
              <w:t xml:space="preserve">Implementación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Tasa de Eficacia Parlamentaria (TEP)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eficacia_legislativa</w:t>
            </w:r>
            <w:r>
              <w:t xml:space="preserve">. Fuente: datos.hcdn.gob.ar (CKAN, proyectos PE vs. sanciones, ventana 12 meses). Valor: 4.8% (1 de 21 proyectos).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Ratio DNU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ratio_dnu</w:t>
            </w:r>
            <w:r>
              <w:t xml:space="preserve">. Fuente: InfoLeg, sesión POST con conteo de DNUs y leyes del año corriente. Valor: 3.14 (22 DNU / 7 leyes).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Índice de Armonía Federal (IAF)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iaf_transferencias</w:t>
            </w:r>
            <w:r>
              <w:t xml:space="preserve">. Fuente: Hacienda, CSV serie RON. Mide variación real interanual de transferencias federales. Valor: +1.8% real.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Índice de Tensión Social (ITS)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movilizacion_cepa</w:t>
            </w:r>
            <w:r>
              <w:t xml:space="preserve">. Fuente: scraping de informes de centrocepa.com.ar. Valor: 46.0.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Tasa de Judicialización de la Gestión</w:t>
            </w:r>
          </w:p>
        </w:tc>
        <w:tc>
          <w:p>
            <w:pPr>
              <w:pStyle w:val="Compact"/>
              <w:jc w:val="left"/>
            </w:pPr>
            <w:r>
              <w:t xml:space="preserve">No implementable</w:t>
            </w:r>
          </w:p>
        </w:tc>
        <w:tc>
          <w:p>
            <w:pPr>
              <w:pStyle w:val="Compact"/>
              <w:jc w:val="left"/>
            </w:pPr>
            <w:r>
              <w:t xml:space="preserve">No existe fuente estructurada de medidas cautelares contra el Ejecutivo. CSJN no publica dataset abierto; juzgados federales requieren scraping caso por caso. Requiere desarrollo separado de scraper jurisprudencial.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 de Agenda (vida media de crisis vía Google Trends)</w:t>
            </w:r>
          </w:p>
        </w:tc>
        <w:tc>
          <w:p>
            <w:pPr>
              <w:pStyle w:val="Compact"/>
              <w:jc w:val="left"/>
            </w:pPr>
            <w:r>
              <w:t xml:space="preserve">No implementado</w:t>
            </w:r>
          </w:p>
        </w:tc>
        <w:tc>
          <w:p>
            <w:pPr>
              <w:pStyle w:val="Compact"/>
              <w:jc w:val="left"/>
            </w:pPr>
            <w:r>
              <w:t xml:space="preserve">Fuente disponible: pytrends, ya utilizada en cinturón Vida Cotidiana. Requiere definir lista de eventos a trackear y ventana de medición.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Tasa de Compromiso RIGI/RIMI provincial-sindical</w:t>
            </w:r>
          </w:p>
        </w:tc>
        <w:tc>
          <w:p>
            <w:pPr>
              <w:pStyle w:val="Compact"/>
              <w:jc w:val="left"/>
            </w:pPr>
            <w:r>
              <w:t xml:space="preserve">No implementable</w:t>
            </w:r>
          </w:p>
        </w:tc>
        <w:tc>
          <w:p>
            <w:pPr>
              <w:pStyle w:val="Compact"/>
              <w:jc w:val="left"/>
            </w:pPr>
            <w:r>
              <w:t xml:space="preserve">Requiere parseo cualitativo de declaraciones provinciales y sindicales sin formato común. No hay registro oficial de adhesiones.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Impacto del Clima Internacional</w:t>
            </w:r>
          </w:p>
        </w:tc>
        <w:tc>
          <w:p>
            <w:pPr>
              <w:pStyle w:val="Compact"/>
              <w:jc w:val="left"/>
            </w:pPr>
            <w:r>
              <w:t xml:space="preserve">No implementado</w:t>
            </w:r>
          </w:p>
        </w:tc>
        <w:tc>
          <w:p>
            <w:pPr>
              <w:pStyle w:val="Compact"/>
              <w:jc w:val="left"/>
            </w:pPr>
            <w:r>
              <w:t xml:space="preserve">Construible con calendario electoral regional + variación de spreads soberanos (EMBI Latam). Requiere diseño metodológico.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Tensión Estructural Discursiva</w:t>
            </w:r>
          </w:p>
        </w:tc>
        <w:tc>
          <w:p>
            <w:pPr>
              <w:pStyle w:val="Compact"/>
              <w:jc w:val="left"/>
            </w:pPr>
            <w:r>
              <w:t xml:space="preserve">No implementable</w:t>
            </w:r>
          </w:p>
        </w:tc>
        <w:tc>
          <w:p>
            <w:pPr>
              <w:pStyle w:val="Compact"/>
              <w:jc w:val="left"/>
            </w:pPr>
            <w:r>
              <w:t xml:space="preserve">Requiere NLP sobre redes sociales de diputados. Fuera del alcance del proyecto.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Independencia del Banco Central</w:t>
            </w:r>
          </w:p>
        </w:tc>
        <w:tc>
          <w:p>
            <w:pPr>
              <w:pStyle w:val="Compact"/>
              <w:jc w:val="left"/>
            </w:pPr>
            <w:r>
              <w:t xml:space="preserve">No aplica</w:t>
            </w:r>
          </w:p>
        </w:tc>
        <w:tc>
          <w:p>
            <w:pPr>
              <w:pStyle w:val="Compact"/>
              <w:jc w:val="left"/>
            </w:pPr>
            <w:r>
              <w:t xml:space="preserve">Indicador cualitativo sin proxy cuantitativo objetivo.</w:t>
            </w:r>
          </w:p>
        </w:tc>
      </w:tr>
    </w:tbl>
    <w:bookmarkEnd w:id="29"/>
    <w:bookmarkStart w:id="30" w:name="indicadores-adicionales-implementados"/>
    <w:p>
      <w:pPr>
        <w:pStyle w:val="Heading3"/>
      </w:pPr>
      <w:r>
        <w:t xml:space="preserve">Indicadores adicionales implementados</w:t>
      </w:r>
    </w:p>
    <w:p>
      <w:pPr>
        <w:pStyle w:val="FirstParagraph"/>
      </w:pPr>
      <w:r>
        <w:t xml:space="preserve">Se agregaron tres indicadores no listados en el documento base que refuerzan la dimensión legislativa del cinturón: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votometro_ventaja_lla</w:t>
            </w:r>
          </w:p>
        </w:tc>
        <w:tc>
          <w:p>
            <w:pPr>
              <w:pStyle w:val="Compact"/>
              <w:jc w:val="left"/>
            </w:pPr>
            <w:r>
              <w:t xml:space="preserve">Votómetro CIGOB, parsing del HTML</w:t>
            </w:r>
          </w:p>
        </w:tc>
        <w:tc>
          <w:p>
            <w:pPr>
              <w:pStyle w:val="Compact"/>
              <w:jc w:val="left"/>
            </w:pPr>
            <w:r>
              <w:t xml:space="preserve">+13.3 pp (LLA 41.8 / PJ 28.5, n=11 encuestas)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veto_quorum</w:t>
            </w:r>
          </w:p>
        </w:tc>
        <w:tc>
          <w:p>
            <w:pPr>
              <w:pStyle w:val="Compact"/>
              <w:jc w:val="left"/>
            </w:pPr>
            <w:r>
              <w:t xml:space="preserve">datos.hcdn.gob.ar (CKAN,</w:t>
            </w:r>
            <w:r>
              <w:t xml:space="preserve"> </w:t>
            </w:r>
            <w:r>
              <w:rPr>
                <w:rStyle w:val="VerbatimChar"/>
              </w:rPr>
              <w:t xml:space="preserve">REUNION_TIPO</w:t>
            </w:r>
            <w:r>
              <w:t xml:space="preserve"> </w:t>
            </w:r>
            <w:r>
              <w:t xml:space="preserve">con substring</w:t>
            </w:r>
            <w:r>
              <w:t xml:space="preserve"> </w:t>
            </w:r>
            <w:r>
              <w:t xml:space="preserve">“</w:t>
            </w:r>
            <w:r>
              <w:t xml:space="preserve">Fracasada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0.0% (0 de 2 sesiones período 144)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comisiones_caidas</w:t>
            </w:r>
          </w:p>
        </w:tc>
        <w:tc>
          <w:p>
            <w:pPr>
              <w:pStyle w:val="Compact"/>
              <w:jc w:val="left"/>
            </w:pPr>
            <w:r>
              <w:t xml:space="preserve">datos.hcdn.gob.ar (CKAN, dictámenes OD vs. sanciones)</w:t>
            </w:r>
          </w:p>
        </w:tc>
        <w:tc>
          <w:p>
            <w:pPr>
              <w:pStyle w:val="Compact"/>
              <w:jc w:val="left"/>
            </w:pPr>
            <w:r>
              <w:t xml:space="preserve">99.6% (519 de 521 sin sanción)</w:t>
            </w:r>
          </w:p>
        </w:tc>
      </w:tr>
    </w:tbl>
    <w:bookmarkEnd w:id="30"/>
    <w:bookmarkStart w:id="31" w:name="indicadores-con-carga-manual"/>
    <w:p>
      <w:pPr>
        <w:pStyle w:val="Heading3"/>
      </w:pPr>
      <w:r>
        <w:t xml:space="preserve">Indicadores con carga manual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p>
            <w:pPr>
              <w:pStyle w:val="Compact"/>
              <w:jc w:val="left"/>
            </w:pPr>
            <w:r>
              <w:t xml:space="preserve">Razón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cohesion_bloque</w:t>
            </w:r>
          </w:p>
        </w:tc>
        <w:tc>
          <w:p>
            <w:pPr>
              <w:pStyle w:val="Compact"/>
              <w:jc w:val="left"/>
            </w:pPr>
            <w:r>
              <w:t xml:space="preserve">Las votaciones nominales en CKAN HCDN están congeladas en el período 137 (2019). La composición actual del bloque LLA (95 diputados) está disponible pero sin</w:t>
            </w:r>
            <w:r>
              <w:t xml:space="preserve"> </w:t>
            </w:r>
            <w:r>
              <w:rPr>
                <w:rStyle w:val="VerbatimChar"/>
              </w:rPr>
              <w:t xml:space="preserve">PERSONA_ID</w:t>
            </w:r>
            <w:r>
              <w:t xml:space="preserve"> </w:t>
            </w:r>
            <w:r>
              <w:t xml:space="preserve">que mapee a votos históricos. Requeriría headless browser sobre hcdn.gob.ar/votaciones o acuerdo institucional con HCDN.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gobernadores_alineamiento</w:t>
            </w:r>
          </w:p>
        </w:tc>
        <w:tc>
          <w:p>
            <w:pPr>
              <w:pStyle w:val="Compact"/>
              <w:jc w:val="left"/>
            </w:pPr>
            <w:r>
              <w:t xml:space="preserve">Sin fuente pública estructurada. Construible con NLP sobre cobertura periodística (La Nación Data, Infobae) pero requiere proyecto separado.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0" w:name="cinturón-de-gestión"/>
    <w:p>
      <w:pPr>
        <w:pStyle w:val="Heading2"/>
      </w:pPr>
      <w:r>
        <w:t xml:space="preserve">4. Cinturón de Gestión</w:t>
      </w:r>
    </w:p>
    <w:p>
      <w:pPr>
        <w:pStyle w:val="FirstParagraph"/>
      </w:pPr>
      <w:r>
        <w:t xml:space="preserve">Script:</w:t>
      </w:r>
      <w:r>
        <w:t xml:space="preserve"> </w:t>
      </w:r>
      <w:r>
        <w:rPr>
          <w:rStyle w:val="VerbatimChar"/>
        </w:rPr>
        <w:t xml:space="preserve">scripts/gestion.py</w:t>
      </w:r>
      <w:r>
        <w:t xml:space="preserve">. Doce de doce indicadores con dato (6 automáticos + 4 carga manual + 2 sin fuente). Score actual: 5.9 (en tensión). Última corrida: 23 de mayo de 2026, automáticos frescos 6 de 6.</w:t>
      </w:r>
    </w:p>
    <w:bookmarkStart w:id="33" w:name="X8cceaab718de203f52273476d04098b6dd7f1dc"/>
    <w:p>
      <w:pPr>
        <w:pStyle w:val="Heading3"/>
      </w:pPr>
      <w:r>
        <w:t xml:space="preserve">Mapeo de los 12 indicadores del documento base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Eje del documento base</w:t>
            </w:r>
          </w:p>
        </w:tc>
        <w:tc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p>
            <w:pPr>
              <w:pStyle w:val="Compact"/>
              <w:jc w:val="left"/>
            </w:pPr>
            <w:r>
              <w:t xml:space="preserve">Avance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Desmantelamiento del cepo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cepo_mulc</w:t>
            </w:r>
          </w:p>
        </w:tc>
        <w:tc>
          <w:p>
            <w:pPr>
              <w:pStyle w:val="Compact"/>
              <w:jc w:val="left"/>
            </w:pPr>
            <w:r>
              <w:t xml:space="preserve">dolarapi.com, brecha CCL/oficial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78.4% (brecha 4.32%)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Reducción del Estado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reduccion_estado</w:t>
            </w:r>
          </w:p>
        </w:tc>
        <w:tc>
          <w:p>
            <w:pPr>
              <w:pStyle w:val="Compact"/>
              <w:jc w:val="left"/>
            </w:pPr>
            <w:r>
              <w:t xml:space="preserve">datos.gob.ar, serie 324.1 (puestos de trabajo sector público)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2.7% (variación −0.8%)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Reestructuración de organismos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reestructuracion_organismos</w:t>
            </w:r>
          </w:p>
        </w:tc>
        <w:tc>
          <w:p>
            <w:pPr>
              <w:pStyle w:val="Compact"/>
              <w:jc w:val="left"/>
            </w:pPr>
            <w:r>
              <w:t xml:space="preserve">InfoLeg, sesión POST con</w:t>
            </w:r>
            <w:r>
              <w:t xml:space="preserve"> </w:t>
            </w:r>
            <w:r>
              <w:rPr>
                <w:rStyle w:val="VerbatimChar"/>
              </w:rPr>
              <w:t xml:space="preserve">texto="disolucion"</w:t>
            </w:r>
            <w:r>
              <w:t xml:space="preserve"> </w:t>
            </w:r>
            <w:r>
              <w:t xml:space="preserve">desde diciembre 2023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40.0% (18 normas)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Inversiones (RIGI / Super RIGI)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rigi_inversiones</w:t>
            </w:r>
          </w:p>
        </w:tc>
        <w:tc>
          <w:p>
            <w:pPr>
              <w:pStyle w:val="Compact"/>
              <w:jc w:val="left"/>
            </w:pPr>
            <w:r>
              <w:t xml:space="preserve">InfoLeg, sesión POST con</w:t>
            </w:r>
            <w:r>
              <w:t xml:space="preserve"> </w:t>
            </w:r>
            <w:r>
              <w:rPr>
                <w:rStyle w:val="VerbatimChar"/>
              </w:rPr>
              <w:t xml:space="preserve">tipoNorma=3 texto="VPU"</w:t>
            </w:r>
            <w:r>
              <w:t xml:space="preserve"> </w:t>
            </w:r>
            <w:r>
              <w:t xml:space="preserve">desde julio 2024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28.0% (28 resoluciones VPU)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Desregulación normativa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desregulacion_normativa</w:t>
            </w:r>
          </w:p>
        </w:tc>
        <w:tc>
          <w:p>
            <w:pPr>
              <w:pStyle w:val="Compact"/>
              <w:jc w:val="left"/>
            </w:pPr>
            <w:r>
              <w:t xml:space="preserve">InfoLeg, sesión POST con</w:t>
            </w:r>
            <w:r>
              <w:t xml:space="preserve"> </w:t>
            </w:r>
            <w:r>
              <w:rPr>
                <w:rStyle w:val="VerbatimChar"/>
              </w:rPr>
              <w:t xml:space="preserve">texto="deroga"</w:t>
            </w:r>
            <w:r>
              <w:t xml:space="preserve"> </w:t>
            </w:r>
            <w:r>
              <w:t xml:space="preserve">desde diciembre 2023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55.0% (55 normas)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Apertura comercial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apertura_comercial</w:t>
            </w:r>
          </w:p>
        </w:tc>
        <w:tc>
          <w:p>
            <w:pPr>
              <w:pStyle w:val="Compact"/>
              <w:jc w:val="left"/>
            </w:pPr>
            <w:r>
              <w:t xml:space="preserve">datos.gob.ar, serie 163.3 (importaciones totales, proxy)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  <w:tc>
          <w:p>
            <w:pPr>
              <w:pStyle w:val="Compact"/>
              <w:jc w:val="left"/>
            </w:pPr>
            <w:r>
              <w:t xml:space="preserve">100.0% (+42.4% i.a.)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Concesiones de infraestructura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concesiones_infraestructura</w:t>
            </w:r>
          </w:p>
        </w:tc>
        <w:tc>
          <w:p>
            <w:pPr>
              <w:pStyle w:val="Compact"/>
              <w:jc w:val="left"/>
            </w:pPr>
            <w:r>
              <w:t xml:space="preserve">manuales.json</w:t>
            </w:r>
          </w:p>
        </w:tc>
        <w:tc>
          <w:p>
            <w:pPr>
              <w:pStyle w:val="Compact"/>
              <w:jc w:val="left"/>
            </w:pPr>
            <w:r>
              <w:t xml:space="preserve">Carga manual</w:t>
            </w:r>
          </w:p>
        </w:tc>
        <w:tc>
          <w:p>
            <w:pPr>
              <w:pStyle w:val="Compact"/>
              <w:jc w:val="left"/>
            </w:pPr>
            <w:r>
              <w:t xml:space="preserve">35%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Asistencia directa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asistencia_directa</w:t>
            </w:r>
          </w:p>
        </w:tc>
        <w:tc>
          <w:p>
            <w:pPr>
              <w:pStyle w:val="Compact"/>
              <w:jc w:val="left"/>
            </w:pPr>
            <w:r>
              <w:t xml:space="preserve">manuales.json</w:t>
            </w:r>
          </w:p>
        </w:tc>
        <w:tc>
          <w:p>
            <w:pPr>
              <w:pStyle w:val="Compact"/>
              <w:jc w:val="left"/>
            </w:pPr>
            <w:r>
              <w:t xml:space="preserve">Carga manual</w:t>
            </w:r>
          </w:p>
        </w:tc>
        <w:tc>
          <w:p>
            <w:pPr>
              <w:pStyle w:val="Compact"/>
              <w:jc w:val="left"/>
            </w:pPr>
            <w:r>
              <w:t xml:space="preserve">35%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Modernización laboral (FAL)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fal_modernizacion_laboral</w:t>
            </w:r>
          </w:p>
        </w:tc>
        <w:tc>
          <w:p>
            <w:pPr>
              <w:pStyle w:val="Compact"/>
              <w:jc w:val="left"/>
            </w:pPr>
            <w:r>
              <w:t xml:space="preserve">manuales.json</w:t>
            </w:r>
          </w:p>
        </w:tc>
        <w:tc>
          <w:p>
            <w:pPr>
              <w:pStyle w:val="Compact"/>
              <w:jc w:val="left"/>
            </w:pPr>
            <w:r>
              <w:t xml:space="preserve">Carga manual</w:t>
            </w:r>
          </w:p>
        </w:tc>
        <w:tc>
          <w:p>
            <w:pPr>
              <w:pStyle w:val="Compact"/>
              <w:jc w:val="left"/>
            </w:pPr>
            <w:r>
              <w:t xml:space="preserve">10% (FAL entra en operación H2 2026)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Protocolo antipiquetes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protocolo_antipiquetes</w:t>
            </w:r>
          </w:p>
        </w:tc>
        <w:tc>
          <w:p>
            <w:pPr>
              <w:pStyle w:val="Compact"/>
              <w:jc w:val="left"/>
            </w:pPr>
            <w:r>
              <w:t xml:space="preserve">manuales.json</w:t>
            </w:r>
          </w:p>
        </w:tc>
        <w:tc>
          <w:p>
            <w:pPr>
              <w:pStyle w:val="Compact"/>
              <w:jc w:val="left"/>
            </w:pPr>
            <w:r>
              <w:t xml:space="preserve">Carga manual</w:t>
            </w:r>
          </w:p>
        </w:tc>
        <w:tc>
          <w:p>
            <w:pPr>
              <w:pStyle w:val="Compact"/>
              <w:jc w:val="left"/>
            </w:pPr>
            <w:r>
              <w:t xml:space="preserve">55%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Privatizaciones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privatizaciones</w:t>
            </w:r>
          </w:p>
        </w:tc>
        <w:tc>
          <w:p>
            <w:pPr>
              <w:pStyle w:val="Compact"/>
              <w:jc w:val="left"/>
            </w:pPr>
            <w:r>
              <w:t xml:space="preserve">manuales.json</w:t>
            </w:r>
          </w:p>
        </w:tc>
        <w:tc>
          <w:p>
            <w:pPr>
              <w:pStyle w:val="Compact"/>
              <w:jc w:val="left"/>
            </w:pPr>
            <w:r>
              <w:t xml:space="preserve">Sin fuente disponible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Libertad de opción en salud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libertad_opcion_salud</w:t>
            </w:r>
          </w:p>
        </w:tc>
        <w:tc>
          <w:p>
            <w:pPr>
              <w:pStyle w:val="Compact"/>
              <w:jc w:val="left"/>
            </w:pPr>
            <w:r>
              <w:t xml:space="preserve">manuales.json</w:t>
            </w:r>
          </w:p>
        </w:tc>
        <w:tc>
          <w:p>
            <w:pPr>
              <w:pStyle w:val="Compact"/>
              <w:jc w:val="left"/>
            </w:pPr>
            <w:r>
              <w:t xml:space="preserve">Sin fuente disponible</w:t>
            </w:r>
          </w:p>
        </w:tc>
        <w:tc>
          <w:p>
            <w:pPr>
              <w:pStyle w:val="Compact"/>
              <w:jc w:val="left"/>
            </w:pPr>
            <w:r>
              <w:t xml:space="preserve">40%</w:t>
            </w:r>
          </w:p>
        </w:tc>
      </w:tr>
    </w:tbl>
    <w:bookmarkEnd w:id="33"/>
    <w:bookmarkStart w:id="34" w:name="cálculo-del-avance"/>
    <w:p>
      <w:pPr>
        <w:pStyle w:val="Heading3"/>
      </w:pPr>
      <w:r>
        <w:t xml:space="preserve">Cálculo del avance</w:t>
      </w:r>
    </w:p>
    <w:p>
      <w:pPr>
        <w:pStyle w:val="FirstParagraph"/>
      </w:pPr>
      <w:r>
        <w:t xml:space="preserve">Cada indicador expresa un porcentaje 0–100 que representa el grado de ejecución de la reforma. La conversión a score de tensión es</w:t>
      </w:r>
      <w:r>
        <w:t xml:space="preserve"> </w:t>
      </w:r>
      <w:r>
        <w:rPr>
          <w:rStyle w:val="VerbatimChar"/>
        </w:rPr>
        <w:t xml:space="preserve">score = 10 × (1 − avance/100)</w:t>
      </w:r>
      <w:r>
        <w:t xml:space="preserve">: a mayor avance, menor tensión. El score del cinturón es el promedio de los doce.</w:t>
      </w:r>
    </w:p>
    <w:bookmarkEnd w:id="34"/>
    <w:bookmarkStart w:id="35" w:name="resolución-del-bloqueo-del-rigi"/>
    <w:p>
      <w:pPr>
        <w:pStyle w:val="Heading3"/>
      </w:pPr>
      <w:r>
        <w:t xml:space="preserve">Resolución del bloqueo del RIGI</w:t>
      </w:r>
    </w:p>
    <w:p>
      <w:pPr>
        <w:pStyle w:val="FirstParagraph"/>
      </w:pPr>
      <w:r>
        <w:t xml:space="preserve">El indicador RIGI se desbloqueó en esta versión del documento. La investigación recorrió las siguientes vías: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Vía</w:t>
            </w:r>
          </w:p>
        </w:tc>
        <w:tc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Portal oficial argentina.gob.ar/economia/industria/rigi</w:t>
            </w:r>
          </w:p>
        </w:tc>
        <w:tc>
          <w:p>
            <w:pPr>
              <w:pStyle w:val="Compact"/>
              <w:jc w:val="left"/>
            </w:pPr>
            <w:r>
              <w:t xml:space="preserve">Devuelve 404. URL cambió sin redirección.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Datasets RIGI en CKAN datos.gob.ar</w:t>
            </w:r>
          </w:p>
        </w:tc>
        <w:tc>
          <w:p>
            <w:pPr>
              <w:pStyle w:val="Compact"/>
              <w:jc w:val="left"/>
            </w:pPr>
            <w:r>
              <w:t xml:space="preserve">Cero packages.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Wikipedia</w:t>
            </w:r>
            <w:r>
              <w:t xml:space="preserve"> </w:t>
            </w:r>
            <w:r>
              <w:t xml:space="preserve">“</w:t>
            </w:r>
            <w:r>
              <w:t xml:space="preserve">Régimen de Incentivo para Grandes Inversiones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Página existe pero última edición de octubre 2025, desactualizada.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JSON Boletín Oficial</w:t>
            </w:r>
          </w:p>
        </w:tc>
        <w:tc>
          <w:p>
            <w:pPr>
              <w:pStyle w:val="Compact"/>
              <w:jc w:val="left"/>
            </w:pPr>
            <w:r>
              <w:t xml:space="preserve">Endpoints retornan HTML, no JSON parseable.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ComprAR (pliegos de compras del Estado)</w:t>
            </w:r>
          </w:p>
        </w:tc>
        <w:tc>
          <w:p>
            <w:pPr>
              <w:pStyle w:val="Compact"/>
              <w:jc w:val="left"/>
            </w:pPr>
            <w:r>
              <w:t xml:space="preserve">ASP.NET con</w:t>
            </w:r>
            <w:r>
              <w:t xml:space="preserve"> </w:t>
            </w:r>
            <w:r>
              <w:rPr>
                <w:rStyle w:val="VerbatimChar"/>
              </w:rPr>
              <w:t xml:space="preserve">__VIEWSTATE</w:t>
            </w:r>
            <w:r>
              <w:t xml:space="preserve">, scraping frágil.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InfoLeg con</w:t>
            </w:r>
            <w:r>
              <w:t xml:space="preserve"> </w:t>
            </w:r>
            <w:r>
              <w:rPr>
                <w:rStyle w:val="VerbatimChar"/>
              </w:rPr>
              <w:t xml:space="preserve">texto="RIGI"</w:t>
            </w:r>
            <w:r>
              <w:t xml:space="preserve"> </w:t>
            </w:r>
            <w:r>
              <w:t xml:space="preserve">(cualquier tipo de norma)</w:t>
            </w:r>
          </w:p>
        </w:tc>
        <w:tc>
          <w:p>
            <w:pPr>
              <w:pStyle w:val="Compact"/>
              <w:jc w:val="left"/>
            </w:pPr>
            <w:r>
              <w:t xml:space="preserve">93 normas mezcladas. El buscador de InfoLeg realiza búsqueda OR sobre tokens, no permite aislar resoluciones de aprobación.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InfoLeg con</w:t>
            </w:r>
            <w:r>
              <w:t xml:space="preserve"> </w:t>
            </w:r>
            <w:r>
              <w:rPr>
                <w:rStyle w:val="VerbatimChar"/>
              </w:rPr>
              <w:t xml:space="preserve">texto="adhesion RIGI"</w:t>
            </w:r>
          </w:p>
        </w:tc>
        <w:tc>
          <w:p>
            <w:pPr>
              <w:pStyle w:val="Compact"/>
              <w:jc w:val="left"/>
            </w:pPr>
            <w:r>
              <w:t xml:space="preserve">164 normas. Confirma que el OR-search infla resultados.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InfoLeg con</w:t>
            </w:r>
            <w:r>
              <w:t xml:space="preserve"> </w:t>
            </w:r>
            <w:r>
              <w:rPr>
                <w:rStyle w:val="VerbatimChar"/>
              </w:rPr>
              <w:t xml:space="preserve">tipoNorma=3 texto="VPU"</w:t>
            </w:r>
            <w:r>
              <w:t xml:space="preserve"> </w:t>
            </w:r>
            <w:r>
              <w:t xml:space="preserve">desde julio 2024</w:t>
            </w:r>
          </w:p>
        </w:tc>
        <w:tc>
          <w:p>
            <w:pPr>
              <w:pStyle w:val="Compact"/>
              <w:jc w:val="left"/>
            </w:pPr>
            <w:r>
              <w:t xml:space="preserve">28 normas. Solución adoptada.</w:t>
            </w:r>
          </w:p>
        </w:tc>
      </w:tr>
    </w:tbl>
    <w:p>
      <w:pPr>
        <w:pStyle w:val="BodyText"/>
      </w:pPr>
      <w:r>
        <w:t xml:space="preserve">El término</w:t>
      </w:r>
      <w:r>
        <w:t xml:space="preserve"> </w:t>
      </w:r>
      <w:r>
        <w:t xml:space="preserve">“</w:t>
      </w:r>
      <w:r>
        <w:t xml:space="preserve">VPU</w:t>
      </w:r>
      <w:r>
        <w:t xml:space="preserve">”</w:t>
      </w:r>
      <w:r>
        <w:t xml:space="preserve"> </w:t>
      </w:r>
      <w:r>
        <w:t xml:space="preserve">(Vehículo de Proyecto Único) es vocabulario técnico exclusivo de la Ley 27.742, presente únicamente en resoluciones de aprobación e implementación del régimen. Calibración: 28 resoluciones VPU corresponden a 16 proyectos aprobados (aproximadamente 1.7 resoluciones por proyecto), equivalente a 28.0% de avance. Este valor coincide con el dato manual de mayo 2026 publicado por El Cronista (28.7%, calculado sobre USD 27.210 millones aprobados sobre USD 94.965 millones totales).</w:t>
      </w:r>
    </w:p>
    <w:bookmarkEnd w:id="35"/>
    <w:bookmarkStart w:id="38" w:name="indicadores-sin-fuente-disponible"/>
    <w:p>
      <w:pPr>
        <w:pStyle w:val="Heading3"/>
      </w:pPr>
      <w:r>
        <w:t xml:space="preserve">Indicadores sin fuente disponible</w:t>
      </w:r>
    </w:p>
    <w:bookmarkStart w:id="36" w:name="Xa7809416c17c9a8fcea93e55480478c66e196aa"/>
    <w:p>
      <w:pPr>
        <w:pStyle w:val="Heading4"/>
      </w:pPr>
      <w:r>
        <w:rPr>
          <w:rStyle w:val="VerbatimChar"/>
        </w:rPr>
        <w:t xml:space="preserve">libertad_opcion_salud</w:t>
      </w:r>
      <w:r>
        <w:t xml:space="preserve"> </w:t>
      </w:r>
      <w:r>
        <w:t xml:space="preserve">(Superintendencia de Servicios de Salud)</w:t>
      </w:r>
    </w:p>
    <w:p>
      <w:pPr>
        <w:pStyle w:val="FirstParagraph"/>
      </w:pPr>
      <w:r>
        <w:t xml:space="preserve">Vías intentadas: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Vía</w:t>
            </w:r>
          </w:p>
        </w:tc>
        <w:tc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Scraping directo sssalud.gob.ar</w:t>
            </w:r>
          </w:p>
        </w:tc>
        <w:tc>
          <w:p>
            <w:pPr>
              <w:pStyle w:val="Compact"/>
              <w:jc w:val="left"/>
            </w:pPr>
            <w:r>
              <w:t xml:space="preserve">Devuelve mensaje</w:t>
            </w:r>
            <w:r>
              <w:t xml:space="preserve"> </w:t>
            </w:r>
            <w:r>
              <w:t xml:space="preserve">“</w:t>
            </w:r>
            <w:r>
              <w:t xml:space="preserve">No se reportan datos</w:t>
            </w:r>
            <w:r>
              <w:t xml:space="preserve">”</w:t>
            </w:r>
            <w:r>
              <w:t xml:space="preserve">. El sitio implementa fingerprinting de cliente en backend (endpoint</w:t>
            </w:r>
            <w:r>
              <w:t xml:space="preserve"> </w:t>
            </w:r>
            <w:r>
              <w:rPr>
                <w:rStyle w:val="VerbatimChar"/>
              </w:rPr>
              <w:t xml:space="preserve">/fwb/first_submit.df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Playwright (browser real)</w:t>
            </w:r>
          </w:p>
        </w:tc>
        <w:tc>
          <w:p>
            <w:pPr>
              <w:pStyle w:val="Compact"/>
              <w:jc w:val="left"/>
            </w:pPr>
            <w:r>
              <w:t xml:space="preserve">Mismo resultado:</w:t>
            </w:r>
            <w:r>
              <w:t xml:space="preserve"> </w:t>
            </w:r>
            <w:r>
              <w:t xml:space="preserve">“</w:t>
            </w:r>
            <w:r>
              <w:t xml:space="preserve">No se reportan datos</w:t>
            </w:r>
            <w:r>
              <w:t xml:space="preserve">”</w:t>
            </w:r>
            <w:r>
              <w:t xml:space="preserve">. El bloqueo es a nivel servidor, no de renderizado JS.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Datasets datos.gob.ar (Padrón Obras Sociales Nacionales, Financiamiento)</w:t>
            </w:r>
          </w:p>
        </w:tc>
        <w:tc>
          <w:p>
            <w:pPr>
              <w:pStyle w:val="Compact"/>
              <w:jc w:val="left"/>
            </w:pPr>
            <w:r>
              <w:t xml:space="preserve">Datasets existen pero los CSV están congelados con</w:t>
            </w:r>
            <w:r>
              <w:t xml:space="preserve"> </w:t>
            </w:r>
            <w:r>
              <w:rPr>
                <w:rStyle w:val="VerbatimChar"/>
              </w:rPr>
              <w:t xml:space="preserve">last_modified</w:t>
            </w:r>
            <w:r>
              <w:t xml:space="preserve"> </w:t>
            </w:r>
            <w:r>
              <w:t xml:space="preserve">2018-2019.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Memorias y publicaciones de SSS</w:t>
            </w:r>
          </w:p>
        </w:tc>
        <w:tc>
          <w:p>
            <w:pPr>
              <w:pStyle w:val="Compact"/>
              <w:jc w:val="left"/>
            </w:pPr>
            <w:r>
              <w:t xml:space="preserve">Páginas HTML estáticas, sin estadísticas estructuradas de traspasos post-diciembre 2023.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Conclusión:</w:t>
      </w:r>
      <w:r>
        <w:t xml:space="preserve"> </w:t>
      </w:r>
      <w:r>
        <w:t xml:space="preserve">sin alternativa pública. Carga manual trimestral desde reportes oficiales de SSS cuando se publiquen.</w:t>
      </w:r>
    </w:p>
    <w:bookmarkEnd w:id="36"/>
    <w:bookmarkStart w:id="37" w:name="X924b5bc196de9b2dfe191e887795814714084bb"/>
    <w:p>
      <w:pPr>
        <w:pStyle w:val="Heading4"/>
      </w:pPr>
      <w:r>
        <w:rPr>
          <w:rStyle w:val="VerbatimChar"/>
        </w:rPr>
        <w:t xml:space="preserve">privatizaciones</w:t>
      </w:r>
      <w:r>
        <w:t xml:space="preserve"> </w:t>
      </w:r>
      <w:r>
        <w:t xml:space="preserve">(transferencia efectiva de acciones)</w:t>
      </w:r>
    </w:p>
    <w:p>
      <w:pPr>
        <w:pStyle w:val="FirstParagraph"/>
      </w:pPr>
      <w:r>
        <w:t xml:space="preserve">Vías intentadas: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Vía</w:t>
            </w:r>
          </w:p>
        </w:tc>
        <w:tc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Boletín Oficial</w:t>
            </w:r>
          </w:p>
        </w:tc>
        <w:tc>
          <w:p>
            <w:pPr>
              <w:pStyle w:val="Compact"/>
              <w:jc w:val="left"/>
            </w:pPr>
            <w:r>
              <w:t xml:space="preserve">Endpoints</w:t>
            </w:r>
            <w:r>
              <w:t xml:space="preserve"> </w:t>
            </w:r>
            <w:r>
              <w:rPr>
                <w:rStyle w:val="VerbatimChar"/>
              </w:rPr>
              <w:t xml:space="preserve">lookup/sections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lookup/dependencies</w:t>
            </w:r>
            <w:r>
              <w:t xml:space="preserve"> </w:t>
            </w:r>
            <w:r>
              <w:t xml:space="preserve">retornan HTML, no JSON.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ComprAR (pliegos publicados)</w:t>
            </w:r>
          </w:p>
        </w:tc>
        <w:tc>
          <w:p>
            <w:pPr>
              <w:pStyle w:val="Compact"/>
              <w:jc w:val="left"/>
            </w:pPr>
            <w:r>
              <w:t xml:space="preserve">ASP.NET con</w:t>
            </w:r>
            <w:r>
              <w:t xml:space="preserve"> </w:t>
            </w:r>
            <w:r>
              <w:rPr>
                <w:rStyle w:val="VerbatimChar"/>
              </w:rPr>
              <w:t xml:space="preserve">__VIEWSTATE</w:t>
            </w:r>
            <w:r>
              <w:t xml:space="preserve">, búsquedas requieren mantener sesión y simular formularios complejos.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InfoLeg</w:t>
            </w:r>
            <w:r>
              <w:t xml:space="preserve"> </w:t>
            </w:r>
            <w:r>
              <w:rPr>
                <w:rStyle w:val="VerbatimChar"/>
              </w:rPr>
              <w:t xml:space="preserve">tipoNorma=2 texto="Aerolíneas"</w:t>
            </w:r>
            <w:r>
              <w:t xml:space="preserve"> </w:t>
            </w:r>
            <w:r>
              <w:t xml:space="preserve">(Decreto)</w:t>
            </w:r>
          </w:p>
        </w:tc>
        <w:tc>
          <w:p>
            <w:pPr>
              <w:pStyle w:val="Compact"/>
              <w:jc w:val="left"/>
            </w:pPr>
            <w:r>
              <w:t xml:space="preserve">1 norma. Insuficiente como serie.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InfoLeg</w:t>
            </w:r>
            <w:r>
              <w:t xml:space="preserve"> </w:t>
            </w:r>
            <w:r>
              <w:rPr>
                <w:rStyle w:val="VerbatimChar"/>
              </w:rPr>
              <w:t xml:space="preserve">tipoNorma=3 texto="privatizacion"</w:t>
            </w:r>
            <w:r>
              <w:t xml:space="preserve"> </w:t>
            </w:r>
            <w:r>
              <w:t xml:space="preserve">(Resolución)</w:t>
            </w:r>
          </w:p>
        </w:tc>
        <w:tc>
          <w:p>
            <w:pPr>
              <w:pStyle w:val="Compact"/>
              <w:jc w:val="left"/>
            </w:pPr>
            <w:r>
              <w:t xml:space="preserve">9 normas, pero OR-search ambiguo: contar normas no equivale a transferencia efectiva de acciones.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InfoLeg</w:t>
            </w:r>
            <w:r>
              <w:t xml:space="preserve"> </w:t>
            </w:r>
            <w:r>
              <w:rPr>
                <w:rStyle w:val="VerbatimChar"/>
              </w:rPr>
              <w:t xml:space="preserve">tipoNorma=2 texto="transferencia acciones"</w:t>
            </w:r>
            <w:r>
              <w:t xml:space="preserve"> </w:t>
            </w:r>
            <w:r>
              <w:t xml:space="preserve">(Decreto)</w:t>
            </w:r>
          </w:p>
        </w:tc>
        <w:tc>
          <w:p>
            <w:pPr>
              <w:pStyle w:val="Compact"/>
              <w:jc w:val="left"/>
            </w:pPr>
            <w:r>
              <w:t xml:space="preserve">367 normas. Falso positivo masivo por OR-search.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Conclusión:</w:t>
      </w:r>
      <w:r>
        <w:t xml:space="preserve"> </w:t>
      </w:r>
      <w:r>
        <w:t xml:space="preserve">sin proxy confiable. Carga manual mensual desde anuncios oficiales del Ministerio de Economía.</w:t>
      </w:r>
    </w:p>
    <w:bookmarkEnd w:id="37"/>
    <w:bookmarkEnd w:id="38"/>
    <w:bookmarkStart w:id="39" w:name="Xe460159abdc324a99679b4e5148beed9c907fa1"/>
    <w:p>
      <w:pPr>
        <w:pStyle w:val="Heading3"/>
      </w:pPr>
      <w:r>
        <w:t xml:space="preserve">Indicadores con carga manual no bloqueados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p>
            <w:pPr>
              <w:pStyle w:val="Compact"/>
              <w:jc w:val="left"/>
            </w:pPr>
            <w:r>
              <w:t xml:space="preserve">Fuente potencial</w:t>
            </w:r>
          </w:p>
        </w:tc>
        <w:tc>
          <w:p>
            <w:pPr>
              <w:pStyle w:val="Compact"/>
              <w:jc w:val="left"/>
            </w:pPr>
            <w:r>
              <w:t xml:space="preserve">Vía de automatización futura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Concesiones de infraestructura</w:t>
            </w:r>
          </w:p>
        </w:tc>
        <w:tc>
          <w:p>
            <w:pPr>
              <w:pStyle w:val="Compact"/>
              <w:jc w:val="left"/>
            </w:pPr>
            <w:r>
              <w:t xml:space="preserve">Vialidad Nacional, ORSNA — informes PDF trimestrales</w:t>
            </w:r>
          </w:p>
        </w:tc>
        <w:tc>
          <w:p>
            <w:pPr>
              <w:pStyle w:val="Compact"/>
              <w:jc w:val="left"/>
            </w:pPr>
            <w:r>
              <w:t xml:space="preserve">Parser de PDF (similar al usado en CICCRA)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Asistencia directa</w:t>
            </w:r>
          </w:p>
        </w:tc>
        <w:tc>
          <w:p>
            <w:pPr>
              <w:pStyle w:val="Compact"/>
              <w:jc w:val="left"/>
            </w:pPr>
            <w:r>
              <w:t xml:space="preserve">ANSES portal transparencia</w:t>
            </w:r>
          </w:p>
        </w:tc>
        <w:tc>
          <w:p>
            <w:pPr>
              <w:pStyle w:val="Compact"/>
              <w:jc w:val="left"/>
            </w:pPr>
            <w:r>
              <w:t xml:space="preserve">Pendiente apertura de API pública por ANSES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Modernización laboral (FAL)</w:t>
            </w:r>
          </w:p>
        </w:tc>
        <w:tc>
          <w:p>
            <w:pPr>
              <w:pStyle w:val="Compact"/>
              <w:jc w:val="left"/>
            </w:pPr>
            <w:r>
              <w:t xml:space="preserve">MTEySS, ARCA, ANSES</w:t>
            </w:r>
          </w:p>
        </w:tc>
        <w:tc>
          <w:p>
            <w:pPr>
              <w:pStyle w:val="Compact"/>
              <w:jc w:val="left"/>
            </w:pPr>
            <w:r>
              <w:t xml:space="preserve">Implementable cuando FAL entre en operación (H2 2026)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Protocolo antipiquetes</w:t>
            </w:r>
          </w:p>
        </w:tc>
        <w:tc>
          <w:p>
            <w:pPr>
              <w:pStyle w:val="Compact"/>
              <w:jc w:val="left"/>
            </w:pPr>
            <w:r>
              <w:t xml:space="preserve">Ministerio de Seguridad</w:t>
            </w:r>
          </w:p>
        </w:tc>
        <w:tc>
          <w:p>
            <w:pPr>
              <w:pStyle w:val="Compact"/>
              <w:jc w:val="left"/>
            </w:pPr>
            <w:r>
              <w:t xml:space="preserve">Requeriría acuerdo institucional o relevamiento propio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5" w:name="apéndice-patrones-técnicos-consolidados"/>
    <w:p>
      <w:pPr>
        <w:pStyle w:val="Heading2"/>
      </w:pPr>
      <w:r>
        <w:t xml:space="preserve">Apéndice — Patrones técnicos consolidados</w:t>
      </w:r>
    </w:p>
    <w:bookmarkStart w:id="41" w:name="sesión-post-en-infoleg"/>
    <w:p>
      <w:pPr>
        <w:pStyle w:val="Heading3"/>
      </w:pPr>
      <w:r>
        <w:t xml:space="preserve">Sesión POST en InfoLeg</w:t>
      </w:r>
    </w:p>
    <w:p>
      <w:pPr>
        <w:pStyle w:val="FirstParagraph"/>
      </w:pPr>
      <w:r>
        <w:t xml:space="preserve">Patrón compartido entre</w:t>
      </w:r>
      <w:r>
        <w:t xml:space="preserve"> </w:t>
      </w:r>
      <w:r>
        <w:rPr>
          <w:rStyle w:val="VerbatimChar"/>
        </w:rPr>
        <w:t xml:space="preserve">politica.py</w:t>
      </w:r>
      <w:r>
        <w:t xml:space="preserve"> </w:t>
      </w:r>
      <w:r>
        <w:t xml:space="preserve">(</w:t>
      </w:r>
      <w:r>
        <w:rPr>
          <w:rStyle w:val="VerbatimChar"/>
        </w:rPr>
        <w:t xml:space="preserve">fetch_ratio_dnu</w:t>
      </w:r>
      <w:r>
        <w:t xml:space="preserve">) y</w:t>
      </w:r>
      <w:r>
        <w:t xml:space="preserve"> </w:t>
      </w:r>
      <w:r>
        <w:rPr>
          <w:rStyle w:val="VerbatimChar"/>
        </w:rPr>
        <w:t xml:space="preserve">gestion.py</w:t>
      </w:r>
      <w:r>
        <w:t xml:space="preserve"> </w:t>
      </w:r>
      <w:r>
        <w:t xml:space="preserve">(</w:t>
      </w:r>
      <w:r>
        <w:rPr>
          <w:rStyle w:val="VerbatimChar"/>
        </w:rPr>
        <w:t xml:space="preserve">fetch_desregulacion_normativa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fetch_reestructuracion_organismos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fetch_rigi_inversiones</w:t>
      </w:r>
      <w:r>
        <w:t xml:space="preserve">). Requiere: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</w:t>
      </w:r>
      <w:r>
        <w:t xml:space="preserve"> </w:t>
      </w:r>
      <w:r>
        <w:t xml:space="preserve">a la home de InfoLeg para obtener el</w:t>
      </w:r>
      <w:r>
        <w:t xml:space="preserve"> </w:t>
      </w:r>
      <w:r>
        <w:rPr>
          <w:rStyle w:val="VerbatimChar"/>
        </w:rPr>
        <w:t xml:space="preserve">jsessionid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Extraer la URL de acción del formulario con regex sobre el HTML.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POST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tipoNorma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texto</w:t>
      </w:r>
      <w:r>
        <w:t xml:space="preserve">, rango de fechas, manteniendo la sesión.</w:t>
      </w:r>
    </w:p>
    <w:p>
      <w:pPr>
        <w:numPr>
          <w:ilvl w:val="0"/>
          <w:numId w:val="1001"/>
        </w:numPr>
        <w:pStyle w:val="Compact"/>
      </w:pPr>
      <w:r>
        <w:t xml:space="preserve">Parsear el conteo con regex</w:t>
      </w:r>
      <w:r>
        <w:t xml:space="preserve"> </w:t>
      </w:r>
      <w:r>
        <w:rPr>
          <w:rStyle w:val="VerbatimChar"/>
        </w:rPr>
        <w:t xml:space="preserve">r"Encontradas?[:\s]+(\d+)"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Limitación clave:</w:t>
      </w:r>
      <w:r>
        <w:t xml:space="preserve"> </w:t>
      </w:r>
      <w:r>
        <w:t xml:space="preserve">el campo</w:t>
      </w:r>
      <w:r>
        <w:t xml:space="preserve"> </w:t>
      </w:r>
      <w:r>
        <w:rPr>
          <w:rStyle w:val="VerbatimChar"/>
        </w:rPr>
        <w:t xml:space="preserve">texto</w:t>
      </w:r>
      <w:r>
        <w:t xml:space="preserve"> </w:t>
      </w:r>
      <w:r>
        <w:t xml:space="preserve">realiza búsqueda OR sobre tokens, no búsqueda exacta. Para aislar normas específicas debe usarse vocabulario técnico exclusivo del régimen buscado (caso</w:t>
      </w:r>
      <w:r>
        <w:t xml:space="preserve"> </w:t>
      </w:r>
      <w:r>
        <w:t xml:space="preserve">“</w:t>
      </w:r>
      <w:r>
        <w:t xml:space="preserve">VPU</w:t>
      </w:r>
      <w:r>
        <w:t xml:space="preserve">”</w:t>
      </w:r>
      <w:r>
        <w:t xml:space="preserve"> </w:t>
      </w:r>
      <w:r>
        <w:t xml:space="preserve">para RIGI).</w:t>
      </w:r>
    </w:p>
    <w:bookmarkEnd w:id="41"/>
    <w:bookmarkStart w:id="42" w:name="ckan-hcdn"/>
    <w:p>
      <w:pPr>
        <w:pStyle w:val="Heading3"/>
      </w:pPr>
      <w:r>
        <w:t xml:space="preserve">CKAN HCDN</w:t>
      </w:r>
    </w:p>
    <w:p>
      <w:pPr>
        <w:pStyle w:val="FirstParagraph"/>
      </w:pPr>
      <w:r>
        <w:t xml:space="preserve">Patrón en</w:t>
      </w:r>
      <w:r>
        <w:t xml:space="preserve"> </w:t>
      </w:r>
      <w:r>
        <w:rPr>
          <w:rStyle w:val="VerbatimChar"/>
        </w:rPr>
        <w:t xml:space="preserve">politica.py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eficacia_legislativa</w:t>
      </w:r>
      <w:r>
        <w:t xml:space="preserve">,</w:t>
      </w:r>
      <w:r>
        <w:t xml:space="preserve"> </w:t>
      </w:r>
      <w:r>
        <w:rPr>
          <w:rStyle w:val="VerbatimChar"/>
        </w:rPr>
        <w:t xml:space="preserve">veto_quorum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comisiones_caidas</w:t>
      </w:r>
      <w:r>
        <w:t xml:space="preserve">. Limitaciones documentadas:</w:t>
      </w:r>
    </w:p>
    <w:p>
      <w:pPr>
        <w:numPr>
          <w:ilvl w:val="0"/>
          <w:numId w:val="1002"/>
        </w:numPr>
        <w:pStyle w:val="Compact"/>
      </w:pPr>
      <w:r>
        <w:t xml:space="preserve">El parámetro</w:t>
      </w:r>
      <w:r>
        <w:t xml:space="preserve"> </w:t>
      </w:r>
      <w:r>
        <w:rPr>
          <w:rStyle w:val="VerbatimChar"/>
        </w:rPr>
        <w:t xml:space="preserve">q=</w:t>
      </w:r>
      <w:r>
        <w:t xml:space="preserve"> </w:t>
      </w:r>
      <w:r>
        <w:t xml:space="preserve">realiza búsqueda full-text por tokens, no substring (</w:t>
      </w:r>
      <w:r>
        <w:rPr>
          <w:rStyle w:val="VerbatimChar"/>
        </w:rPr>
        <w:t xml:space="preserve">q="HCDN144"</w:t>
      </w:r>
      <w:r>
        <w:t xml:space="preserve"> </w:t>
      </w:r>
      <w:r>
        <w:t xml:space="preserve">no matchea</w:t>
      </w:r>
      <w:r>
        <w:t xml:space="preserve"> </w:t>
      </w:r>
      <w:r>
        <w:rPr>
          <w:rStyle w:val="VerbatimChar"/>
        </w:rPr>
        <w:t xml:space="preserve">HCDN144R02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Filtros por campo exacto con caracteres acentuados fallan por encoding. Filtrar siempre del lado Python con</w:t>
      </w:r>
      <w:r>
        <w:t xml:space="preserve"> </w:t>
      </w:r>
      <w:r>
        <w:rPr>
          <w:rStyle w:val="VerbatimChar"/>
        </w:rPr>
        <w:t xml:space="preserve">.lower()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El campo</w:t>
      </w:r>
      <w:r>
        <w:t xml:space="preserve"> </w:t>
      </w:r>
      <w:r>
        <w:rPr>
          <w:rStyle w:val="VerbatimChar"/>
        </w:rPr>
        <w:t xml:space="preserve">dictámenes.EXPEDIENTE</w:t>
      </w:r>
      <w:r>
        <w:t xml:space="preserve"> </w:t>
      </w:r>
      <w:r>
        <w:t xml:space="preserve">permite join directo con</w:t>
      </w:r>
      <w:r>
        <w:t xml:space="preserve"> </w:t>
      </w:r>
      <w:r>
        <w:rPr>
          <w:rStyle w:val="VerbatimChar"/>
        </w:rPr>
        <w:t xml:space="preserve">movimientos.PROYECTO_ID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El número de período legislativo se calcula como</w:t>
      </w:r>
      <w:r>
        <w:t xml:space="preserve"> </w:t>
      </w:r>
      <w:r>
        <w:rPr>
          <w:rStyle w:val="VerbatimChar"/>
        </w:rPr>
        <w:t xml:space="preserve">144 + (año_actual − 2026)</w:t>
      </w:r>
      <w:r>
        <w:t xml:space="preserve">.</w:t>
      </w:r>
    </w:p>
    <w:bookmarkEnd w:id="42"/>
    <w:bookmarkStart w:id="43" w:name="datos.gob.ar-series-api"/>
    <w:p>
      <w:pPr>
        <w:pStyle w:val="Heading3"/>
      </w:pPr>
      <w:r>
        <w:t xml:space="preserve">datos.gob.ar series API</w:t>
      </w:r>
    </w:p>
    <w:p>
      <w:pPr>
        <w:pStyle w:val="FirstParagraph"/>
      </w:pPr>
      <w:r>
        <w:t xml:space="preserve">Patrón estándar:</w:t>
      </w:r>
      <w:r>
        <w:t xml:space="preserve"> </w:t>
      </w:r>
      <w:r>
        <w:rPr>
          <w:rStyle w:val="VerbatimChar"/>
        </w:rPr>
        <w:t xml:space="preserve">https://apis.datos.gob.ar/series/api/series/</w:t>
      </w:r>
      <w:r>
        <w:t xml:space="preserve"> </w:t>
      </w:r>
      <w:r>
        <w:t xml:space="preserve">con parámetros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format=json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sort=desc</w:t>
      </w:r>
      <w:r>
        <w:t xml:space="preserve">. Ocho series INDEC en uso distribuidas en macro, gestión y vida cotidiana.</w:t>
      </w:r>
    </w:p>
    <w:bookmarkEnd w:id="43"/>
    <w:bookmarkStart w:id="44" w:name="bcra-api-v4.0"/>
    <w:p>
      <w:pPr>
        <w:pStyle w:val="Heading3"/>
      </w:pPr>
      <w:r>
        <w:t xml:space="preserve">BCRA API v4.0</w:t>
      </w:r>
    </w:p>
    <w:p>
      <w:pPr>
        <w:pStyle w:val="FirstParagraph"/>
      </w:pPr>
      <w:r>
        <w:t xml:space="preserve">Requiere</w:t>
      </w:r>
      <w:r>
        <w:t xml:space="preserve"> </w:t>
      </w:r>
      <w:r>
        <w:rPr>
          <w:rStyle w:val="VerbatimChar"/>
        </w:rPr>
        <w:t xml:space="preserve">verify=False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urllib3.disable_warnings()</w:t>
      </w:r>
      <w:r>
        <w:t xml:space="preserve"> </w:t>
      </w:r>
      <w:r>
        <w:t xml:space="preserve">por configuración SSL del servidor. Los datos vienen en orden descendente:</w:t>
      </w:r>
      <w:r>
        <w:t xml:space="preserve"> </w:t>
      </w:r>
      <w:r>
        <w:rPr>
          <w:rStyle w:val="VerbatimChar"/>
        </w:rPr>
        <w:t xml:space="preserve">detalle[0]</w:t>
      </w:r>
      <w:r>
        <w:t xml:space="preserve"> </w:t>
      </w:r>
      <w:r>
        <w:t xml:space="preserve">es siempre el dato más reciente.</w:t>
      </w:r>
    </w:p>
    <w:bookmarkEnd w:id="44"/>
    <w:bookmarkEnd w:id="45"/>
    <w:bookmarkEnd w:id="46"/>
    <w:sectPr>
      <w:headerReference r:id="rId9" w:type="default"/>
      <w:footerReference r:id="rId10" w:type="default"/>
      <w:pgMar w:bottom="1134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6" w:color="BFBFBF"/>
      </w:pBdr>
    </w:pPr>
    <w:r>
      <w:rPr>
        <w:rFonts w:ascii="Calibri" w:hAnsi="Calibri" w:cs="Calibri" w:eastAsia="Calibri"/>
        <w:color w:val="5F6360"/>
        <w:sz w:val="16"/>
      </w:rPr>
      <w:t xml:space="preserve">Fundación CiGob   ·   página </w:t>
    </w:r>
    <w:r>
      <w:rPr>
        <w:rFonts w:ascii="Calibri" w:hAnsi="Calibri" w:cs="Calibri" w:eastAsia="Calibri"/>
        <w:color w:val="5F6360"/>
        <w:sz w:val="16"/>
      </w:rPr>
      <w:fldChar w:fldCharType="begin"/>
      <w:instrText>PAGE</w:instrText>
      <w:fldChar w:fldCharType="end"/>
    </w:r>
    <w:r>
      <w:rPr>
        <w:rFonts w:ascii="Calibri" w:hAnsi="Calibri" w:cs="Calibri" w:eastAsia="Calibri"/>
        <w:color w:val="5F6360"/>
        <w:sz w:val="16"/>
      </w:rPr>
      <w:t xml:space="preserve"> de </w:t>
    </w:r>
    <w:r>
      <w:rPr>
        <w:rFonts w:ascii="Calibri" w:hAnsi="Calibri" w:cs="Calibri" w:eastAsia="Calibri"/>
        <w:color w:val="5F6360"/>
        <w:sz w:val="16"/>
      </w:rPr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8" w:color="1D67CD"/>
      </w:pBdr>
    </w:pPr>
    <w:r>
      <w:drawing>
        <wp:inline xmlns:a="http://schemas.openxmlformats.org/drawingml/2006/main" xmlns:pic="http://schemas.openxmlformats.org/drawingml/2006/picture">
          <wp:extent cx="1196883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igob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6883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b w:val="0"/>
      <w:i w:val="0"/>
      <w:color w:val="333333"/>
      <w:sz w:val="22"/>
    </w:rPr>
    <w:pPr>
      <w:spacing w:after="120" w:before="0"/>
    </w:pPr>
  </w:style>
  <w:style w:styleId="BodyText" w:type="paragraph">
    <w:name w:val="Body Text"/>
    <w:basedOn w:val="Normal"/>
    <w:link w:val="BodyTextChar"/>
    <w:pPr>
      <w:spacing w:after="120" w:before="0"/>
    </w:pPr>
    <w:qFormat/>
    <w:rPr>
      <w:rFonts w:ascii="Calibri" w:cs="Calibri" w:eastAsia="Calibri" w:hAnsi="Calibri"/>
      <w:b w:val="0"/>
      <w:i w:val="0"/>
      <w:color w:val="3333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b w:val="0"/>
      <w:i w:val="0"/>
      <w:color w:val="333333"/>
      <w:sz w:val="22"/>
    </w:rPr>
    <w:pPr>
      <w:spacing w:after="120" w:before="0"/>
    </w:pPr>
  </w:style>
  <w:style w:customStyle="1" w:styleId="Compact" w:type="paragraph">
    <w:name w:val="Compact"/>
    <w:basedOn w:val="BodyText"/>
    <w:qFormat/>
    <w:pPr>
      <w:spacing w:after="40" w:before="0"/>
    </w:pPr>
    <w:rPr>
      <w:rFonts w:ascii="Calibri" w:cs="Calibri" w:eastAsia="Calibri" w:hAnsi="Calibri"/>
      <w:b w:val="0"/>
      <w:i w:val="0"/>
      <w:color w:val="3333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0F3D7A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360" w:before="0"/>
      <w:jc w:val="center"/>
    </w:pPr>
    <w:rPr>
      <w:rFonts w:ascii="Calibri" w:cs="Calibri" w:eastAsia="Calibri" w:hAnsi="Calibri"/>
      <w:b w:val="0"/>
      <w:i/>
      <w:color w:val="5F6360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  <w:spacing w:after="40" w:before="0"/>
    </w:pPr>
    <w:rPr>
      <w:rFonts w:ascii="Calibri" w:cs="Calibri" w:eastAsia="Calibri" w:hAnsi="Calibri"/>
      <w:b w:val="0"/>
      <w:i/>
      <w:color w:val="5F6360"/>
      <w:sz w:val="22"/>
    </w:rPr>
  </w:style>
  <w:style w:styleId="Date" w:type="paragraph">
    <w:name w:val="Date"/>
    <w:next w:val="BodyText"/>
    <w:qFormat/>
    <w:pPr>
      <w:keepNext/>
      <w:keepLines/>
      <w:jc w:val="center"/>
      <w:spacing w:after="360" w:before="0"/>
    </w:pPr>
    <w:rPr>
      <w:rFonts w:ascii="Calibri" w:cs="Calibri" w:eastAsia="Calibri" w:hAnsi="Calibri"/>
      <w:b w:val="0"/>
      <w:i/>
      <w:color w:val="5F6360"/>
      <w:sz w:val="22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240" w:before="240"/>
    </w:pPr>
    <w:rPr>
      <w:rFonts w:ascii="Calibri" w:cs="Calibri" w:eastAsia="Calibri" w:hAnsi="Calibri"/>
      <w:b w:val="0"/>
      <w:i/>
      <w:color w:val="333333"/>
      <w:sz w:val="22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480"/>
      <w:outlineLvl w:val="0"/>
      <w:pBdr>
        <w:bottom w:color="1D67CD" w:space="4" w:sz="8" w:val="single"/>
      </w:pBdr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1D67CD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6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1D67C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0F3D7A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Calibri" w:asciiTheme="majorHAnsi" w:cs="Calibri" w:cstheme="majorBidi" w:eastAsia="Calibri" w:eastAsiaTheme="majorEastAsia" w:hAnsi="Calibri" w:hAnsiTheme="majorHAnsi"/>
      <w:i/>
      <w:b/>
      <w:bCs/>
      <w:color w:val="333333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60" w:before="160"/>
      <w:outlineLvl w:val="4"/>
    </w:pPr>
    <w:rPr>
      <w:rFonts w:ascii="Calibri" w:asciiTheme="majorHAnsi" w:cs="Calibri" w:cstheme="majorBidi" w:eastAsia="Calibri" w:eastAsiaTheme="majorEastAsia" w:hAnsi="Calibri" w:hAnsiTheme="majorHAnsi"/>
      <w:b/>
      <w:i w:val="0"/>
      <w:iCs/>
      <w:color w:val="333333"/>
      <w:sz w:val="22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60" w:before="160"/>
      <w:outlineLvl w:val="5"/>
    </w:pPr>
    <w:rPr>
      <w:rFonts w:ascii="Calibri" w:asciiTheme="majorHAnsi" w:cs="Calibri" w:cstheme="majorBidi" w:eastAsia="Calibri" w:eastAsiaTheme="majorEastAsia" w:hAnsi="Calibri" w:hAnsiTheme="majorHAnsi"/>
      <w:b w:val="0"/>
      <w:i/>
      <w:color w:val="5F6360"/>
      <w:sz w:val="22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60"/>
      <w:ind w:firstLine="0" w:left="480" w:right="480"/>
    </w:pPr>
    <w:rPr>
      <w:rFonts w:ascii="Calibri" w:cs="Calibri" w:eastAsia="Calibri" w:hAnsi="Calibri"/>
      <w:b w:val="0"/>
      <w:i/>
      <w:color w:val="5F636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cs="Calibri" w:eastAsia="Calibri" w:hAnsi="Calibri"/>
      <w:b w:val="0"/>
      <w:i w:val="0"/>
      <w:color w:val="333333"/>
      <w:sz w:val="18"/>
    </w:rPr>
    <w:pPr>
      <w:spacing w:after="40" w:before="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120"/>
    </w:pPr>
    <w:rPr>
      <w:rFonts w:ascii="Calibri" w:cs="Calibri" w:eastAsia="Calibri" w:hAnsi="Calibri"/>
      <w:b/>
      <w:i w:val="0"/>
      <w:color w:val="0F3D7A"/>
      <w:sz w:val="22"/>
    </w:rPr>
  </w:style>
  <w:style w:customStyle="1" w:styleId="Definition" w:type="paragraph">
    <w:name w:val="Definition"/>
    <w:basedOn w:val="Normal"/>
    <w:rPr>
      <w:rFonts w:ascii="Calibri" w:cs="Calibri" w:eastAsia="Calibri" w:hAnsi="Calibri"/>
      <w:b w:val="0"/>
      <w:i w:val="0"/>
      <w:color w:val="333333"/>
      <w:sz w:val="22"/>
    </w:rPr>
    <w:pPr>
      <w:spacing w:after="120" w:before="0"/>
    </w:pPr>
  </w:style>
  <w:style w:styleId="Caption" w:type="paragraph">
    <w:name w:val="Caption"/>
    <w:basedOn w:val="Normal"/>
    <w:link w:val="BodyTextChar"/>
    <w:pPr>
      <w:spacing w:after="160" w:before="40"/>
    </w:pPr>
    <w:rPr>
      <w:rFonts w:ascii="Calibri" w:cs="Calibri" w:eastAsia="Calibri" w:hAnsi="Calibri"/>
      <w:b w:val="0"/>
      <w:i/>
      <w:color w:val="5F6360"/>
      <w:sz w:val="18"/>
    </w:rPr>
  </w:style>
  <w:style w:customStyle="1" w:styleId="TableCaption" w:type="paragraph">
    <w:name w:val="Table Caption"/>
    <w:basedOn w:val="Caption"/>
    <w:pPr>
      <w:keepNext/>
      <w:spacing w:after="160" w:before="40"/>
    </w:pPr>
    <w:rPr>
      <w:rFonts w:ascii="Calibri" w:cs="Calibri" w:eastAsia="Calibri" w:hAnsi="Calibri"/>
      <w:b w:val="0"/>
      <w:i/>
      <w:color w:val="5F6360"/>
      <w:sz w:val="18"/>
    </w:rPr>
  </w:style>
  <w:style w:customStyle="1" w:styleId="ImageCaption" w:type="paragraph">
    <w:name w:val="Image Caption"/>
    <w:basedOn w:val="Caption"/>
    <w:rPr>
      <w:rFonts w:ascii="Calibri" w:cs="Calibri" w:eastAsia="Calibri" w:hAnsi="Calibri"/>
      <w:b w:val="0"/>
      <w:i/>
      <w:color w:val="5F6360"/>
      <w:sz w:val="18"/>
    </w:rPr>
    <w:pPr>
      <w:spacing w:after="160" w:before="40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0F3D7A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D67C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2026-06-11T14:35:51Z</dcterms:created>
  <dcterms:modified xsi:type="dcterms:W3CDTF">2026-06-11T14:35:51Z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