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media/image1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35" w:name="cinturón-político"/>
    <w:p>
      <w:pPr>
        <w:pStyle w:val="Heading1"/>
      </w:pPr>
      <w:r>
        <w:t xml:space="preserve">Cinturón Político</w:t>
      </w:r>
    </w:p>
    <w:tbl>
      <w:tblPr>
        <w:tblStyle w:val="Table"/>
        <w:tblW w:type="pct" w:w="0.0"/>
        <w:tblLook w:firstRow="1" w:lastRow="0" w:firstColumn="0" w:lastColumn="0" w:noHBand="0" w:noVBand="0" w:val="0020"/>
      </w:tblPr>
      <w:tblGrid/>
      <w:tr>
        <w:tc>
          <w:p>
            <w:pPr>
              <w:pStyle w:val="Compact"/>
              <w:jc w:val="left"/>
            </w:pPr>
            <w:r>
              <w:t xml:space="preserve">Campo</w:t>
            </w:r>
          </w:p>
        </w:tc>
        <w:tc>
          <w:p>
            <w:pPr>
              <w:pStyle w:val="Compact"/>
              <w:jc w:val="left"/>
            </w:pPr>
            <w:r>
              <w:t xml:space="preserve">Valor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Script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scripts/politica.py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Cache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output/cache/politica.json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Datos de carga manual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data/politica/manuales.json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Peso en score global</w:t>
            </w:r>
          </w:p>
        </w:tc>
        <w:tc>
          <w:p>
            <w:pPr>
              <w:pStyle w:val="Compact"/>
              <w:jc w:val="left"/>
            </w:pPr>
            <w:r>
              <w:t xml:space="preserve">30%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Barbarismo de riesgo</w:t>
            </w:r>
          </w:p>
        </w:tc>
        <w:tc>
          <w:p>
            <w:pPr>
              <w:pStyle w:val="Compact"/>
              <w:jc w:val="left"/>
            </w:pPr>
            <w:r>
              <w:t xml:space="preserve">político — confundir popularidad con poder</w:t>
            </w:r>
          </w:p>
        </w:tc>
      </w:tr>
    </w:tbl>
    <w:bookmarkStart w:id="20" w:name="encuadre"/>
    <w:p>
      <w:pPr>
        <w:pStyle w:val="Heading2"/>
      </w:pPr>
      <w:r>
        <w:t xml:space="preserve">Encuadre</w:t>
      </w:r>
    </w:p>
    <w:p>
      <w:pPr>
        <w:pStyle w:val="FirstParagraph"/>
      </w:pPr>
      <w:r>
        <w:t xml:space="preserve">Fuente conceptual: Carlos Matus,</w:t>
      </w:r>
      <w:r>
        <w:t xml:space="preserve"> </w:t>
      </w:r>
      <w:r>
        <w:rPr>
          <w:iCs/>
          <w:i/>
        </w:rPr>
        <w:t xml:space="preserve">Política, Planificación y Gobierno</w:t>
      </w:r>
      <w:r>
        <w:t xml:space="preserve">. Mide el capital político como recurso acumulable en cinco dimensiones independientes: imagen y voto, poder legislativo, alianzas territoriales, cohesión interna del oficialismo, y conflicto social.</w:t>
      </w:r>
    </w:p>
    <w:p>
      <w:pPr>
        <w:pStyle w:val="BodyText"/>
      </w:pPr>
      <w:r>
        <w:rPr>
          <w:bCs/>
          <w:b/>
        </w:rPr>
        <w:t xml:space="preserve">Nota metodológica (mayo 2026):</w:t>
      </w:r>
      <w:r>
        <w:t xml:space="preserve"> </w:t>
      </w:r>
      <w:r>
        <w:t xml:space="preserve">el ICG UTDT fue removido del cinturón. Mide confianza ciudadana en el gobierno —dimensión que corresponde al cinturón vida cotidiana / Votómetro—, no la capacidad de gobernar con actores políticos. Según Luis Babino (reunión 12 de mayo de 2026):</w:t>
      </w:r>
      <w:r>
        <w:t xml:space="preserve"> </w:t>
      </w:r>
      <w:r>
        <w:t xml:space="preserve">“</w:t>
      </w:r>
      <w:r>
        <w:t xml:space="preserve">yo no lo veo</w:t>
      </w:r>
      <w:r>
        <w:t xml:space="preserve">”</w:t>
      </w:r>
      <w:r>
        <w:t xml:space="preserve"> </w:t>
      </w:r>
      <w:r>
        <w:t xml:space="preserve">en este cinturón. Fue reemplazado por</w:t>
      </w:r>
      <w:r>
        <w:t xml:space="preserve"> </w:t>
      </w:r>
      <w:r>
        <w:rPr>
          <w:rStyle w:val="VerbatimChar"/>
        </w:rPr>
        <w:t xml:space="preserve">ratio_dnu</w:t>
      </w:r>
      <w:r>
        <w:t xml:space="preserve">, indicador de debilidad legislativa y exposición judicial.</w:t>
      </w:r>
    </w:p>
    <w:p>
      <w:pPr>
        <w:pStyle w:val="BodyText"/>
      </w:pPr>
      <w:r>
        <w:t xml:space="preserve">Cada indicador produce un score 0–10 donde mayor implica mayor tensión política. El score del cinturón es el promedio de los indicadores disponibles.</w:t>
      </w:r>
    </w:p>
    <w:p>
      <w:pPr>
        <w:pStyle w:val="BodyText"/>
      </w:pPr>
      <w:r>
        <w:t xml:space="preserve">Umbrales: 0–3 estable, 4–6 en tensión, 7–10 tensionado.</w:t>
      </w:r>
    </w:p>
    <w:bookmarkEnd w:id="20"/>
    <w:bookmarkStart w:id="21" w:name="indicadores-activos"/>
    <w:p>
      <w:pPr>
        <w:pStyle w:val="Heading2"/>
      </w:pPr>
      <w:r>
        <w:t xml:space="preserve">Indicadores activos</w:t>
      </w:r>
    </w:p>
    <w:tbl>
      <w:tblPr>
        <w:tblStyle w:val="Table"/>
        <w:tblW w:type="pct" w:w="5000.0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c>
          <w:p>
            <w:pPr>
              <w:pStyle w:val="Compact"/>
              <w:jc w:val="left"/>
            </w:pPr>
            <w:r>
              <w:t xml:space="preserve">Indicador</w:t>
            </w:r>
          </w:p>
        </w:tc>
        <w:tc>
          <w:p>
            <w:pPr>
              <w:pStyle w:val="Compact"/>
              <w:jc w:val="left"/>
            </w:pPr>
            <w:r>
              <w:t xml:space="preserve">Qué mide</w:t>
            </w:r>
          </w:p>
        </w:tc>
        <w:tc>
          <w:p>
            <w:pPr>
              <w:pStyle w:val="Compact"/>
              <w:jc w:val="left"/>
            </w:pPr>
            <w:r>
              <w:t xml:space="preserve">Fuente</w:t>
            </w:r>
          </w:p>
        </w:tc>
        <w:tc>
          <w:p>
            <w:pPr>
              <w:pStyle w:val="Compact"/>
              <w:jc w:val="left"/>
            </w:pPr>
            <w:r>
              <w:t xml:space="preserve">Frecuencia</w:t>
            </w:r>
          </w:p>
        </w:tc>
        <w:tc>
          <w:p>
            <w:pPr>
              <w:pStyle w:val="Compact"/>
              <w:jc w:val="left"/>
            </w:pPr>
            <w:r>
              <w:t xml:space="preserve">Estado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votometro_ventaja_lla</w:t>
            </w:r>
          </w:p>
        </w:tc>
        <w:tc>
          <w:p>
            <w:pPr>
              <w:pStyle w:val="Compact"/>
              <w:jc w:val="left"/>
            </w:pPr>
            <w:r>
              <w:t xml:space="preserve">Brecha ponderada LLA − PJ en intención de voto</w:t>
            </w:r>
          </w:p>
        </w:tc>
        <w:tc>
          <w:p>
            <w:pPr>
              <w:pStyle w:val="Compact"/>
              <w:jc w:val="left"/>
            </w:pPr>
            <w:r>
              <w:t xml:space="preserve">Votómetro CIGOB (HTML)</w:t>
            </w:r>
          </w:p>
        </w:tc>
        <w:tc>
          <w:p>
            <w:pPr>
              <w:pStyle w:val="Compact"/>
              <w:jc w:val="left"/>
            </w:pPr>
            <w:r>
              <w:t xml:space="preserve">Por encuesta</w:t>
            </w:r>
          </w:p>
        </w:tc>
        <w:tc>
          <w:p>
            <w:pPr>
              <w:pStyle w:val="Compact"/>
              <w:jc w:val="left"/>
            </w:pPr>
            <w:r>
              <w:t xml:space="preserve">Automático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ratio_dnu</w:t>
            </w:r>
          </w:p>
        </w:tc>
        <w:tc>
          <w:p>
            <w:pPr>
              <w:pStyle w:val="Compact"/>
              <w:jc w:val="left"/>
            </w:pPr>
            <w:r>
              <w:t xml:space="preserve">DNUs / leyes sancionadas, año corriente</w:t>
            </w:r>
          </w:p>
        </w:tc>
        <w:tc>
          <w:p>
            <w:pPr>
              <w:pStyle w:val="Compact"/>
              <w:jc w:val="left"/>
            </w:pPr>
            <w:r>
              <w:t xml:space="preserve">InfoLeg, sesión POST</w:t>
            </w:r>
          </w:p>
        </w:tc>
        <w:tc>
          <w:p>
            <w:pPr>
              <w:pStyle w:val="Compact"/>
              <w:jc w:val="left"/>
            </w:pPr>
            <w:r>
              <w:t xml:space="preserve">Mensual</w:t>
            </w:r>
          </w:p>
        </w:tc>
        <w:tc>
          <w:p>
            <w:pPr>
              <w:pStyle w:val="Compact"/>
              <w:jc w:val="left"/>
            </w:pPr>
            <w:r>
              <w:t xml:space="preserve">Automático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movilizacion_cepa</w:t>
            </w:r>
          </w:p>
        </w:tc>
        <w:tc>
          <w:p>
            <w:pPr>
              <w:pStyle w:val="Compact"/>
              <w:jc w:val="left"/>
            </w:pPr>
            <w:r>
              <w:t xml:space="preserve">Conflictividad social: conflictos laborales y protesta</w:t>
            </w:r>
          </w:p>
        </w:tc>
        <w:tc>
          <w:p>
            <w:pPr>
              <w:pStyle w:val="Compact"/>
              <w:jc w:val="left"/>
            </w:pPr>
            <w:r>
              <w:t xml:space="preserve">centrocepa.com.ar (scraping)</w:t>
            </w:r>
          </w:p>
        </w:tc>
        <w:tc>
          <w:p>
            <w:pPr>
              <w:pStyle w:val="Compact"/>
              <w:jc w:val="left"/>
            </w:pPr>
            <w:r>
              <w:t xml:space="preserve">Por informe</w:t>
            </w:r>
          </w:p>
        </w:tc>
        <w:tc>
          <w:p>
            <w:pPr>
              <w:pStyle w:val="Compact"/>
              <w:jc w:val="left"/>
            </w:pPr>
            <w:r>
              <w:t xml:space="preserve">Automático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iaf_transferencias</w:t>
            </w:r>
          </w:p>
        </w:tc>
        <w:tc>
          <w:p>
            <w:pPr>
              <w:pStyle w:val="Compact"/>
              <w:jc w:val="left"/>
            </w:pPr>
            <w:r>
              <w:t xml:space="preserve">Variación real interanual de transferencias federales (RON)</w:t>
            </w:r>
          </w:p>
        </w:tc>
        <w:tc>
          <w:p>
            <w:pPr>
              <w:pStyle w:val="Compact"/>
              <w:jc w:val="left"/>
            </w:pPr>
            <w:r>
              <w:t xml:space="preserve">Hacienda, CSV</w:t>
            </w:r>
          </w:p>
        </w:tc>
        <w:tc>
          <w:p>
            <w:pPr>
              <w:pStyle w:val="Compact"/>
              <w:jc w:val="left"/>
            </w:pPr>
            <w:r>
              <w:t xml:space="preserve">Anual</w:t>
            </w:r>
          </w:p>
        </w:tc>
        <w:tc>
          <w:p>
            <w:pPr>
              <w:pStyle w:val="Compact"/>
              <w:jc w:val="left"/>
            </w:pPr>
            <w:r>
              <w:t xml:space="preserve">Automático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eficacia_legislativa</w:t>
            </w:r>
          </w:p>
        </w:tc>
        <w:tc>
          <w:p>
            <w:pPr>
              <w:pStyle w:val="Compact"/>
              <w:jc w:val="left"/>
            </w:pPr>
            <w:r>
              <w:t xml:space="preserve">Porcentaje de proyectos PE aprobados, ventana 12 meses</w:t>
            </w:r>
          </w:p>
        </w:tc>
        <w:tc>
          <w:p>
            <w:pPr>
              <w:pStyle w:val="Compact"/>
              <w:jc w:val="left"/>
            </w:pPr>
            <w:r>
              <w:t xml:space="preserve">datos.hcdn.gob.ar CKAN</w:t>
            </w:r>
          </w:p>
        </w:tc>
        <w:tc>
          <w:p>
            <w:pPr>
              <w:pStyle w:val="Compact"/>
              <w:jc w:val="left"/>
            </w:pPr>
            <w:r>
              <w:t xml:space="preserve">Mensual</w:t>
            </w:r>
          </w:p>
        </w:tc>
        <w:tc>
          <w:p>
            <w:pPr>
              <w:pStyle w:val="Compact"/>
              <w:jc w:val="left"/>
            </w:pPr>
            <w:r>
              <w:t xml:space="preserve">Automático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veto_quorum</w:t>
            </w:r>
          </w:p>
        </w:tc>
        <w:tc>
          <w:p>
            <w:pPr>
              <w:pStyle w:val="Compact"/>
              <w:jc w:val="left"/>
            </w:pPr>
            <w:r>
              <w:t xml:space="preserve">Porcentaje de sesiones frustradas por falta de quórum</w:t>
            </w:r>
          </w:p>
        </w:tc>
        <w:tc>
          <w:p>
            <w:pPr>
              <w:pStyle w:val="Compact"/>
              <w:jc w:val="left"/>
            </w:pPr>
            <w:r>
              <w:t xml:space="preserve">datos.hcdn.gob.ar CKAN</w:t>
            </w:r>
          </w:p>
        </w:tc>
        <w:tc>
          <w:p>
            <w:pPr>
              <w:pStyle w:val="Compact"/>
              <w:jc w:val="left"/>
            </w:pPr>
            <w:r>
              <w:t xml:space="preserve">Mensual</w:t>
            </w:r>
          </w:p>
        </w:tc>
        <w:tc>
          <w:p>
            <w:pPr>
              <w:pStyle w:val="Compact"/>
              <w:jc w:val="left"/>
            </w:pPr>
            <w:r>
              <w:t xml:space="preserve">Automático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comisiones_caidas</w:t>
            </w:r>
          </w:p>
        </w:tc>
        <w:tc>
          <w:p>
            <w:pPr>
              <w:pStyle w:val="Compact"/>
              <w:jc w:val="left"/>
            </w:pPr>
            <w:r>
              <w:t xml:space="preserve">Porcentaje de proyectos con dictamen OD que no llegan al recinto</w:t>
            </w:r>
          </w:p>
        </w:tc>
        <w:tc>
          <w:p>
            <w:pPr>
              <w:pStyle w:val="Compact"/>
              <w:jc w:val="left"/>
            </w:pPr>
            <w:r>
              <w:t xml:space="preserve">datos.hcdn.gob.ar CKAN</w:t>
            </w:r>
          </w:p>
        </w:tc>
        <w:tc>
          <w:p>
            <w:pPr>
              <w:pStyle w:val="Compact"/>
              <w:jc w:val="left"/>
            </w:pPr>
            <w:r>
              <w:t xml:space="preserve">Mensual</w:t>
            </w:r>
          </w:p>
        </w:tc>
        <w:tc>
          <w:p>
            <w:pPr>
              <w:pStyle w:val="Compact"/>
              <w:jc w:val="left"/>
            </w:pPr>
            <w:r>
              <w:t xml:space="preserve">Automático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cohesion_bloque</w:t>
            </w:r>
          </w:p>
        </w:tc>
        <w:tc>
          <w:p>
            <w:pPr>
              <w:pStyle w:val="Compact"/>
              <w:jc w:val="left"/>
            </w:pPr>
            <w:r>
              <w:t xml:space="preserve">Porcentaje de cohesión del bloque LLA en Diputados</w:t>
            </w:r>
          </w:p>
        </w:tc>
        <w:tc>
          <w:p>
            <w:pPr>
              <w:pStyle w:val="Compact"/>
              <w:jc w:val="left"/>
            </w:pPr>
            <w:r>
              <w:t xml:space="preserve">Carga manual (placeholder 78%)</w:t>
            </w:r>
          </w:p>
        </w:tc>
        <w:tc>
          <w:p>
            <w:pPr>
              <w:pStyle w:val="Compact"/>
              <w:jc w:val="left"/>
            </w:pPr>
            <w:r>
              <w:t xml:space="preserve">Mensual</w:t>
            </w:r>
          </w:p>
        </w:tc>
        <w:tc>
          <w:p>
            <w:pPr>
              <w:pStyle w:val="Compact"/>
              <w:jc w:val="left"/>
            </w:pPr>
            <w:r>
              <w:t xml:space="preserve">Carga manual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gobernadores_alineamiento</w:t>
            </w:r>
          </w:p>
        </w:tc>
        <w:tc>
          <w:p>
            <w:pPr>
              <w:pStyle w:val="Compact"/>
              <w:jc w:val="left"/>
            </w:pPr>
            <w:r>
              <w:t xml:space="preserve">Porcentaje de gobernadores alineados con política nacional</w:t>
            </w:r>
          </w:p>
        </w:tc>
        <w:tc>
          <w:p>
            <w:pPr>
              <w:pStyle w:val="Compact"/>
              <w:jc w:val="left"/>
            </w:pPr>
            <w:r>
              <w:t xml:space="preserve">Carga manual (placeholder 55%)</w:t>
            </w:r>
          </w:p>
        </w:tc>
        <w:tc>
          <w:p>
            <w:pPr>
              <w:pStyle w:val="Compact"/>
              <w:jc w:val="left"/>
            </w:pPr>
            <w:r>
              <w:t xml:space="preserve">Mensual</w:t>
            </w:r>
          </w:p>
        </w:tc>
        <w:tc>
          <w:p>
            <w:pPr>
              <w:pStyle w:val="Compact"/>
              <w:jc w:val="left"/>
            </w:pPr>
            <w:r>
              <w:t xml:space="preserve">Carga manual</w:t>
            </w:r>
          </w:p>
        </w:tc>
      </w:tr>
    </w:tbl>
    <w:p>
      <w:pPr>
        <w:pStyle w:val="BodyText"/>
      </w:pPr>
      <w:r>
        <w:t xml:space="preserve">Score actual del cinturón:</w:t>
      </w:r>
      <w:r>
        <w:t xml:space="preserve"> </w:t>
      </w:r>
      <w:r>
        <w:rPr>
          <w:bCs/>
          <w:b/>
        </w:rPr>
        <w:t xml:space="preserve">4.7 (en tensión)</w:t>
      </w:r>
      <w:r>
        <w:t xml:space="preserve">. Última ejecución: 23 de mayo de 2026, 8 de 9 indicadores frescos (CEPA falló por 404 en la URL del último informe, usó cache).</w:t>
      </w:r>
    </w:p>
    <w:bookmarkEnd w:id="21"/>
    <w:bookmarkStart w:id="31" w:name="detalle-por-indicador"/>
    <w:p>
      <w:pPr>
        <w:pStyle w:val="Heading2"/>
      </w:pPr>
      <w:r>
        <w:t xml:space="preserve">Detalle por indicador</w:t>
      </w:r>
    </w:p>
    <w:bookmarkStart w:id="22" w:name="Xa4b3c206e82263489886b549be38d44475fb6f0"/>
    <w:p>
      <w:pPr>
        <w:pStyle w:val="Heading3"/>
      </w:pPr>
      <w:r>
        <w:rPr>
          <w:rStyle w:val="VerbatimChar"/>
        </w:rPr>
        <w:t xml:space="preserve">votometro_ventaja_lla</w:t>
      </w:r>
      <w:r>
        <w:t xml:space="preserve"> </w:t>
      </w:r>
      <w:r>
        <w:t xml:space="preserve">— Brecha electoral LLA − PJ</w:t>
      </w:r>
    </w:p>
    <w:p>
      <w:pPr>
        <w:numPr>
          <w:ilvl w:val="0"/>
          <w:numId w:val="1001"/>
        </w:numPr>
        <w:pStyle w:val="Compact"/>
      </w:pPr>
      <w:r>
        <w:t xml:space="preserve">Qué mide: diferencia ponderada en puntos porcentuales entre LLA y PJ en intención de voto. Sintetiza las encuestas espacio más recientes con decaimiento temporal y ponderación por calidad de consultora. Corresponde a la dimensión imagen/voto del marco Matus.</w:t>
      </w:r>
    </w:p>
    <w:p>
      <w:pPr>
        <w:numPr>
          <w:ilvl w:val="0"/>
          <w:numId w:val="1001"/>
        </w:numPr>
        <w:pStyle w:val="Compact"/>
      </w:pPr>
      <w:r>
        <w:t xml:space="preserve">Fuente: parsing del array</w:t>
      </w:r>
      <w:r>
        <w:t xml:space="preserve"> </w:t>
      </w:r>
      <w:r>
        <w:rPr>
          <w:rStyle w:val="VerbatimChar"/>
        </w:rPr>
        <w:t xml:space="preserve">encuestasRaw</w:t>
      </w:r>
      <w:r>
        <w:t xml:space="preserve"> </w:t>
      </w:r>
      <w:r>
        <w:t xml:space="preserve">en</w:t>
      </w:r>
      <w:r>
        <w:t xml:space="preserve"> </w:t>
      </w:r>
      <w:r>
        <w:rPr>
          <w:rStyle w:val="VerbatimChar"/>
        </w:rPr>
        <w:t xml:space="preserve">projects/votometro/web/votometro.html</w:t>
      </w:r>
      <w:r>
        <w:t xml:space="preserve">.</w:t>
      </w:r>
    </w:p>
    <w:p>
      <w:pPr>
        <w:numPr>
          <w:ilvl w:val="0"/>
          <w:numId w:val="1001"/>
        </w:numPr>
        <w:pStyle w:val="Compact"/>
      </w:pPr>
      <w:r>
        <w:t xml:space="preserve">Filtros: solo entradas con</w:t>
      </w:r>
      <w:r>
        <w:t xml:space="preserve"> </w:t>
      </w:r>
      <w:r>
        <w:rPr>
          <w:rStyle w:val="VerbatimChar"/>
        </w:rPr>
        <w:t xml:space="preserve">tipo='espacio'</w:t>
      </w:r>
      <w:r>
        <w:t xml:space="preserve">; ventana de los últimos 60 días desde la encuesta más reciente.</w:t>
      </w:r>
    </w:p>
    <w:p>
      <w:pPr>
        <w:numPr>
          <w:ilvl w:val="0"/>
          <w:numId w:val="1001"/>
        </w:numPr>
        <w:pStyle w:val="Compact"/>
      </w:pPr>
      <w:r>
        <w:t xml:space="preserve">Ponderación:</w:t>
      </w:r>
      <w:r>
        <w:t xml:space="preserve"> </w:t>
      </w:r>
      <w:r>
        <w:rPr>
          <w:rStyle w:val="VerbatimChar"/>
        </w:rPr>
        <w:t xml:space="preserve">exp(−0.015 × días) × calidad_mult</w:t>
      </w:r>
      <w:r>
        <w:t xml:space="preserve"> </w:t>
      </w:r>
      <w:r>
        <w:t xml:space="preserve">donde A=3, B=2, C=1.</w:t>
      </w:r>
    </w:p>
    <w:p>
      <w:pPr>
        <w:numPr>
          <w:ilvl w:val="0"/>
          <w:numId w:val="1001"/>
        </w:numPr>
        <w:pStyle w:val="Compact"/>
      </w:pPr>
      <w:r>
        <w:t xml:space="preserve">Cálculo:</w:t>
      </w:r>
      <w:r>
        <w:t xml:space="preserve"> </w:t>
      </w:r>
      <w:r>
        <w:rPr>
          <w:rStyle w:val="VerbatimChar"/>
        </w:rPr>
        <w:t xml:space="preserve">gap = LLA_ponderado − PJ_ponderado</w:t>
      </w:r>
      <w:r>
        <w:t xml:space="preserve"> </w:t>
      </w:r>
      <w:r>
        <w:t xml:space="preserve">en puntos porcentuales.</w:t>
      </w:r>
    </w:p>
    <w:p>
      <w:pPr>
        <w:numPr>
          <w:ilvl w:val="0"/>
          <w:numId w:val="1001"/>
        </w:numPr>
        <w:pStyle w:val="Compact"/>
      </w:pPr>
      <w:r>
        <w:t xml:space="preserve">Score: +15 pp equivale a 0; 0 equivale a 5; −15 pp equivale a 10.</w:t>
      </w:r>
    </w:p>
    <w:p>
      <w:pPr>
        <w:numPr>
          <w:ilvl w:val="0"/>
          <w:numId w:val="1001"/>
        </w:numPr>
        <w:pStyle w:val="Compact"/>
      </w:pPr>
      <w:r>
        <w:t xml:space="preserve">Último valor: +13.3 pp (LLA 41.8 / PJ 28.5), n=11 encuestas (marzo 2026).</w:t>
      </w:r>
    </w:p>
    <w:bookmarkEnd w:id="22"/>
    <w:bookmarkStart w:id="23" w:name="ratio_dnu-ratio-dnu-leyes-sancionadas"/>
    <w:p>
      <w:pPr>
        <w:pStyle w:val="Heading3"/>
      </w:pPr>
      <w:r>
        <w:rPr>
          <w:rStyle w:val="VerbatimChar"/>
        </w:rPr>
        <w:t xml:space="preserve">ratio_dnu</w:t>
      </w:r>
      <w:r>
        <w:t xml:space="preserve"> </w:t>
      </w:r>
      <w:r>
        <w:t xml:space="preserve">— Ratio DNU / leyes sancionadas</w:t>
      </w:r>
    </w:p>
    <w:p>
      <w:pPr>
        <w:numPr>
          <w:ilvl w:val="0"/>
          <w:numId w:val="1002"/>
        </w:numPr>
        <w:pStyle w:val="Compact"/>
      </w:pPr>
      <w:r>
        <w:t xml:space="preserve">Qué mide: proporción de DNUs emitidos respecto a leyes sancionadas por el Congreso en el año corriente. Mayor ratio implica mayor dependencia del decreto, debilidad legislativa y exposición a judicialización. Captura la dimensión poder legislativo y legitimidad normativa (Babino, Agregados de Poder).</w:t>
      </w:r>
    </w:p>
    <w:p>
      <w:pPr>
        <w:numPr>
          <w:ilvl w:val="0"/>
          <w:numId w:val="1002"/>
        </w:numPr>
        <w:pStyle w:val="Compact"/>
      </w:pPr>
      <w:r>
        <w:t xml:space="preserve">Fuente: InfoLeg, búsqueda mediante sesión POST.</w:t>
      </w:r>
    </w:p>
    <w:p>
      <w:pPr>
        <w:numPr>
          <w:ilvl w:val="0"/>
          <w:numId w:val="1002"/>
        </w:numPr>
        <w:pStyle w:val="Compact"/>
      </w:pPr>
      <w:r>
        <w:t xml:space="preserve">Cálculo:</w:t>
      </w:r>
      <w:r>
        <w:t xml:space="preserve"> </w:t>
      </w:r>
      <w:r>
        <w:rPr>
          <w:rStyle w:val="VerbatimChar"/>
        </w:rPr>
        <w:t xml:space="preserve">ratio = count(DNUs enero–hoy) / count(leyes sancionadas enero–hoy)</w:t>
      </w:r>
      <w:r>
        <w:t xml:space="preserve">.</w:t>
      </w:r>
    </w:p>
    <w:p>
      <w:pPr>
        <w:numPr>
          <w:ilvl w:val="0"/>
          <w:numId w:val="1002"/>
        </w:numPr>
        <w:pStyle w:val="Compact"/>
      </w:pPr>
      <w:r>
        <w:t xml:space="preserve">Score: 0 equivale a 0; 1.0 equivale a 5; 2.0+ equivale a 10. Fórmula:</w:t>
      </w:r>
      <w:r>
        <w:t xml:space="preserve"> </w:t>
      </w:r>
      <w:r>
        <w:rPr>
          <w:rStyle w:val="VerbatimChar"/>
        </w:rPr>
        <w:t xml:space="preserve">ratio × 5</w:t>
      </w:r>
      <w:r>
        <w:t xml:space="preserve">.</w:t>
      </w:r>
    </w:p>
    <w:p>
      <w:pPr>
        <w:numPr>
          <w:ilvl w:val="0"/>
          <w:numId w:val="1002"/>
        </w:numPr>
        <w:pStyle w:val="Compact"/>
      </w:pPr>
      <w:r>
        <w:t xml:space="preserve">Referencia histórica: año normal 0.3–0.5; gobierno DNU-intensivo 1.0–2.0+.</w:t>
      </w:r>
    </w:p>
    <w:p>
      <w:pPr>
        <w:numPr>
          <w:ilvl w:val="0"/>
          <w:numId w:val="1002"/>
        </w:numPr>
        <w:pStyle w:val="Compact"/>
      </w:pPr>
      <w:r>
        <w:t xml:space="preserve">Último valor: 3.14 (22 DNUs / 7 leyes período 144).</w:t>
      </w:r>
    </w:p>
    <w:bookmarkEnd w:id="23"/>
    <w:bookmarkStart w:id="24" w:name="movilizacion_cepa-conflictividad-social"/>
    <w:p>
      <w:pPr>
        <w:pStyle w:val="Heading3"/>
      </w:pPr>
      <w:r>
        <w:rPr>
          <w:rStyle w:val="VerbatimChar"/>
        </w:rPr>
        <w:t xml:space="preserve">movilizacion_cepa</w:t>
      </w:r>
      <w:r>
        <w:t xml:space="preserve"> </w:t>
      </w:r>
      <w:r>
        <w:t xml:space="preserve">— Conflictividad social</w:t>
      </w:r>
    </w:p>
    <w:p>
      <w:pPr>
        <w:numPr>
          <w:ilvl w:val="0"/>
          <w:numId w:val="1003"/>
        </w:numPr>
        <w:pStyle w:val="Compact"/>
      </w:pPr>
      <w:r>
        <w:t xml:space="preserve">Qué mide: intensidad de la protesta social: huelgas, cortes, conflictos laborales y movilizaciones. Corresponde a la dimensión conflicto social del marco Matus.</w:t>
      </w:r>
    </w:p>
    <w:p>
      <w:pPr>
        <w:numPr>
          <w:ilvl w:val="0"/>
          <w:numId w:val="1003"/>
        </w:numPr>
        <w:pStyle w:val="Compact"/>
      </w:pPr>
      <w:r>
        <w:t xml:space="preserve">Fuente: scraping de</w:t>
      </w:r>
      <w:r>
        <w:t xml:space="preserve"> </w:t>
      </w:r>
      <w:r>
        <w:rPr>
          <w:rStyle w:val="VerbatimChar"/>
        </w:rPr>
        <w:t xml:space="preserve">centrocepa.com.ar/informes</w:t>
      </w:r>
      <w:r>
        <w:t xml:space="preserve">. Identifica el último informe con</w:t>
      </w:r>
      <w:r>
        <w:t xml:space="preserve"> </w:t>
      </w:r>
      <w:r>
        <w:t xml:space="preserve">“</w:t>
      </w:r>
      <w:r>
        <w:t xml:space="preserve">conflictividad</w:t>
      </w:r>
      <w:r>
        <w:t xml:space="preserve">”</w:t>
      </w:r>
      <w:r>
        <w:t xml:space="preserve"> </w:t>
      </w:r>
      <w:r>
        <w:t xml:space="preserve">en URL y extrae la cifra de conflictos del texto.</w:t>
      </w:r>
    </w:p>
    <w:p>
      <w:pPr>
        <w:numPr>
          <w:ilvl w:val="0"/>
          <w:numId w:val="1003"/>
        </w:numPr>
        <w:pStyle w:val="Compact"/>
      </w:pPr>
      <w:r>
        <w:t xml:space="preserve">Cálculo: extrae</w:t>
      </w:r>
      <w:r>
        <w:t xml:space="preserve"> </w:t>
      </w:r>
      <w:r>
        <w:t xml:space="preserve">“</w:t>
      </w:r>
      <w:r>
        <w:t xml:space="preserve">X casos por mes</w:t>
      </w:r>
      <w:r>
        <w:t xml:space="preserve">”</w:t>
      </w:r>
      <w:r>
        <w:t xml:space="preserve"> </w:t>
      </w:r>
      <w:r>
        <w:t xml:space="preserve">o</w:t>
      </w:r>
      <w:r>
        <w:t xml:space="preserve"> </w:t>
      </w:r>
      <w:r>
        <w:t xml:space="preserve">“</w:t>
      </w:r>
      <w:r>
        <w:t xml:space="preserve">al menos N conflictos</w:t>
      </w:r>
      <w:r>
        <w:t xml:space="preserve">”</w:t>
      </w:r>
      <w:r>
        <w:t xml:space="preserve"> </w:t>
      </w:r>
      <w:r>
        <w:t xml:space="preserve">y normaliza a escala 0–100 (80 casos por mes equivale a 100, o 200 conflictos acumulados equivale a 100).</w:t>
      </w:r>
    </w:p>
    <w:p>
      <w:pPr>
        <w:numPr>
          <w:ilvl w:val="0"/>
          <w:numId w:val="1003"/>
        </w:numPr>
        <w:pStyle w:val="Compact"/>
      </w:pPr>
      <w:r>
        <w:t xml:space="preserve">Score: 0 equivale a 0; 50 equivale a 5; 100 equivale a 10.</w:t>
      </w:r>
    </w:p>
    <w:p>
      <w:pPr>
        <w:numPr>
          <w:ilvl w:val="0"/>
          <w:numId w:val="1003"/>
        </w:numPr>
        <w:pStyle w:val="Compact"/>
      </w:pPr>
      <w:r>
        <w:t xml:space="preserve">Último valor: 46.0 (92 conflictos laborales en lo que va de 2026 — informe CEPA mayo 2026, en cache por 404 actual).</w:t>
      </w:r>
    </w:p>
    <w:bookmarkEnd w:id="24"/>
    <w:bookmarkStart w:id="25" w:name="Xe590ac528f62e08e2e5a135b3be8afa48b62c69"/>
    <w:p>
      <w:pPr>
        <w:pStyle w:val="Heading3"/>
      </w:pPr>
      <w:r>
        <w:rPr>
          <w:rStyle w:val="VerbatimChar"/>
        </w:rPr>
        <w:t xml:space="preserve">iaf_transferencias</w:t>
      </w:r>
      <w:r>
        <w:t xml:space="preserve"> </w:t>
      </w:r>
      <w:r>
        <w:t xml:space="preserve">— Variación real de transferencias federales</w:t>
      </w:r>
    </w:p>
    <w:p>
      <w:pPr>
        <w:numPr>
          <w:ilvl w:val="0"/>
          <w:numId w:val="1004"/>
        </w:numPr>
        <w:pStyle w:val="Compact"/>
      </w:pPr>
      <w:r>
        <w:t xml:space="preserve">Qué mide: variación real interanual de las transferencias federales totales al sistema provincial (Régimen de Coparticipación + otros regímenes). Captura la dimensión fiscal del Índice de Armonía Federal (IAF) de Babino: el cumplimiento del flujo de recursos a provincias. Mayor caída real implica mayor tensión fiscal federal y mayor presión sobre gobernadores.</w:t>
      </w:r>
    </w:p>
    <w:p>
      <w:pPr>
        <w:numPr>
          <w:ilvl w:val="0"/>
          <w:numId w:val="1004"/>
        </w:numPr>
        <w:pStyle w:val="Compact"/>
      </w:pPr>
      <w:r>
        <w:t xml:space="preserve">Fuente: CSV anual de la Serie RON (Recaudación por Origen y Naturaleza), Ministerio de Hacienda —</w:t>
      </w:r>
      <w:r>
        <w:t xml:space="preserve"> </w:t>
      </w:r>
      <w:r>
        <w:rPr>
          <w:rStyle w:val="VerbatimChar"/>
        </w:rPr>
        <w:t xml:space="preserve">serie_ron_2003_2025.csv</w:t>
      </w:r>
      <w:r>
        <w:t xml:space="preserve">.</w:t>
      </w:r>
    </w:p>
    <w:p>
      <w:pPr>
        <w:numPr>
          <w:ilvl w:val="0"/>
          <w:numId w:val="1004"/>
        </w:numPr>
        <w:pStyle w:val="Compact"/>
      </w:pPr>
      <w:r>
        <w:t xml:space="preserve">Cálculo: suma de columna</w:t>
      </w:r>
      <w:r>
        <w:t xml:space="preserve"> </w:t>
      </w:r>
      <w:r>
        <w:rPr>
          <w:rStyle w:val="VerbatimChar"/>
        </w:rPr>
        <w:t xml:space="preserve">monto</w:t>
      </w:r>
      <w:r>
        <w:t xml:space="preserve"> </w:t>
      </w:r>
      <w:r>
        <w:t xml:space="preserve">para año de referencia versus año anterior, deflactada por IPC interanual diciembre INDEC.</w:t>
      </w:r>
    </w:p>
    <w:p>
      <w:pPr>
        <w:numPr>
          <w:ilvl w:val="0"/>
          <w:numId w:val="1004"/>
        </w:numPr>
        <w:pStyle w:val="Compact"/>
      </w:pPr>
      <w:r>
        <w:t xml:space="preserve">Score: +10% equivale a 0; 0% equivale a 2.5; −10% equivale a 5; −30%+ equivale a 10. Fórmula:</w:t>
      </w:r>
      <w:r>
        <w:t xml:space="preserve"> </w:t>
      </w:r>
      <w:r>
        <w:rPr>
          <w:rStyle w:val="VerbatimChar"/>
        </w:rPr>
        <w:t xml:space="preserve">(0.10 − var_real) × 25</w:t>
      </w:r>
      <w:r>
        <w:t xml:space="preserve">.</w:t>
      </w:r>
    </w:p>
    <w:p>
      <w:pPr>
        <w:numPr>
          <w:ilvl w:val="0"/>
          <w:numId w:val="1004"/>
        </w:numPr>
        <w:pStyle w:val="Compact"/>
      </w:pPr>
      <w:r>
        <w:t xml:space="preserve">Frecuencia: dato anual, válido durante todo el año (stale: 365 días).</w:t>
      </w:r>
    </w:p>
    <w:p>
      <w:pPr>
        <w:numPr>
          <w:ilvl w:val="0"/>
          <w:numId w:val="1004"/>
        </w:numPr>
        <w:pStyle w:val="Compact"/>
      </w:pPr>
      <w:r>
        <w:t xml:space="preserve">Configuración IPC: 2024 = 117.06%, 2025 = 38.3%. Actualizar</w:t>
      </w:r>
      <w:r>
        <w:t xml:space="preserve"> </w:t>
      </w:r>
      <w:r>
        <w:rPr>
          <w:rStyle w:val="VerbatimChar"/>
        </w:rPr>
        <w:t xml:space="preserve">IPC_ANUAL</w:t>
      </w:r>
      <w:r>
        <w:t xml:space="preserve"> </w:t>
      </w:r>
      <w:r>
        <w:t xml:space="preserve">en</w:t>
      </w:r>
      <w:r>
        <w:t xml:space="preserve"> </w:t>
      </w:r>
      <w:r>
        <w:rPr>
          <w:rStyle w:val="VerbatimChar"/>
        </w:rPr>
        <w:t xml:space="preserve">politica.py</w:t>
      </w:r>
      <w:r>
        <w:t xml:space="preserve"> </w:t>
      </w:r>
      <w:r>
        <w:t xml:space="preserve">cada enero.</w:t>
      </w:r>
    </w:p>
    <w:p>
      <w:pPr>
        <w:numPr>
          <w:ilvl w:val="0"/>
          <w:numId w:val="1004"/>
        </w:numPr>
        <w:pStyle w:val="Compact"/>
      </w:pPr>
      <w:r>
        <w:t xml:space="preserve">Último valor: +1.8% real i.a.</w:t>
      </w:r>
    </w:p>
    <w:bookmarkEnd w:id="25"/>
    <w:bookmarkStart w:id="26" w:name="Xef406b04abd24069c8785b25848a92872bd8b82"/>
    <w:p>
      <w:pPr>
        <w:pStyle w:val="Heading3"/>
      </w:pPr>
      <w:r>
        <w:rPr>
          <w:rStyle w:val="VerbatimChar"/>
        </w:rPr>
        <w:t xml:space="preserve">eficacia_legislativa</w:t>
      </w:r>
      <w:r>
        <w:t xml:space="preserve"> </w:t>
      </w:r>
      <w:r>
        <w:t xml:space="preserve">— Eficacia legislativa del Ejecutivo</w:t>
      </w:r>
    </w:p>
    <w:p>
      <w:pPr>
        <w:numPr>
          <w:ilvl w:val="0"/>
          <w:numId w:val="1005"/>
        </w:numPr>
        <w:pStyle w:val="Compact"/>
      </w:pPr>
      <w:r>
        <w:t xml:space="preserve">Qué mide: porcentaje de proyectos del Poder Ejecutivo aprobados por el Congreso en una ventana de 12 meses. Captura la dimensión poder legislativo del marco Matus.</w:t>
      </w:r>
    </w:p>
    <w:p>
      <w:pPr>
        <w:numPr>
          <w:ilvl w:val="0"/>
          <w:numId w:val="1005"/>
        </w:numPr>
        <w:pStyle w:val="Compact"/>
      </w:pPr>
      <w:r>
        <w:t xml:space="preserve">Fuente: datos.hcdn.gob.ar (CKAN, proyectos parlamentarios filtrados por origen PE versus sanciones).</w:t>
      </w:r>
    </w:p>
    <w:p>
      <w:pPr>
        <w:numPr>
          <w:ilvl w:val="0"/>
          <w:numId w:val="1005"/>
        </w:numPr>
        <w:pStyle w:val="Compact"/>
      </w:pPr>
      <w:r>
        <w:t xml:space="preserve">Score: 70% equivale a 0; 35% equivale a 5; 0% equivale a 10. Fórmula:</w:t>
      </w:r>
      <w:r>
        <w:t xml:space="preserve"> </w:t>
      </w:r>
      <w:r>
        <w:rPr>
          <w:rStyle w:val="VerbatimChar"/>
        </w:rPr>
        <w:t xml:space="preserve">(70 − val) / 7</w:t>
      </w:r>
      <w:r>
        <w:t xml:space="preserve">.</w:t>
      </w:r>
    </w:p>
    <w:p>
      <w:pPr>
        <w:numPr>
          <w:ilvl w:val="0"/>
          <w:numId w:val="1005"/>
        </w:numPr>
        <w:pStyle w:val="Compact"/>
      </w:pPr>
      <w:r>
        <w:t xml:space="preserve">Último valor: 4.8% (1 de 21 proyectos PE aprobados en últimos 12 meses).</w:t>
      </w:r>
    </w:p>
    <w:bookmarkEnd w:id="26"/>
    <w:bookmarkStart w:id="27" w:name="veto_quorum-poder-de-bloqueo-por-quórum"/>
    <w:p>
      <w:pPr>
        <w:pStyle w:val="Heading3"/>
      </w:pPr>
      <w:r>
        <w:rPr>
          <w:rStyle w:val="VerbatimChar"/>
        </w:rPr>
        <w:t xml:space="preserve">veto_quorum</w:t>
      </w:r>
      <w:r>
        <w:t xml:space="preserve"> </w:t>
      </w:r>
      <w:r>
        <w:t xml:space="preserve">— Poder de bloqueo por quórum</w:t>
      </w:r>
    </w:p>
    <w:p>
      <w:pPr>
        <w:numPr>
          <w:ilvl w:val="0"/>
          <w:numId w:val="1006"/>
        </w:numPr>
        <w:pStyle w:val="Compact"/>
      </w:pPr>
      <w:r>
        <w:t xml:space="preserve">Qué mide: porcentaje de sesiones de Diputados frustradas por falta de quórum. Captura la capacidad de la oposición —o desorganización del oficialismo— de frustrar la agenda legislativa antes del debate. Complementa</w:t>
      </w:r>
      <w:r>
        <w:t xml:space="preserve"> </w:t>
      </w:r>
      <w:r>
        <w:rPr>
          <w:rStyle w:val="VerbatimChar"/>
        </w:rPr>
        <w:t xml:space="preserve">eficacia_legislativa</w:t>
      </w:r>
      <w:r>
        <w:t xml:space="preserve">: esta mide el bloqueo pre-debate;</w:t>
      </w:r>
      <w:r>
        <w:t xml:space="preserve"> </w:t>
      </w:r>
      <w:r>
        <w:rPr>
          <w:rStyle w:val="VerbatimChar"/>
        </w:rPr>
        <w:t xml:space="preserve">eficacia_legislativa</w:t>
      </w:r>
      <w:r>
        <w:t xml:space="preserve"> </w:t>
      </w:r>
      <w:r>
        <w:t xml:space="preserve">mide el resultado del debate.</w:t>
      </w:r>
    </w:p>
    <w:p>
      <w:pPr>
        <w:numPr>
          <w:ilvl w:val="0"/>
          <w:numId w:val="1006"/>
        </w:numPr>
        <w:pStyle w:val="Compact"/>
      </w:pPr>
      <w:r>
        <w:t xml:space="preserve">Fuente: datos.hcdn.gob.ar (CKAN, sesiones del período legislativo con</w:t>
      </w:r>
      <w:r>
        <w:t xml:space="preserve"> </w:t>
      </w:r>
      <w:r>
        <w:rPr>
          <w:rStyle w:val="VerbatimChar"/>
        </w:rPr>
        <w:t xml:space="preserve">REUNION_TIPO</w:t>
      </w:r>
      <w:r>
        <w:t xml:space="preserve"> </w:t>
      </w:r>
      <w:r>
        <w:t xml:space="preserve">que contenga</w:t>
      </w:r>
      <w:r>
        <w:t xml:space="preserve"> </w:t>
      </w:r>
      <w:r>
        <w:t xml:space="preserve">“</w:t>
      </w:r>
      <w:r>
        <w:t xml:space="preserve">Fracasada</w:t>
      </w:r>
      <w:r>
        <w:t xml:space="preserve">”</w:t>
      </w:r>
      <w:r>
        <w:t xml:space="preserve">).</w:t>
      </w:r>
    </w:p>
    <w:p>
      <w:pPr>
        <w:numPr>
          <w:ilvl w:val="0"/>
          <w:numId w:val="1006"/>
        </w:numPr>
        <w:pStyle w:val="Compact"/>
      </w:pPr>
      <w:r>
        <w:t xml:space="preserve">Cálculo: número de sesiones donde se intentó abrir pero no se llegó a 129 / número de sesiones convocadas, período legislativo en curso.</w:t>
      </w:r>
    </w:p>
    <w:p>
      <w:pPr>
        <w:numPr>
          <w:ilvl w:val="0"/>
          <w:numId w:val="1006"/>
        </w:numPr>
        <w:pStyle w:val="Compact"/>
      </w:pPr>
      <w:r>
        <w:t xml:space="preserve">Score: 0% equivale a 0; 15% equivale a 5; 30%+ equivale a 10. Fórmula:</w:t>
      </w:r>
      <w:r>
        <w:t xml:space="preserve"> </w:t>
      </w:r>
      <w:r>
        <w:rPr>
          <w:rStyle w:val="VerbatimChar"/>
        </w:rPr>
        <w:t xml:space="preserve">val / 3</w:t>
      </w:r>
      <w:r>
        <w:t xml:space="preserve">.</w:t>
      </w:r>
    </w:p>
    <w:p>
      <w:pPr>
        <w:numPr>
          <w:ilvl w:val="0"/>
          <w:numId w:val="1006"/>
        </w:numPr>
        <w:pStyle w:val="Compact"/>
      </w:pPr>
      <w:r>
        <w:t xml:space="preserve">Nota metodológica: incluye frustraciones tanto por acción opositora activa como por inasistencia del propio bloque oficialista. Ambas son señales de debilidad del capital legislativo.</w:t>
      </w:r>
    </w:p>
    <w:p>
      <w:pPr>
        <w:numPr>
          <w:ilvl w:val="0"/>
          <w:numId w:val="1006"/>
        </w:numPr>
        <w:pStyle w:val="Compact"/>
      </w:pPr>
      <w:r>
        <w:t xml:space="preserve">Último valor: 0.0% (0 de 2 sesiones del período 144 fracasadas).</w:t>
      </w:r>
    </w:p>
    <w:bookmarkEnd w:id="27"/>
    <w:bookmarkStart w:id="28" w:name="Xcabf341081f51584535f5b92694124ff7e7daf5"/>
    <w:p>
      <w:pPr>
        <w:pStyle w:val="Heading3"/>
      </w:pPr>
      <w:r>
        <w:rPr>
          <w:rStyle w:val="VerbatimChar"/>
        </w:rPr>
        <w:t xml:space="preserve">comisiones_caidas</w:t>
      </w:r>
      <w:r>
        <w:t xml:space="preserve"> </w:t>
      </w:r>
      <w:r>
        <w:t xml:space="preserve">— Proyectos varados post-dictamen</w:t>
      </w:r>
    </w:p>
    <w:p>
      <w:pPr>
        <w:numPr>
          <w:ilvl w:val="0"/>
          <w:numId w:val="1007"/>
        </w:numPr>
        <w:pStyle w:val="Compact"/>
      </w:pPr>
      <w:r>
        <w:t xml:space="preserve">Qué mide: porcentaje de proyectos que obtuvieron dictamen favorable de al menos una comisión pero no fueron incluidos en el orden del día del plenario. Captura el</w:t>
      </w:r>
      <w:r>
        <w:t xml:space="preserve"> </w:t>
      </w:r>
      <w:r>
        <w:t xml:space="preserve">“</w:t>
      </w:r>
      <w:r>
        <w:t xml:space="preserve">cementerio post-comisión</w:t>
      </w:r>
      <w:r>
        <w:t xml:space="preserve">”</w:t>
      </w:r>
      <w:r>
        <w:t xml:space="preserve">: proyectos que pasan el filtro técnico pero mueren antes del recinto.</w:t>
      </w:r>
    </w:p>
    <w:p>
      <w:pPr>
        <w:numPr>
          <w:ilvl w:val="0"/>
          <w:numId w:val="1007"/>
        </w:numPr>
        <w:pStyle w:val="Compact"/>
      </w:pPr>
      <w:r>
        <w:t xml:space="preserve">Fuente: datos.hcdn.gob.ar (CKAN, dictámenes con orden del día versus sanciones).</w:t>
      </w:r>
    </w:p>
    <w:p>
      <w:pPr>
        <w:numPr>
          <w:ilvl w:val="0"/>
          <w:numId w:val="1007"/>
        </w:numPr>
        <w:pStyle w:val="Compact"/>
      </w:pPr>
      <w:r>
        <w:t xml:space="preserve">Cálculo: proyectos con dictamen no convocados al recinto / proyectos con dictamen en el período.</w:t>
      </w:r>
    </w:p>
    <w:p>
      <w:pPr>
        <w:numPr>
          <w:ilvl w:val="0"/>
          <w:numId w:val="1007"/>
        </w:numPr>
        <w:pStyle w:val="Compact"/>
      </w:pPr>
      <w:r>
        <w:t xml:space="preserve">Score: 20% equivale a 0; 40% equivale a 5; 60%+ equivale a 10. Fórmula:</w:t>
      </w:r>
      <w:r>
        <w:t xml:space="preserve"> </w:t>
      </w:r>
      <w:r>
        <w:rPr>
          <w:rStyle w:val="VerbatimChar"/>
        </w:rPr>
        <w:t xml:space="preserve">(val − 20) / 4</w:t>
      </w:r>
      <w:r>
        <w:t xml:space="preserve">.</w:t>
      </w:r>
    </w:p>
    <w:p>
      <w:pPr>
        <w:numPr>
          <w:ilvl w:val="0"/>
          <w:numId w:val="1007"/>
        </w:numPr>
        <w:pStyle w:val="Compact"/>
      </w:pPr>
      <w:r>
        <w:t xml:space="preserve">Último valor: 99.6% (519 de 521 proyectos con OD sin sanción).</w:t>
      </w:r>
    </w:p>
    <w:p>
      <w:pPr>
        <w:numPr>
          <w:ilvl w:val="0"/>
          <w:numId w:val="1007"/>
        </w:numPr>
        <w:pStyle w:val="Compact"/>
      </w:pPr>
      <w:r>
        <w:t xml:space="preserve">Nota metodológica: un 20–30% es normal (no todo dictamen llega de inmediato al recinto); por encima del 50% indica bloqueo sistemático. El valor actual de 99.6% refleja el estructural argentino donde la mayoría de los dictámenes no llegan al plenario, no necesariamente un bloqueo activo.</w:t>
      </w:r>
    </w:p>
    <w:bookmarkEnd w:id="28"/>
    <w:bookmarkStart w:id="29" w:name="cohesion_bloque-cohesión-del-bloque-lla"/>
    <w:p>
      <w:pPr>
        <w:pStyle w:val="Heading3"/>
      </w:pPr>
      <w:r>
        <w:rPr>
          <w:rStyle w:val="VerbatimChar"/>
        </w:rPr>
        <w:t xml:space="preserve">cohesion_bloque</w:t>
      </w:r>
      <w:r>
        <w:t xml:space="preserve"> </w:t>
      </w:r>
      <w:r>
        <w:t xml:space="preserve">— Cohesión del bloque LLA</w:t>
      </w:r>
    </w:p>
    <w:p>
      <w:pPr>
        <w:numPr>
          <w:ilvl w:val="0"/>
          <w:numId w:val="1008"/>
        </w:numPr>
        <w:pStyle w:val="Compact"/>
      </w:pPr>
      <w:r>
        <w:t xml:space="preserve">Qué mide: cuán unido vota el bloque afín al gobierno en Cámara de Diputados.</w:t>
      </w:r>
    </w:p>
    <w:p>
      <w:pPr>
        <w:numPr>
          <w:ilvl w:val="0"/>
          <w:numId w:val="1008"/>
        </w:numPr>
        <w:pStyle w:val="Compact"/>
      </w:pPr>
      <w:r>
        <w:t xml:space="preserve">Fuente: carga manual en</w:t>
      </w:r>
      <w:r>
        <w:t xml:space="preserve"> </w:t>
      </w:r>
      <w:r>
        <w:rPr>
          <w:rStyle w:val="VerbatimChar"/>
        </w:rPr>
        <w:t xml:space="preserve">data/politica/manuales.json</w:t>
      </w:r>
      <w:r>
        <w:t xml:space="preserve"> </w:t>
      </w:r>
      <w:r>
        <w:t xml:space="preserve">(placeholder 78%).</w:t>
      </w:r>
    </w:p>
    <w:p>
      <w:pPr>
        <w:numPr>
          <w:ilvl w:val="0"/>
          <w:numId w:val="1008"/>
        </w:numPr>
        <w:pStyle w:val="Compact"/>
      </w:pPr>
      <w:r>
        <w:t xml:space="preserve">Cálculo objetivo: porcentaje de votaciones nominales donde diputados LLA votaron alineados con la posición oficial, últimos 3 meses.</w:t>
      </w:r>
    </w:p>
    <w:p>
      <w:pPr>
        <w:numPr>
          <w:ilvl w:val="0"/>
          <w:numId w:val="1008"/>
        </w:numPr>
        <w:pStyle w:val="Compact"/>
      </w:pPr>
      <w:r>
        <w:t xml:space="preserve">Razón de la carga manual: las votaciones nominales en CKAN HCDN están congeladas en el período 137 (2019). La composición actual del bloque LLA (95 diputados) está disponible pero sin</w:t>
      </w:r>
      <w:r>
        <w:t xml:space="preserve"> </w:t>
      </w:r>
      <w:r>
        <w:rPr>
          <w:rStyle w:val="VerbatimChar"/>
        </w:rPr>
        <w:t xml:space="preserve">PERSONA_ID</w:t>
      </w:r>
      <w:r>
        <w:t xml:space="preserve"> </w:t>
      </w:r>
      <w:r>
        <w:t xml:space="preserve">que mapee a los votos históricos. Requeriría headless browser sobre hcdn.gob.ar/votaciones o acuerdo institucional con HCDN.</w:t>
      </w:r>
    </w:p>
    <w:p>
      <w:pPr>
        <w:numPr>
          <w:ilvl w:val="0"/>
          <w:numId w:val="1008"/>
        </w:numPr>
        <w:pStyle w:val="Compact"/>
      </w:pPr>
      <w:r>
        <w:t xml:space="preserve">Último valor: 78% placeholder.</w:t>
      </w:r>
    </w:p>
    <w:bookmarkEnd w:id="29"/>
    <w:bookmarkStart w:id="30" w:name="Xdfb55788f846cf46b460fa1e1c695fcc592b647"/>
    <w:p>
      <w:pPr>
        <w:pStyle w:val="Heading3"/>
      </w:pPr>
      <w:r>
        <w:rPr>
          <w:rStyle w:val="VerbatimChar"/>
        </w:rPr>
        <w:t xml:space="preserve">gobernadores_alineamiento</w:t>
      </w:r>
      <w:r>
        <w:t xml:space="preserve"> </w:t>
      </w:r>
      <w:r>
        <w:t xml:space="preserve">— Alineamiento de gobernadores</w:t>
      </w:r>
    </w:p>
    <w:p>
      <w:pPr>
        <w:numPr>
          <w:ilvl w:val="0"/>
          <w:numId w:val="1009"/>
        </w:numPr>
        <w:pStyle w:val="Compact"/>
      </w:pPr>
      <w:r>
        <w:t xml:space="preserve">Qué mide: soporte territorial y federal del gobierno.</w:t>
      </w:r>
    </w:p>
    <w:p>
      <w:pPr>
        <w:numPr>
          <w:ilvl w:val="0"/>
          <w:numId w:val="1009"/>
        </w:numPr>
        <w:pStyle w:val="Compact"/>
      </w:pPr>
      <w:r>
        <w:t xml:space="preserve">Fuente: carga manual en</w:t>
      </w:r>
      <w:r>
        <w:t xml:space="preserve"> </w:t>
      </w:r>
      <w:r>
        <w:rPr>
          <w:rStyle w:val="VerbatimChar"/>
        </w:rPr>
        <w:t xml:space="preserve">data/politica/manuales.json</w:t>
      </w:r>
      <w:r>
        <w:t xml:space="preserve"> </w:t>
      </w:r>
      <w:r>
        <w:t xml:space="preserve">(placeholder 55%).</w:t>
      </w:r>
    </w:p>
    <w:p>
      <w:pPr>
        <w:numPr>
          <w:ilvl w:val="0"/>
          <w:numId w:val="1009"/>
        </w:numPr>
        <w:pStyle w:val="Compact"/>
      </w:pPr>
      <w:r>
        <w:t xml:space="preserve">Cálculo objetivo: porcentaje de gobernadores (sobre 24) con posición pública de apoyo al programa nacional.</w:t>
      </w:r>
    </w:p>
    <w:p>
      <w:pPr>
        <w:numPr>
          <w:ilvl w:val="0"/>
          <w:numId w:val="1009"/>
        </w:numPr>
        <w:pStyle w:val="Compact"/>
      </w:pPr>
      <w:r>
        <w:t xml:space="preserve">Razón de la carga manual: sin fuente pública estructurada. Construible con NLP sobre cobertura periodística (La Nación Data, Infobae) pero requiere proyecto separado.</w:t>
      </w:r>
    </w:p>
    <w:p>
      <w:pPr>
        <w:numPr>
          <w:ilvl w:val="0"/>
          <w:numId w:val="1009"/>
        </w:numPr>
        <w:pStyle w:val="Compact"/>
      </w:pPr>
      <w:r>
        <w:t xml:space="preserve">Último valor: 55% placeholder.</w:t>
      </w:r>
    </w:p>
    <w:bookmarkEnd w:id="30"/>
    <w:bookmarkEnd w:id="31"/>
    <w:bookmarkStart w:id="32" w:name="ejecución"/>
    <w:p>
      <w:pPr>
        <w:pStyle w:val="Heading2"/>
      </w:pPr>
      <w:r>
        <w:t xml:space="preserve">Ejecución</w:t>
      </w:r>
    </w:p>
    <w:p>
      <w:pPr>
        <w:pStyle w:val="SourceCode"/>
      </w:pPr>
      <w:r>
        <w:rPr>
          <w:rStyle w:val="BuiltInTok"/>
        </w:rPr>
        <w:t xml:space="preserve">cd</w:t>
      </w:r>
      <w:r>
        <w:rPr>
          <w:rStyle w:val="NormalTok"/>
        </w:rPr>
        <w:t xml:space="preserve"> projects/informe_coyuntura</w:t>
      </w:r>
      <w:r>
        <w:br/>
      </w:r>
      <w:r>
        <w:rPr>
          <w:rStyle w:val="ExtensionTok"/>
        </w:rPr>
        <w:t xml:space="preserve">python</w:t>
      </w:r>
      <w:r>
        <w:rPr>
          <w:rStyle w:val="NormalTok"/>
        </w:rPr>
        <w:t xml:space="preserve"> scripts/politica.py</w:t>
      </w:r>
    </w:p>
    <w:p>
      <w:pPr>
        <w:pStyle w:val="FirstParagraph"/>
      </w:pPr>
      <w:r>
        <w:t xml:space="preserve">Códigos de salida:</w:t>
      </w:r>
    </w:p>
    <w:tbl>
      <w:tblPr>
        <w:tblStyle w:val="Table"/>
        <w:tblW w:type="pct" w:w="5000.0"/>
        <w:tblLook w:firstRow="1" w:lastRow="0" w:firstColumn="0" w:lastColumn="0" w:noHBand="0" w:noVBand="0" w:val="0020"/>
      </w:tblPr>
      <w:tblGrid>
        <w:gridCol w:w="3960"/>
        <w:gridCol w:w="3960"/>
      </w:tblGrid>
      <w:tr>
        <w:tc>
          <w:p>
            <w:pPr>
              <w:pStyle w:val="Compact"/>
              <w:jc w:val="left"/>
            </w:pPr>
            <w:r>
              <w:t xml:space="preserve">Código</w:t>
            </w:r>
          </w:p>
        </w:tc>
        <w:tc>
          <w:p>
            <w:pPr>
              <w:pStyle w:val="Compact"/>
              <w:jc w:val="left"/>
            </w:pPr>
            <w:r>
              <w:t xml:space="preserve">Significado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0</w:t>
            </w:r>
          </w:p>
        </w:tc>
        <w:tc>
          <w:p>
            <w:pPr>
              <w:pStyle w:val="Compact"/>
              <w:jc w:val="left"/>
            </w:pPr>
            <w:r>
              <w:t xml:space="preserve">Todos los indicadores frescos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p>
            <w:pPr>
              <w:pStyle w:val="Compact"/>
              <w:jc w:val="left"/>
            </w:pPr>
            <w:r>
              <w:t xml:space="preserve">Al menos un indicador fresco (normal si Votómetro no tiene polls recientes)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p>
            <w:pPr>
              <w:pStyle w:val="Compact"/>
              <w:jc w:val="left"/>
            </w:pPr>
            <w:r>
              <w:t xml:space="preserve">Ningún indicador fresco (todo desde cache)</w:t>
            </w:r>
          </w:p>
        </w:tc>
      </w:tr>
    </w:tbl>
    <w:bookmarkEnd w:id="32"/>
    <w:bookmarkStart w:id="33" w:name="notas-de-mantenimiento"/>
    <w:p>
      <w:pPr>
        <w:pStyle w:val="Heading2"/>
      </w:pPr>
      <w:r>
        <w:t xml:space="preserve">Notas de mantenimiento</w:t>
      </w:r>
    </w:p>
    <w:p>
      <w:pPr>
        <w:numPr>
          <w:ilvl w:val="0"/>
          <w:numId w:val="1010"/>
        </w:numPr>
        <w:pStyle w:val="Compact"/>
      </w:pPr>
      <w:r>
        <w:rPr>
          <w:bCs/>
          <w:b/>
        </w:rPr>
        <w:t xml:space="preserve">Votómetro desactualizado:</w:t>
      </w:r>
      <w:r>
        <w:t xml:space="preserve"> </w:t>
      </w:r>
      <w:r>
        <w:t xml:space="preserve">si</w:t>
      </w:r>
      <w:r>
        <w:t xml:space="preserve"> </w:t>
      </w:r>
      <w:r>
        <w:rPr>
          <w:rStyle w:val="VerbatimChar"/>
        </w:rPr>
        <w:t xml:space="preserve">votometro_ventaja_lla.desactualizado=true</w:t>
      </w:r>
      <w:r>
        <w:t xml:space="preserve">, agregar encuestas al Votómetro en</w:t>
      </w:r>
      <w:r>
        <w:t xml:space="preserve"> </w:t>
      </w:r>
      <w:r>
        <w:rPr>
          <w:rStyle w:val="VerbatimChar"/>
        </w:rPr>
        <w:t xml:space="preserve">projects/votometro/web/votometro.html</w:t>
      </w:r>
      <w:r>
        <w:t xml:space="preserve"> </w:t>
      </w:r>
      <w:r>
        <w:t xml:space="preserve">→ array</w:t>
      </w:r>
      <w:r>
        <w:t xml:space="preserve"> </w:t>
      </w:r>
      <w:r>
        <w:rPr>
          <w:rStyle w:val="VerbatimChar"/>
        </w:rPr>
        <w:t xml:space="preserve">encuestasRaw</w:t>
      </w:r>
      <w:r>
        <w:t xml:space="preserve"> </w:t>
      </w:r>
      <w:r>
        <w:t xml:space="preserve">(campo</w:t>
      </w:r>
      <w:r>
        <w:t xml:space="preserve"> </w:t>
      </w:r>
      <w:r>
        <w:rPr>
          <w:rStyle w:val="VerbatimChar"/>
        </w:rPr>
        <w:t xml:space="preserve">tipo='espacio'</w:t>
      </w:r>
      <w:r>
        <w:t xml:space="preserve">).</w:t>
      </w:r>
    </w:p>
    <w:p>
      <w:pPr>
        <w:numPr>
          <w:ilvl w:val="0"/>
          <w:numId w:val="1010"/>
        </w:numPr>
        <w:pStyle w:val="Compact"/>
      </w:pPr>
      <w:r>
        <w:rPr>
          <w:bCs/>
          <w:b/>
        </w:rPr>
        <w:t xml:space="preserve">Falla de</w:t>
      </w:r>
      <w:r>
        <w:rPr>
          <w:bCs/>
          <w:b/>
        </w:rPr>
        <w:t xml:space="preserve"> </w:t>
      </w:r>
      <w:r>
        <w:rPr>
          <w:rStyle w:val="VerbatimChar"/>
          <w:bCs/>
          <w:b/>
        </w:rPr>
        <w:t xml:space="preserve">ratio_dnu</w:t>
      </w:r>
      <w:r>
        <w:rPr>
          <w:bCs/>
          <w:b/>
        </w:rPr>
        <w:t xml:space="preserve">:</w:t>
      </w:r>
      <w:r>
        <w:t xml:space="preserve"> </w:t>
      </w:r>
      <w:r>
        <w:t xml:space="preserve">verificar que</w:t>
      </w:r>
      <w:r>
        <w:t xml:space="preserve"> </w:t>
      </w:r>
      <w:r>
        <w:rPr>
          <w:rStyle w:val="VerbatimChar"/>
        </w:rPr>
        <w:t xml:space="preserve">servicios.infoleg.gob.ar/infolegInternet/</w:t>
      </w:r>
      <w:r>
        <w:t xml:space="preserve"> </w:t>
      </w:r>
      <w:r>
        <w:t xml:space="preserve">responde. La sesión requiere GET previo para obtener</w:t>
      </w:r>
      <w:r>
        <w:t xml:space="preserve"> </w:t>
      </w:r>
      <w:r>
        <w:rPr>
          <w:rStyle w:val="VerbatimChar"/>
        </w:rPr>
        <w:t xml:space="preserve">jsessionid</w:t>
      </w:r>
      <w:r>
        <w:t xml:space="preserve">. Si el formulario cambia estructura, actualizar el regex</w:t>
      </w:r>
      <w:r>
        <w:t xml:space="preserve"> </w:t>
      </w:r>
      <w:r>
        <w:rPr>
          <w:rStyle w:val="VerbatimChar"/>
        </w:rPr>
        <w:t xml:space="preserve">action_m</w:t>
      </w:r>
      <w:r>
        <w:t xml:space="preserve"> </w:t>
      </w:r>
      <w:r>
        <w:t xml:space="preserve">en</w:t>
      </w:r>
      <w:r>
        <w:t xml:space="preserve"> </w:t>
      </w:r>
      <w:r>
        <w:rPr>
          <w:rStyle w:val="VerbatimChar"/>
        </w:rPr>
        <w:t xml:space="preserve">fetch_ratio_dnu()</w:t>
      </w:r>
      <w:r>
        <w:t xml:space="preserve">. El texto</w:t>
      </w:r>
      <w:r>
        <w:t xml:space="preserve"> </w:t>
      </w:r>
      <w:r>
        <w:t xml:space="preserve">“</w:t>
      </w:r>
      <w:r>
        <w:t xml:space="preserve">necesidad y urgencia</w:t>
      </w:r>
      <w:r>
        <w:t xml:space="preserve">”</w:t>
      </w:r>
      <w:r>
        <w:t xml:space="preserve"> </w:t>
      </w:r>
      <w:r>
        <w:t xml:space="preserve">en el campo</w:t>
      </w:r>
      <w:r>
        <w:t xml:space="preserve"> </w:t>
      </w:r>
      <w:r>
        <w:rPr>
          <w:rStyle w:val="VerbatimChar"/>
        </w:rPr>
        <w:t xml:space="preserve">texto</w:t>
      </w:r>
      <w:r>
        <w:t xml:space="preserve"> </w:t>
      </w:r>
      <w:r>
        <w:t xml:space="preserve">filtra los DNUs dentro del tipo</w:t>
      </w:r>
      <w:r>
        <w:t xml:space="preserve"> </w:t>
      </w:r>
      <w:r>
        <w:t xml:space="preserve">“</w:t>
      </w:r>
      <w:r>
        <w:t xml:space="preserve">Decreto</w:t>
      </w:r>
      <w:r>
        <w:t xml:space="preserve">”</w:t>
      </w:r>
      <w:r>
        <w:t xml:space="preserve">.</w:t>
      </w:r>
    </w:p>
    <w:p>
      <w:pPr>
        <w:numPr>
          <w:ilvl w:val="0"/>
          <w:numId w:val="1010"/>
        </w:numPr>
        <w:pStyle w:val="Compact"/>
      </w:pPr>
      <w:r>
        <w:rPr>
          <w:bCs/>
          <w:b/>
        </w:rPr>
        <w:t xml:space="preserve">Falla de CEPA:</w:t>
      </w:r>
      <w:r>
        <w:t xml:space="preserve"> </w:t>
      </w:r>
      <w:r>
        <w:t xml:space="preserve">revisar que</w:t>
      </w:r>
      <w:r>
        <w:t xml:space="preserve"> </w:t>
      </w:r>
      <w:r>
        <w:rPr>
          <w:rStyle w:val="VerbatimChar"/>
        </w:rPr>
        <w:t xml:space="preserve">centrocepa.com.ar/informes</w:t>
      </w:r>
      <w:r>
        <w:t xml:space="preserve"> </w:t>
      </w:r>
      <w:r>
        <w:t xml:space="preserve">siga publicando links con</w:t>
      </w:r>
      <w:r>
        <w:t xml:space="preserve"> </w:t>
      </w:r>
      <w:r>
        <w:t xml:space="preserve">“</w:t>
      </w:r>
      <w:r>
        <w:t xml:space="preserve">conflictividad</w:t>
      </w:r>
      <w:r>
        <w:t xml:space="preserve">”</w:t>
      </w:r>
      <w:r>
        <w:t xml:space="preserve"> </w:t>
      </w:r>
      <w:r>
        <w:t xml:space="preserve">en la URL. Si cambia la estructura del texto del informe, ajustar los patrones regex en</w:t>
      </w:r>
      <w:r>
        <w:t xml:space="preserve"> </w:t>
      </w:r>
      <w:r>
        <w:rPr>
          <w:rStyle w:val="VerbatimChar"/>
        </w:rPr>
        <w:t xml:space="preserve">fetch_cepa_movilizacion()</w:t>
      </w:r>
      <w:r>
        <w:t xml:space="preserve">.</w:t>
      </w:r>
    </w:p>
    <w:p>
      <w:pPr>
        <w:numPr>
          <w:ilvl w:val="0"/>
          <w:numId w:val="1010"/>
        </w:numPr>
        <w:pStyle w:val="Compact"/>
      </w:pPr>
      <w:r>
        <w:rPr>
          <w:bCs/>
          <w:b/>
        </w:rPr>
        <w:t xml:space="preserve">IAF transferencias:</w:t>
      </w:r>
      <w:r>
        <w:t xml:space="preserve"> </w:t>
      </w:r>
      <w:r>
        <w:t xml:space="preserve">el CSV de Hacienda se publica anualmente. Si el año cambia y no hay datos (</w:t>
      </w:r>
      <w:r>
        <w:rPr>
          <w:rStyle w:val="VerbatimChar"/>
        </w:rPr>
        <w:t xml:space="preserve">sin datos para AAAA</w:t>
      </w:r>
      <w:r>
        <w:t xml:space="preserve">), actualizar</w:t>
      </w:r>
      <w:r>
        <w:t xml:space="preserve"> </w:t>
      </w:r>
      <w:r>
        <w:rPr>
          <w:rStyle w:val="VerbatimChar"/>
        </w:rPr>
        <w:t xml:space="preserve">RON_CSV_URL</w:t>
      </w:r>
      <w:r>
        <w:t xml:space="preserve"> </w:t>
      </w:r>
      <w:r>
        <w:t xml:space="preserve">con el nuevo nombre de archivo. Actualizar</w:t>
      </w:r>
      <w:r>
        <w:t xml:space="preserve"> </w:t>
      </w:r>
      <w:r>
        <w:rPr>
          <w:rStyle w:val="VerbatimChar"/>
        </w:rPr>
        <w:t xml:space="preserve">IPC_ANUAL</w:t>
      </w:r>
      <w:r>
        <w:t xml:space="preserve"> </w:t>
      </w:r>
      <w:r>
        <w:t xml:space="preserve">cada enero con la variación diciembre-diciembre INDEC del año que cierra. El CSV usa separador</w:t>
      </w:r>
      <w:r>
        <w:t xml:space="preserve"> </w:t>
      </w:r>
      <w:r>
        <w:rPr>
          <w:rStyle w:val="VerbatimChar"/>
        </w:rPr>
        <w:t xml:space="preserve">;</w:t>
      </w:r>
      <w:r>
        <w:t xml:space="preserve"> </w:t>
      </w:r>
      <w:r>
        <w:t xml:space="preserve">y decimal</w:t>
      </w:r>
      <w:r>
        <w:t xml:space="preserve"> </w:t>
      </w:r>
      <w:r>
        <w:rPr>
          <w:rStyle w:val="VerbatimChar"/>
        </w:rPr>
        <w:t xml:space="preserve">,</w:t>
      </w:r>
      <w:r>
        <w:t xml:space="preserve">.</w:t>
      </w:r>
    </w:p>
    <w:p>
      <w:pPr>
        <w:numPr>
          <w:ilvl w:val="0"/>
          <w:numId w:val="1010"/>
        </w:numPr>
        <w:pStyle w:val="Compact"/>
      </w:pPr>
      <w:r>
        <w:rPr>
          <w:bCs/>
          <w:b/>
        </w:rPr>
        <w:t xml:space="preserve">Datos de carga manual:</w:t>
      </w:r>
      <w:r>
        <w:t xml:space="preserve"> </w:t>
      </w:r>
      <w:r>
        <w:t xml:space="preserve">actualizar</w:t>
      </w:r>
      <w:r>
        <w:t xml:space="preserve"> </w:t>
      </w:r>
      <w:r>
        <w:rPr>
          <w:rStyle w:val="VerbatimChar"/>
        </w:rPr>
        <w:t xml:space="preserve">data/politica/manuales.json</w:t>
      </w:r>
      <w:r>
        <w:t xml:space="preserve"> </w:t>
      </w:r>
      <w:r>
        <w:t xml:space="preserve">con nuevos valores y</w:t>
      </w:r>
      <w:r>
        <w:t xml:space="preserve"> </w:t>
      </w:r>
      <w:r>
        <w:rPr>
          <w:rStyle w:val="VerbatimChar"/>
        </w:rPr>
        <w:t xml:space="preserve">fecha_dato</w:t>
      </w:r>
      <w:r>
        <w:t xml:space="preserve"> </w:t>
      </w:r>
      <w:r>
        <w:t xml:space="preserve">actualizada en cada ciclo.</w:t>
      </w:r>
    </w:p>
    <w:bookmarkEnd w:id="33"/>
    <w:bookmarkStart w:id="34" w:name="limitaciones-documentadas-de-ckan-hcdn"/>
    <w:p>
      <w:pPr>
        <w:pStyle w:val="Heading2"/>
      </w:pPr>
      <w:r>
        <w:t xml:space="preserve">Limitaciones documentadas de CKAN HCDN</w:t>
      </w:r>
    </w:p>
    <w:p>
      <w:pPr>
        <w:numPr>
          <w:ilvl w:val="0"/>
          <w:numId w:val="1011"/>
        </w:numPr>
        <w:pStyle w:val="Compact"/>
      </w:pPr>
      <w:r>
        <w:rPr>
          <w:rStyle w:val="VerbatimChar"/>
        </w:rPr>
        <w:t xml:space="preserve">q=</w:t>
      </w:r>
      <w:r>
        <w:t xml:space="preserve"> </w:t>
      </w:r>
      <w:r>
        <w:t xml:space="preserve">realiza búsqueda full-text por tokens, no substring.</w:t>
      </w:r>
      <w:r>
        <w:t xml:space="preserve"> </w:t>
      </w:r>
      <w:r>
        <w:rPr>
          <w:rStyle w:val="VerbatimChar"/>
        </w:rPr>
        <w:t xml:space="preserve">q="HCDN144"</w:t>
      </w:r>
      <w:r>
        <w:t xml:space="preserve"> </w:t>
      </w:r>
      <w:r>
        <w:t xml:space="preserve">no matchea</w:t>
      </w:r>
      <w:r>
        <w:t xml:space="preserve"> </w:t>
      </w:r>
      <w:r>
        <w:rPr>
          <w:rStyle w:val="VerbatimChar"/>
        </w:rPr>
        <w:t xml:space="preserve">HCDN144R02</w:t>
      </w:r>
      <w:r>
        <w:t xml:space="preserve">. Usar</w:t>
      </w:r>
      <w:r>
        <w:t xml:space="preserve"> </w:t>
      </w:r>
      <w:r>
        <w:rPr>
          <w:rStyle w:val="VerbatimChar"/>
        </w:rPr>
        <w:t xml:space="preserve">q=str(year)</w:t>
      </w:r>
      <w:r>
        <w:t xml:space="preserve"> </w:t>
      </w:r>
      <w:r>
        <w:t xml:space="preserve">y filtrar del lado Python con</w:t>
      </w:r>
      <w:r>
        <w:t xml:space="preserve"> </w:t>
      </w:r>
      <w:r>
        <w:rPr>
          <w:rStyle w:val="VerbatimChar"/>
        </w:rPr>
        <w:t xml:space="preserve">startswith(periodo_prefix)</w:t>
      </w:r>
      <w:r>
        <w:t xml:space="preserve">.</w:t>
      </w:r>
    </w:p>
    <w:p>
      <w:pPr>
        <w:numPr>
          <w:ilvl w:val="0"/>
          <w:numId w:val="1011"/>
        </w:numPr>
        <w:pStyle w:val="Compact"/>
      </w:pPr>
      <w:r>
        <w:t xml:space="preserve">Filtros por campo exacto con caracteres acentuados devuelven 0 resultados por encoding. Usar siempre Python-side con</w:t>
      </w:r>
      <w:r>
        <w:t xml:space="preserve"> </w:t>
      </w:r>
      <w:r>
        <w:rPr>
          <w:rStyle w:val="VerbatimChar"/>
        </w:rPr>
        <w:t xml:space="preserve">.lower()</w:t>
      </w:r>
      <w:r>
        <w:t xml:space="preserve"> </w:t>
      </w:r>
      <w:r>
        <w:t xml:space="preserve">y substrings.</w:t>
      </w:r>
    </w:p>
    <w:p>
      <w:pPr>
        <w:numPr>
          <w:ilvl w:val="0"/>
          <w:numId w:val="1011"/>
        </w:numPr>
        <w:pStyle w:val="Compact"/>
      </w:pPr>
      <w:r>
        <w:rPr>
          <w:rStyle w:val="VerbatimChar"/>
        </w:rPr>
        <w:t xml:space="preserve">dictámenes.EXPEDIENTE</w:t>
      </w:r>
      <w:r>
        <w:t xml:space="preserve"> </w:t>
      </w:r>
      <w:r>
        <w:t xml:space="preserve">es el mismo campo que</w:t>
      </w:r>
      <w:r>
        <w:t xml:space="preserve"> </w:t>
      </w:r>
      <w:r>
        <w:rPr>
          <w:rStyle w:val="VerbatimChar"/>
        </w:rPr>
        <w:t xml:space="preserve">movimientos.PROYECTO_ID</w:t>
      </w:r>
      <w:r>
        <w:t xml:space="preserve">. Permite join directo sin pasar por proyectos-parlamentarios.</w:t>
      </w:r>
    </w:p>
    <w:p>
      <w:pPr>
        <w:numPr>
          <w:ilvl w:val="0"/>
          <w:numId w:val="1011"/>
        </w:numPr>
        <w:pStyle w:val="Compact"/>
      </w:pPr>
      <w:r>
        <w:t xml:space="preserve">Las sesiones desactivadas antes de la apertura formal no aparecen en HCDN. Solo aparecen sesiones formalmente iniciadas y luego fracasadas.</w:t>
      </w:r>
    </w:p>
    <w:p>
      <w:pPr>
        <w:numPr>
          <w:ilvl w:val="0"/>
          <w:numId w:val="1011"/>
        </w:numPr>
        <w:pStyle w:val="Compact"/>
      </w:pPr>
      <w:r>
        <w:rPr>
          <w:rStyle w:val="VerbatimChar"/>
        </w:rPr>
        <w:t xml:space="preserve">REUNION_TIPO</w:t>
      </w:r>
      <w:r>
        <w:t xml:space="preserve"> </w:t>
      </w:r>
      <w:r>
        <w:t xml:space="preserve">para sesiones fracasadas contiene</w:t>
      </w:r>
      <w:r>
        <w:t xml:space="preserve"> </w:t>
      </w:r>
      <w:r>
        <w:t xml:space="preserve">“</w:t>
      </w:r>
      <w:r>
        <w:t xml:space="preserve">Fracasada</w:t>
      </w:r>
      <w:r>
        <w:t xml:space="preserve">”</w:t>
      </w:r>
      <w:r>
        <w:t xml:space="preserve"> </w:t>
      </w:r>
      <w:r>
        <w:t xml:space="preserve">al final (por ejemplo,</w:t>
      </w:r>
      <w:r>
        <w:t xml:space="preserve"> </w:t>
      </w:r>
      <w:r>
        <w:t xml:space="preserve">“</w:t>
      </w:r>
      <w:r>
        <w:t xml:space="preserve">Informativa Art. 71 CN - Citada - Fracasada</w:t>
      </w:r>
      <w:r>
        <w:t xml:space="preserve">”</w:t>
      </w:r>
      <w:r>
        <w:t xml:space="preserve">).</w:t>
      </w:r>
    </w:p>
    <w:p>
      <w:pPr>
        <w:numPr>
          <w:ilvl w:val="0"/>
          <w:numId w:val="1011"/>
        </w:numPr>
        <w:pStyle w:val="Compact"/>
      </w:pPr>
      <w:r>
        <w:t xml:space="preserve">Período legislativo:</w:t>
      </w:r>
      <w:r>
        <w:t xml:space="preserve"> </w:t>
      </w:r>
      <w:r>
        <w:rPr>
          <w:rStyle w:val="VerbatimChar"/>
        </w:rPr>
        <w:t xml:space="preserve">periodo_num = 144 + (año_actual − 2026)</w:t>
      </w:r>
      <w:r>
        <w:t xml:space="preserve">. Prefijo</w:t>
      </w:r>
      <w:r>
        <w:t xml:space="preserve"> </w:t>
      </w:r>
      <w:r>
        <w:rPr>
          <w:rStyle w:val="VerbatimChar"/>
        </w:rPr>
        <w:t xml:space="preserve">PERIODO_ID</w:t>
      </w:r>
      <w:r>
        <w:t xml:space="preserve">:</w:t>
      </w:r>
      <w:r>
        <w:t xml:space="preserve"> </w:t>
      </w:r>
      <w:r>
        <w:rPr>
          <w:rStyle w:val="VerbatimChar"/>
        </w:rPr>
        <w:t xml:space="preserve">HCDN{periodo_num}</w:t>
      </w:r>
      <w:r>
        <w:t xml:space="preserve">.</w:t>
      </w:r>
    </w:p>
    <w:bookmarkEnd w:id="34"/>
    <w:bookmarkEnd w:id="35"/>
    <w:sectPr>
      <w:headerReference r:id="rId9" w:type="default"/>
      <w:footerReference r:id="rId10" w:type="default"/>
      <w:pgMar w:bottom="1134" w:left="1417" w:right="1417" w:top="1417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  <w:pBdr>
        <w:top w:val="single" w:sz="4" w:space="6" w:color="BFBFBF"/>
      </w:pBdr>
    </w:pPr>
    <w:r>
      <w:rPr>
        <w:rFonts w:ascii="Calibri" w:hAnsi="Calibri" w:cs="Calibri" w:eastAsia="Calibri"/>
        <w:color w:val="5F6360"/>
        <w:sz w:val="16"/>
      </w:rPr>
      <w:t xml:space="preserve">Fundación CiGob   ·   página </w:t>
    </w:r>
    <w:r>
      <w:rPr>
        <w:rFonts w:ascii="Calibri" w:hAnsi="Calibri" w:cs="Calibri" w:eastAsia="Calibri"/>
        <w:color w:val="5F6360"/>
        <w:sz w:val="16"/>
      </w:rPr>
      <w:fldChar w:fldCharType="begin"/>
      <w:instrText>PAGE</w:instrText>
      <w:fldChar w:fldCharType="end"/>
    </w:r>
    <w:r>
      <w:rPr>
        <w:rFonts w:ascii="Calibri" w:hAnsi="Calibri" w:cs="Calibri" w:eastAsia="Calibri"/>
        <w:color w:val="5F6360"/>
        <w:sz w:val="16"/>
      </w:rPr>
      <w:t xml:space="preserve"> de </w:t>
    </w:r>
    <w:r>
      <w:rPr>
        <w:rFonts w:ascii="Calibri" w:hAnsi="Calibri" w:cs="Calibri" w:eastAsia="Calibri"/>
        <w:color w:val="5F6360"/>
        <w:sz w:val="16"/>
      </w:rPr>
      <w:fldChar w:fldCharType="begin"/>
      <w:instrText>NUMPAGES</w:instrText>
      <w:fldChar w:fldCharType="end"/>
    </w:r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  <w:pBdr>
        <w:bottom w:val="single" w:sz="8" w:space="8" w:color="1D67CD"/>
      </w:pBdr>
    </w:pPr>
    <w:r>
      <w:drawing>
        <wp:inline xmlns:a="http://schemas.openxmlformats.org/drawingml/2006/main" xmlns:pic="http://schemas.openxmlformats.org/drawingml/2006/picture">
          <wp:extent cx="1196883" cy="360000"/>
          <wp:docPr id="1" name="Picture 1"/>
          <wp:cNvGraphicFramePr>
            <a:graphicFrameLocks noChangeAspect="1"/>
          </wp:cNvGraphicFramePr>
          <a:graphic>
            <a:graphicData uri="http://schemas.openxmlformats.org/drawingml/2006/picture">
              <pic:pic>
                <pic:nvPicPr>
                  <pic:cNvPr id="0" name="cigob_logo.pn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1196883" cy="360000"/>
                  </a:xfrm>
                  <a:prstGeom prst="rect"/>
                </pic:spPr>
              </pic:pic>
            </a:graphicData>
          </a:graphic>
        </wp:inline>
      </w:drawing>
    </w:r>
  </w:p>
</w:hdr>
</file>

<file path=word/numbering.xml><?xml version="1.0" encoding="utf-8"?>
<w:numbering xmlns:w="http://schemas.openxmlformats.org/wordprocessingml/2006/main">
  <w:abstractNum w:abstractNumId="990">
    <w:nsid w:val="2c1ae401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ea454b4c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90"/>
  <w:embedSystemFonts/>
  <w:proofState w:grammar="clean" w:spelling="clean"/>
  <w:stylePaneFormatFilter w:val="0004"/>
  <w:footnotePr>
    <w:footnote w:id="-1"/>
    <w:footnote w:id="0"/>
  </w:footnotePr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  <w:rsidRoot w:val="00590D07"/>
    <w:rsid w:val="00011C8B"/>
    <w:rsid w:val="004E29B3"/>
    <w:rsid w:val="00590D07"/>
    <w:rsid w:val="00784D58"/>
    <w:rsid w:val="008D6863"/>
    <w:rsid w:val="00B86B75"/>
    <w:rsid w:val="00BC48D5"/>
    <w:rsid w:val="00C36279"/>
    <w:rsid w:val="00E315A3"/>
  </w:rsids>
  <m:mathPr>
    <m:mathFont m:val="Lucida Grande"/>
    <m:brkBin m:val="before"/>
    <m:brkBinSub m:val="--"/>
    <m:smallFrac m:val="false"/>
    <m:dispDef m:val="false"/>
    <m:lMargin m:val="0"/>
    <m:rMargin m:val="0"/>
    <m:wrapRight/>
    <m:intLim m:val="subSup"/>
    <m:naryLim m:val="subSup"/>
  </m:mathPr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proofState w:grammar="clean" w:spelling="clean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  <w:rPr>
      <w:rFonts w:ascii="Calibri" w:cs="Calibri" w:eastAsia="Calibri" w:hAnsi="Calibri"/>
      <w:b w:val="0"/>
      <w:i w:val="0"/>
      <w:color w:val="333333"/>
      <w:sz w:val="22"/>
    </w:rPr>
    <w:pPr>
      <w:spacing w:after="120" w:before="0"/>
    </w:pPr>
  </w:style>
  <w:style w:styleId="BodyText" w:type="paragraph">
    <w:name w:val="Body Text"/>
    <w:basedOn w:val="Normal"/>
    <w:link w:val="BodyTextChar"/>
    <w:pPr>
      <w:spacing w:after="120" w:before="0"/>
    </w:pPr>
    <w:qFormat/>
    <w:rPr>
      <w:rFonts w:ascii="Calibri" w:cs="Calibri" w:eastAsia="Calibri" w:hAnsi="Calibri"/>
      <w:b w:val="0"/>
      <w:i w:val="0"/>
      <w:color w:val="333333"/>
      <w:sz w:val="22"/>
    </w:rPr>
  </w:style>
  <w:style w:customStyle="1" w:styleId="FirstParagraph" w:type="paragraph">
    <w:name w:val="First Paragraph"/>
    <w:basedOn w:val="BodyText"/>
    <w:next w:val="BodyText"/>
    <w:qFormat/>
    <w:rPr>
      <w:rFonts w:ascii="Calibri" w:cs="Calibri" w:eastAsia="Calibri" w:hAnsi="Calibri"/>
      <w:b w:val="0"/>
      <w:i w:val="0"/>
      <w:color w:val="333333"/>
      <w:sz w:val="22"/>
    </w:rPr>
    <w:pPr>
      <w:spacing w:after="120" w:before="0"/>
    </w:pPr>
  </w:style>
  <w:style w:customStyle="1" w:styleId="Compact" w:type="paragraph">
    <w:name w:val="Compact"/>
    <w:basedOn w:val="BodyText"/>
    <w:qFormat/>
    <w:pPr>
      <w:spacing w:after="40" w:before="0"/>
    </w:pPr>
    <w:rPr>
      <w:rFonts w:ascii="Calibri" w:cs="Calibri" w:eastAsia="Calibri" w:hAnsi="Calibri"/>
      <w:b w:val="0"/>
      <w:i w:val="0"/>
      <w:color w:val="333333"/>
      <w:sz w:val="22"/>
    </w:rPr>
  </w:style>
  <w:style w:styleId="Title" w:type="paragraph">
    <w:name w:val="Title"/>
    <w:basedOn w:val="Normal"/>
    <w:next w:val="BodyText"/>
    <w:qFormat/>
    <w:pPr>
      <w:keepNext/>
      <w:keepLines/>
      <w:spacing w:after="160" w:before="0"/>
      <w:jc w:val="center"/>
    </w:pPr>
    <w:rPr>
      <w:rFonts w:ascii="Calibri" w:asciiTheme="majorHAnsi" w:cs="Calibri" w:cstheme="majorBidi" w:eastAsia="Calibri" w:eastAsiaTheme="majorEastAsia" w:hAnsi="Calibri" w:hAnsiTheme="majorHAnsi"/>
      <w:b/>
      <w:bCs/>
      <w:i w:val="0"/>
      <w:color w:val="0F3D7A"/>
      <w:sz w:val="52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360" w:before="0"/>
      <w:jc w:val="center"/>
    </w:pPr>
    <w:rPr>
      <w:rFonts w:ascii="Calibri" w:cs="Calibri" w:eastAsia="Calibri" w:hAnsi="Calibri"/>
      <w:b w:val="0"/>
      <w:i/>
      <w:color w:val="5F6360"/>
      <w:sz w:val="28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  <w:spacing w:after="40" w:before="0"/>
    </w:pPr>
    <w:rPr>
      <w:rFonts w:ascii="Calibri" w:cs="Calibri" w:eastAsia="Calibri" w:hAnsi="Calibri"/>
      <w:b w:val="0"/>
      <w:i/>
      <w:color w:val="5F6360"/>
      <w:sz w:val="22"/>
    </w:rPr>
  </w:style>
  <w:style w:styleId="Date" w:type="paragraph">
    <w:name w:val="Date"/>
    <w:next w:val="BodyText"/>
    <w:qFormat/>
    <w:pPr>
      <w:keepNext/>
      <w:keepLines/>
      <w:jc w:val="center"/>
      <w:spacing w:after="360" w:before="0"/>
    </w:pPr>
    <w:rPr>
      <w:rFonts w:ascii="Calibri" w:cs="Calibri" w:eastAsia="Calibri" w:hAnsi="Calibri"/>
      <w:b w:val="0"/>
      <w:i/>
      <w:color w:val="5F6360"/>
      <w:sz w:val="22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240" w:before="240"/>
    </w:pPr>
    <w:rPr>
      <w:rFonts w:ascii="Calibri" w:cs="Calibri" w:eastAsia="Calibri" w:hAnsi="Calibri"/>
      <w:b w:val="0"/>
      <w:i/>
      <w:color w:val="333333"/>
      <w:sz w:val="22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160" w:before="480"/>
      <w:outlineLvl w:val="0"/>
      <w:pBdr>
        <w:bottom w:color="1D67CD" w:space="4" w:sz="8" w:val="single"/>
      </w:pBdr>
    </w:pPr>
    <w:rPr>
      <w:rFonts w:ascii="Calibri" w:asciiTheme="majorHAnsi" w:cs="Calibri" w:cstheme="majorBidi" w:eastAsia="Calibri" w:eastAsiaTheme="majorEastAsia" w:hAnsi="Calibri" w:hAnsiTheme="majorHAnsi"/>
      <w:b/>
      <w:bCs/>
      <w:i w:val="0"/>
      <w:color w:val="1D67CD"/>
      <w:sz w:val="36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120" w:before="360"/>
      <w:outlineLvl w:val="1"/>
    </w:pPr>
    <w:rPr>
      <w:rFonts w:ascii="Calibri" w:asciiTheme="majorHAnsi" w:cs="Calibri" w:cstheme="majorBidi" w:eastAsia="Calibri" w:eastAsiaTheme="majorEastAsia" w:hAnsi="Calibri" w:hAnsiTheme="majorHAnsi"/>
      <w:b/>
      <w:bCs/>
      <w:i w:val="0"/>
      <w:color w:val="1D67C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80" w:before="240"/>
      <w:outlineLvl w:val="2"/>
    </w:pPr>
    <w:rPr>
      <w:rFonts w:ascii="Calibri" w:asciiTheme="majorHAnsi" w:cs="Calibri" w:cstheme="majorBidi" w:eastAsia="Calibri" w:eastAsiaTheme="majorEastAsia" w:hAnsi="Calibri" w:hAnsiTheme="majorHAnsi"/>
      <w:b/>
      <w:bCs/>
      <w:i w:val="0"/>
      <w:color w:val="0F3D7A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80" w:before="200"/>
      <w:outlineLvl w:val="3"/>
    </w:pPr>
    <w:rPr>
      <w:rFonts w:ascii="Calibri" w:asciiTheme="majorHAnsi" w:cs="Calibri" w:cstheme="majorBidi" w:eastAsia="Calibri" w:eastAsiaTheme="majorEastAsia" w:hAnsi="Calibri" w:hAnsiTheme="majorHAnsi"/>
      <w:i/>
      <w:b/>
      <w:bCs/>
      <w:color w:val="333333"/>
      <w:sz w:val="22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60" w:before="160"/>
      <w:outlineLvl w:val="4"/>
    </w:pPr>
    <w:rPr>
      <w:rFonts w:ascii="Calibri" w:asciiTheme="majorHAnsi" w:cs="Calibri" w:cstheme="majorBidi" w:eastAsia="Calibri" w:eastAsiaTheme="majorEastAsia" w:hAnsi="Calibri" w:hAnsiTheme="majorHAnsi"/>
      <w:b/>
      <w:i w:val="0"/>
      <w:iCs/>
      <w:color w:val="333333"/>
      <w:sz w:val="22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60" w:before="160"/>
      <w:outlineLvl w:val="5"/>
    </w:pPr>
    <w:rPr>
      <w:rFonts w:ascii="Calibri" w:asciiTheme="majorHAnsi" w:cs="Calibri" w:cstheme="majorBidi" w:eastAsia="Calibri" w:eastAsiaTheme="majorEastAsia" w:hAnsi="Calibri" w:hAnsiTheme="majorHAnsi"/>
      <w:b w:val="0"/>
      <w:i/>
      <w:color w:val="5F6360"/>
      <w:sz w:val="22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60" w:before="160"/>
      <w:ind w:firstLine="0" w:left="480" w:right="480"/>
    </w:pPr>
    <w:rPr>
      <w:rFonts w:ascii="Calibri" w:cs="Calibri" w:eastAsia="Calibri" w:hAnsi="Calibri"/>
      <w:b w:val="0"/>
      <w:i/>
      <w:color w:val="5F6360"/>
      <w:sz w:val="22"/>
    </w:rPr>
  </w:style>
  <w:style w:styleId="FootnoteText" w:type="paragraph">
    <w:name w:val="Footnote Text"/>
    <w:basedOn w:val="Normal"/>
    <w:next w:val="FootnoteText"/>
    <w:uiPriority w:val="9"/>
    <w:unhideWhenUsed/>
    <w:qFormat/>
    <w:rPr>
      <w:rFonts w:ascii="Calibri" w:cs="Calibri" w:eastAsia="Calibri" w:hAnsi="Calibri"/>
      <w:b w:val="0"/>
      <w:i w:val="0"/>
      <w:color w:val="333333"/>
      <w:sz w:val="18"/>
    </w:rPr>
    <w:pPr>
      <w:spacing w:after="40" w:before="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  <w:tblBorders>
        <w:top w:color="BFBFBF" w:sz="4" w:val="single"/>
        <w:left w:color="BFBFBF" w:sz="4" w:val="single"/>
        <w:bottom w:color="BFBFBF" w:sz="4" w:val="single"/>
        <w:right w:color="BFBFBF" w:sz="4" w:val="single"/>
        <w:insideH w:color="BFBFBF" w:sz="4" w:val="single"/>
        <w:insideV w:color="BFBFBF" w:sz="4" w:val="single"/>
      </w:tblBorders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 w:before="120"/>
    </w:pPr>
    <w:rPr>
      <w:rFonts w:ascii="Calibri" w:cs="Calibri" w:eastAsia="Calibri" w:hAnsi="Calibri"/>
      <w:b/>
      <w:i w:val="0"/>
      <w:color w:val="0F3D7A"/>
      <w:sz w:val="22"/>
    </w:rPr>
  </w:style>
  <w:style w:customStyle="1" w:styleId="Definition" w:type="paragraph">
    <w:name w:val="Definition"/>
    <w:basedOn w:val="Normal"/>
    <w:rPr>
      <w:rFonts w:ascii="Calibri" w:cs="Calibri" w:eastAsia="Calibri" w:hAnsi="Calibri"/>
      <w:b w:val="0"/>
      <w:i w:val="0"/>
      <w:color w:val="333333"/>
      <w:sz w:val="22"/>
    </w:rPr>
    <w:pPr>
      <w:spacing w:after="120" w:before="0"/>
    </w:pPr>
  </w:style>
  <w:style w:styleId="Caption" w:type="paragraph">
    <w:name w:val="Caption"/>
    <w:basedOn w:val="Normal"/>
    <w:link w:val="BodyTextChar"/>
    <w:pPr>
      <w:spacing w:after="160" w:before="40"/>
    </w:pPr>
    <w:rPr>
      <w:rFonts w:ascii="Calibri" w:cs="Calibri" w:eastAsia="Calibri" w:hAnsi="Calibri"/>
      <w:b w:val="0"/>
      <w:i/>
      <w:color w:val="5F6360"/>
      <w:sz w:val="18"/>
    </w:rPr>
  </w:style>
  <w:style w:customStyle="1" w:styleId="TableCaption" w:type="paragraph">
    <w:name w:val="Table Caption"/>
    <w:basedOn w:val="Caption"/>
    <w:pPr>
      <w:keepNext/>
      <w:spacing w:after="160" w:before="40"/>
    </w:pPr>
    <w:rPr>
      <w:rFonts w:ascii="Calibri" w:cs="Calibri" w:eastAsia="Calibri" w:hAnsi="Calibri"/>
      <w:b w:val="0"/>
      <w:i/>
      <w:color w:val="5F6360"/>
      <w:sz w:val="18"/>
    </w:rPr>
  </w:style>
  <w:style w:customStyle="1" w:styleId="ImageCaption" w:type="paragraph">
    <w:name w:val="Image Caption"/>
    <w:basedOn w:val="Caption"/>
    <w:rPr>
      <w:rFonts w:ascii="Calibri" w:cs="Calibri" w:eastAsia="Calibri" w:hAnsi="Calibri"/>
      <w:b w:val="0"/>
      <w:i/>
      <w:color w:val="5F6360"/>
      <w:sz w:val="18"/>
    </w:rPr>
    <w:pPr>
      <w:spacing w:after="160" w:before="40"/>
    </w:pPr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cs="Consolas" w:eastAsia="Consolas" w:hAnsi="Consolas"/>
      <w:color w:val="0F3D7A"/>
      <w:sz w:val="18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val="1D67C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/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/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Id="rId9" Target="header1.xml" Type="http://schemas.openxmlformats.org/officeDocument/2006/relationships/header" /><Relationship Id="rId10" Target="footer1.xml" Type="http://schemas.openxmlformats.org/officeDocument/2006/relationships/footer" /></Relationships>
</file>

<file path=word/_rels/footnotes.xml.rels><?xml version="1.0" encoding="UTF-8"?><Relationships xmlns="http://schemas.openxmlformats.org/package/2006/relationships" /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2026-06-11T14:35:52Z</dcterms:created>
  <dcterms:modified xsi:type="dcterms:W3CDTF">2026-06-11T14:35:52Z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