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Gestión</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3" w:name="cinturón-gestión-resumen"/>
    <w:p>
      <w:pPr>
        <w:pStyle w:val="Heading1"/>
        <w:keepNext/>
      </w:pPr>
      <w:r>
        <w:t xml:space="preserve">Cinturón Gestión — resumen</w:t>
      </w:r>
    </w:p>
    <w:p>
      <w:pPr>
        <w:pStyle w:val="FirstParagraph"/>
      </w:pPr>
      <w:r>
        <w:t xml:space="preserve">Este documento tiene una ficha por indicador — son 15 en total, y cada una arranca en página nueva. Antes de las fichas, el cinturón completo de un vistazo.</w:t>
      </w:r>
    </w:p>
    <w:bookmarkStart w:id="20" w:name="itcg-el-índice-del-cinturón"/>
    <w:p>
      <w:pPr>
        <w:pStyle w:val="Heading2"/>
        <w:keepNext/>
      </w:pPr>
      <w:r>
        <w:t xml:space="preserve">ITCG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ITCG: 76,8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Moderadamente aflojado</w:t>
            </w:r>
          </w:p>
        </w:tc>
        <w:tc>
          <w:p>
            <w:pPr>
              <w:pStyle w:val="Compact"/>
              <w:jc w:val="left"/>
            </w:pPr>
            <w:r>
              <w:rPr>
                <w:sz w:val="18"/>
              </w:rPr>
              <w:t xml:space="preserve">15 indicadores: 8 en verde · 4 en amarillo · 1 en naranja</w:t>
            </w:r>
          </w:p>
        </w:tc>
      </w:tr>
    </w:tbl>
    <w:bookmarkEnd w:id="20"/>
    <w:bookmarkStart w:id="21"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Puntaje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Reformas económicas fundamentales</w:t>
            </w:r>
          </w:p>
        </w:tc>
        <w:tc>
          <w:p>
            <w:pPr>
              <w:pStyle w:val="Compact"/>
              <w:jc w:val="left"/>
            </w:pPr>
            <w:r>
              <w:rPr>
                <w:sz w:val="18"/>
              </w:rPr>
              <w:t xml:space="preserve">El corazón de la promesa económica: cepo desarmado (brecha cambiaria), comercio exterior abierto (alícuota efectiva) y desregulación normativa.</w:t>
            </w:r>
          </w:p>
        </w:tc>
        <w:tc>
          <w:p>
            <w:pPr>
              <w:pStyle w:val="Compact"/>
              <w:jc w:val="left"/>
            </w:pPr>
            <w:r>
              <w:rPr>
                <w:sz w:val="18"/>
              </w:rPr>
              <w:t xml:space="preserve">76,6</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35,0 %</w:t>
            </w:r>
          </w:p>
        </w:tc>
      </w:tr>
      <w:tr>
        <w:trPr>
          <w:cantSplit/>
        </w:trPr>
        <w:tc>
          <w:tcPr>
            <w:shd w:val="clear" w:color="auto" w:fill="F6F8F7"/>
          </w:tcPr>
          <w:p>
            <w:pPr>
              <w:pStyle w:val="Compact"/>
              <w:jc w:val="left"/>
            </w:pPr>
            <w:r>
              <w:rPr>
                <w:sz w:val="18"/>
              </w:rPr>
              <w:t xml:space="preserve">Reforma del Estado</w:t>
            </w:r>
          </w:p>
        </w:tc>
        <w:tc>
          <w:tcPr>
            <w:shd w:val="clear" w:color="auto" w:fill="F6F8F7"/>
          </w:tcPr>
          <w:p>
            <w:pPr>
              <w:pStyle w:val="Compact"/>
              <w:jc w:val="left"/>
            </w:pPr>
            <w:r>
              <w:rPr>
                <w:sz w:val="18"/>
              </w:rPr>
              <w:t xml:space="preserve">El achicamiento del Estado en cuatro medidas que se controlan entre sí.</w:t>
            </w:r>
          </w:p>
        </w:tc>
        <w:tc>
          <w:tcPr>
            <w:shd w:val="clear" w:color="auto" w:fill="F6F8F7"/>
          </w:tcPr>
          <w:p>
            <w:pPr>
              <w:pStyle w:val="Compact"/>
              <w:jc w:val="left"/>
            </w:pPr>
            <w:r>
              <w:rPr>
                <w:sz w:val="18"/>
              </w:rPr>
              <w:t xml:space="preserve">80,8</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25,0 %</w:t>
            </w:r>
          </w:p>
        </w:tc>
      </w:tr>
      <w:tr>
        <w:trPr>
          <w:cantSplit/>
        </w:trPr>
        <w:tc>
          <w:p>
            <w:pPr>
              <w:pStyle w:val="Compact"/>
              <w:jc w:val="left"/>
            </w:pPr>
            <w:r>
              <w:rPr>
                <w:sz w:val="18"/>
              </w:rPr>
              <w:t xml:space="preserve">Reforma laboral</w:t>
            </w:r>
          </w:p>
        </w:tc>
        <w:tc>
          <w:p>
            <w:pPr>
              <w:pStyle w:val="Compact"/>
              <w:jc w:val="left"/>
            </w:pPr>
            <w:r>
              <w:rPr>
                <w:sz w:val="18"/>
              </w:rPr>
              <w:t xml:space="preserve">Instrumento y resultado.</w:t>
            </w:r>
          </w:p>
        </w:tc>
        <w:tc>
          <w:p>
            <w:pPr>
              <w:pStyle w:val="Compact"/>
              <w:jc w:val="left"/>
            </w:pPr>
            <w:r>
              <w:rPr>
                <w:sz w:val="18"/>
              </w:rPr>
              <w:t xml:space="preserve">79,7</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15,0 %</w:t>
            </w:r>
          </w:p>
        </w:tc>
      </w:tr>
      <w:tr>
        <w:trPr>
          <w:cantSplit/>
        </w:trPr>
        <w:tc>
          <w:tcPr>
            <w:shd w:val="clear" w:color="auto" w:fill="F6F8F7"/>
          </w:tcPr>
          <w:p>
            <w:pPr>
              <w:pStyle w:val="Compact"/>
              <w:jc w:val="left"/>
            </w:pPr>
            <w:r>
              <w:rPr>
                <w:sz w:val="18"/>
              </w:rPr>
              <w:t xml:space="preserve">Privatizaciones e inversión</w:t>
            </w:r>
          </w:p>
        </w:tc>
        <w:tc>
          <w:tcPr>
            <w:shd w:val="clear" w:color="auto" w:fill="F6F8F7"/>
          </w:tcPr>
          <w:p>
            <w:pPr>
              <w:pStyle w:val="Compact"/>
              <w:jc w:val="left"/>
            </w:pPr>
            <w:r>
              <w:rPr>
                <w:sz w:val="18"/>
              </w:rPr>
              <w:t xml:space="preserve">Los activos del Estado y la inversión privada grande: privatizaciones, cartera del RIGI y concesiones viales.</w:t>
            </w:r>
          </w:p>
        </w:tc>
        <w:tc>
          <w:tcPr>
            <w:shd w:val="clear" w:color="auto" w:fill="F6F8F7"/>
          </w:tcPr>
          <w:p>
            <w:pPr>
              <w:pStyle w:val="Compact"/>
              <w:jc w:val="left"/>
            </w:pPr>
            <w:r>
              <w:rPr>
                <w:sz w:val="18"/>
              </w:rPr>
              <w:t xml:space="preserve">62,9</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15,0 %</w:t>
            </w:r>
          </w:p>
        </w:tc>
      </w:tr>
      <w:tr>
        <w:trPr>
          <w:cantSplit/>
        </w:trPr>
        <w:tc>
          <w:p>
            <w:pPr>
              <w:pStyle w:val="Compact"/>
              <w:jc w:val="left"/>
            </w:pPr>
            <w:r>
              <w:rPr>
                <w:sz w:val="18"/>
              </w:rPr>
              <w:t xml:space="preserve">Reforma social y orden</w:t>
            </w:r>
          </w:p>
        </w:tc>
        <w:tc>
          <w:p>
            <w:pPr>
              <w:pStyle w:val="Compact"/>
              <w:jc w:val="left"/>
            </w:pPr>
            <w:r>
              <w:rPr>
                <w:sz w:val="18"/>
              </w:rPr>
              <w:t xml:space="preserve">La reforma social y el orden público: asistencia sin intermediarios (TDPS), protocolo antipiquetes y libertad de opción en salud.</w:t>
            </w:r>
          </w:p>
        </w:tc>
        <w:tc>
          <w:p>
            <w:pPr>
              <w:pStyle w:val="Compact"/>
              <w:jc w:val="left"/>
            </w:pPr>
            <w:r>
              <w:rPr>
                <w:sz w:val="18"/>
              </w:rPr>
              <w:t xml:space="preserve">84,4</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10,0 %</w:t>
            </w:r>
          </w:p>
        </w:tc>
      </w:tr>
    </w:tbl>
    <w:p>
      <w:r>
        <w:br w:type="page"/>
      </w:r>
    </w:p>
    <w:p>
      <w:pPr>
        <w:pStyle w:val="BodyText"/>
      </w:pPr>
      <w:r>
        <w:rPr>
          <w:bCs/>
          <w:b/>
        </w:rPr>
        <w:t xml:space="preserve">CIGOB · INFORME DE COYUNTURA</w:t>
      </w:r>
    </w:p>
    <w:bookmarkEnd w:id="21"/>
    <w:bookmarkStart w:id="22"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ITCG</w:t>
            </w:r>
          </w:p>
        </w:tc>
      </w:tr>
      <w:tr>
        <w:trPr>
          <w:cantSplit/>
        </w:trPr>
        <w:tc>
          <w:tcPr>
            <w:gridSpan w:val="5"/>
            <w:shd w:val="clear" w:color="auto" w:fill="E8EDEB"/>
          </w:tcPr>
          <w:p>
            <w:pPr>
              <w:pStyle w:val="Compact"/>
              <w:jc w:val="left"/>
              <w:keepNext/>
            </w:pPr>
            <w:r>
              <w:rPr>
                <w:b/>
                <w:sz w:val="18"/>
              </w:rPr>
              <w:t>Reformas económicas fundamentales</w:t>
            </w:r>
          </w:p>
        </w:tc>
      </w:tr>
      <w:tr>
        <w:trPr>
          <w:cantSplit/>
        </w:trPr>
        <w:tc>
          <w:tcPr>
            <w:shd w:val="clear" w:color="auto" w:fill="F6F8F7"/>
          </w:tcPr>
          <w:p>
            <w:pPr>
              <w:pStyle w:val="Compact"/>
              <w:jc w:val="left"/>
            </w:pPr>
            <w:r>
              <w:rPr>
                <w:sz w:val="18"/>
              </w:rPr>
              <w:t xml:space="preserve">Brecha cambiaria (cepo)</w:t>
            </w:r>
          </w:p>
        </w:tc>
        <w:tc>
          <w:tcPr>
            <w:shd w:val="clear" w:color="auto" w:fill="F6F8F7"/>
          </w:tcPr>
          <w:p>
            <w:pPr>
              <w:pStyle w:val="Compact"/>
              <w:jc w:val="left"/>
            </w:pPr>
            <w:r>
              <w:rPr>
                <w:sz w:val="18"/>
              </w:rPr>
              <w:t xml:space="preserve">Cuánto se separa el dólar financiero (CCL) del dólar mayorista de referencia: la brecha cambiaria.</w:t>
            </w:r>
          </w:p>
        </w:tc>
        <w:tc>
          <w:tcPr>
            <w:shd w:val="clear" w:color="auto" w:fill="F6F8F7"/>
          </w:tcPr>
          <w:p>
            <w:pPr>
              <w:pStyle w:val="Compact"/>
              <w:jc w:val="left"/>
            </w:pPr>
            <w:r>
              <w:rPr>
                <w:sz w:val="18"/>
              </w:rPr>
              <w:t xml:space="preserve">5,49 % de brecha CCL/mayorista</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14,0 %</w:t>
            </w:r>
          </w:p>
        </w:tc>
      </w:tr>
      <w:tr>
        <w:trPr>
          <w:cantSplit/>
        </w:trPr>
        <w:tc>
          <w:p>
            <w:pPr>
              <w:pStyle w:val="Compact"/>
              <w:jc w:val="left"/>
            </w:pPr>
            <w:r>
              <w:rPr>
                <w:sz w:val="18"/>
              </w:rPr>
              <w:t xml:space="preserve">Apertura comercial (alícuota)</w:t>
            </w:r>
          </w:p>
        </w:tc>
        <w:tc>
          <w:p>
            <w:pPr>
              <w:pStyle w:val="Compact"/>
              <w:jc w:val="left"/>
            </w:pPr>
            <w:r>
              <w:rPr>
                <w:sz w:val="18"/>
              </w:rPr>
              <w:t xml:space="preserve">La alícuota efectiva del comercio exterior.</w:t>
            </w:r>
          </w:p>
        </w:tc>
        <w:tc>
          <w:p>
            <w:pPr>
              <w:pStyle w:val="Compact"/>
              <w:jc w:val="left"/>
            </w:pPr>
            <w:r>
              <w:rPr>
                <w:sz w:val="18"/>
              </w:rPr>
              <w:t xml:space="preserve">6,18 % del intercambio (alícuota efectiva)</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14,0 %</w:t>
            </w:r>
          </w:p>
        </w:tc>
      </w:tr>
      <w:tr>
        <w:trPr>
          <w:cantSplit/>
        </w:trPr>
        <w:tc>
          <w:tcPr>
            <w:shd w:val="clear" w:color="auto" w:fill="F6F8F7"/>
          </w:tcPr>
          <w:p>
            <w:pPr>
              <w:pStyle w:val="Compact"/>
              <w:jc w:val="left"/>
            </w:pPr>
            <w:r>
              <w:rPr>
                <w:sz w:val="18"/>
              </w:rPr>
              <w:t xml:space="preserve">Desregulación normativa</w:t>
            </w:r>
          </w:p>
        </w:tc>
        <w:tc>
          <w:tcPr>
            <w:shd w:val="clear" w:color="auto" w:fill="F6F8F7"/>
          </w:tcPr>
          <w:p>
            <w:pPr>
              <w:pStyle w:val="Compact"/>
              <w:jc w:val="left"/>
            </w:pPr>
            <w:r>
              <w:rPr>
                <w:sz w:val="18"/>
              </w:rPr>
              <w:t xml:space="preserve">Cuántos artículos de normas quedaron modificados o eliminados por el programa desregulador desde el 10 de diciembre de…</w:t>
            </w:r>
          </w:p>
        </w:tc>
        <w:tc>
          <w:tcPr>
            <w:shd w:val="clear" w:color="auto" w:fill="F6F8F7"/>
          </w:tcPr>
          <w:p>
            <w:pPr>
              <w:pStyle w:val="Compact"/>
              <w:jc w:val="left"/>
            </w:pPr>
            <w:r>
              <w:rPr>
                <w:sz w:val="18"/>
              </w:rPr>
              <w:t xml:space="preserve">16.178 artículos de normas modificados o eliminados, acumulados desde dic-2023</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7,0 %</w:t>
            </w:r>
          </w:p>
        </w:tc>
      </w:tr>
      <w:tr>
        <w:trPr>
          <w:cantSplit/>
        </w:trPr>
        <w:tc>
          <w:tcPr>
            <w:gridSpan w:val="5"/>
            <w:shd w:val="clear" w:color="auto" w:fill="E8EDEB"/>
          </w:tcPr>
          <w:p>
            <w:pPr>
              <w:pStyle w:val="Compact"/>
              <w:jc w:val="left"/>
              <w:keepNext/>
            </w:pPr>
            <w:r>
              <w:rPr>
                <w:b/>
                <w:sz w:val="18"/>
              </w:rPr>
              <w:t>Reforma del Estado</w:t>
            </w:r>
          </w:p>
        </w:tc>
      </w:tr>
      <w:tr>
        <w:trPr>
          <w:cantSplit/>
        </w:trPr>
        <w:tc>
          <w:tcPr>
            <w:shd w:val="clear" w:color="auto" w:fill="F6F8F7"/>
          </w:tcPr>
          <w:p>
            <w:pPr>
              <w:pStyle w:val="Compact"/>
              <w:jc w:val="left"/>
            </w:pPr>
            <w:r>
              <w:rPr>
                <w:sz w:val="18"/>
              </w:rPr>
              <w:t xml:space="preserve">Dotación del Estado (APN)</w:t>
            </w:r>
          </w:p>
        </w:tc>
        <w:tc>
          <w:tcPr>
            <w:shd w:val="clear" w:color="auto" w:fill="F6F8F7"/>
          </w:tcPr>
          <w:p>
            <w:pPr>
              <w:pStyle w:val="Compact"/>
              <w:jc w:val="left"/>
            </w:pPr>
            <w:r>
              <w:rPr>
                <w:sz w:val="18"/>
              </w:rPr>
              <w:t xml:space="preserve">Cuánto varía la dotación de personal de la Administración Pública Nacional respecto de diciembre de 2023 (inicio del…</w:t>
            </w:r>
          </w:p>
        </w:tc>
        <w:tc>
          <w:tcPr>
            <w:shd w:val="clear" w:color="auto" w:fill="F6F8F7"/>
          </w:tcPr>
          <w:p>
            <w:pPr>
              <w:pStyle w:val="Compact"/>
              <w:jc w:val="left"/>
            </w:pPr>
            <w:r>
              <w:rPr>
                <w:sz w:val="18"/>
              </w:rPr>
              <w:t xml:space="preserve">−20,36 % de variación vs dic-2023 (dotación APN)</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10,9 %</w:t>
            </w:r>
          </w:p>
        </w:tc>
      </w:tr>
      <w:tr>
        <w:trPr>
          <w:cantSplit/>
        </w:trPr>
        <w:tc>
          <w:p>
            <w:pPr>
              <w:pStyle w:val="Compact"/>
              <w:jc w:val="left"/>
            </w:pPr>
            <w:r>
              <w:rPr>
                <w:sz w:val="18"/>
              </w:rPr>
              <w:t xml:space="preserve">Gasto de funcionamiento</w:t>
            </w:r>
          </w:p>
        </w:tc>
        <w:tc>
          <w:p>
            <w:pPr>
              <w:pStyle w:val="Compact"/>
              <w:jc w:val="left"/>
            </w:pPr>
            <w:r>
              <w:rPr>
                <w:sz w:val="18"/>
              </w:rPr>
              <w:t xml:space="preserve">Cuánto varía en términos reales el gasto de funcionamiento del Estado nacional respecto de 2023.</w:t>
            </w:r>
          </w:p>
        </w:tc>
        <w:tc>
          <w:p>
            <w:pPr>
              <w:pStyle w:val="Compact"/>
              <w:jc w:val="left"/>
            </w:pPr>
            <w:r>
              <w:rPr>
                <w:sz w:val="18"/>
              </w:rPr>
              <w:t xml:space="preserve">−31,37 % de variación real vs 2023-06 (IMIG funcionamiento)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7,8 %</w:t>
            </w:r>
          </w:p>
        </w:tc>
      </w:tr>
      <w:tr>
        <w:trPr>
          <w:cantSplit/>
        </w:trPr>
        <w:tc>
          <w:tcPr>
            <w:shd w:val="clear" w:color="auto" w:fill="F6F8F7"/>
          </w:tcPr>
          <w:p>
            <w:pPr>
              <w:pStyle w:val="Compact"/>
              <w:jc w:val="left"/>
            </w:pPr>
            <w:r>
              <w:rPr>
                <w:sz w:val="18"/>
              </w:rPr>
              <w:t xml:space="preserve">Masa salarial pública</w:t>
            </w:r>
          </w:p>
        </w:tc>
        <w:tc>
          <w:tcPr>
            <w:shd w:val="clear" w:color="auto" w:fill="F6F8F7"/>
          </w:tcPr>
          <w:p>
            <w:pPr>
              <w:pStyle w:val="Compact"/>
              <w:jc w:val="left"/>
            </w:pPr>
            <w:r>
              <w:rPr>
                <w:sz w:val="18"/>
              </w:rPr>
              <w:t xml:space="preserve">Cuánto varía en términos reales la masa salarial del personal del Estado nacional respecto de 2023.</w:t>
            </w:r>
          </w:p>
        </w:tc>
        <w:tc>
          <w:tcPr>
            <w:shd w:val="clear" w:color="auto" w:fill="F6F8F7"/>
          </w:tcPr>
          <w:p>
            <w:pPr>
              <w:pStyle w:val="Compact"/>
              <w:jc w:val="left"/>
            </w:pPr>
            <w:r>
              <w:rPr>
                <w:sz w:val="18"/>
              </w:rPr>
              <w:t xml:space="preserve">−32,37 % de variación real vs 2023-06 (SPN remuneraciones)</w:t>
            </w:r>
          </w:p>
        </w:tc>
        <w:tc>
          <w:tcPr>
            <w:shd w:val="clear" w:color="auto" w:fill="F6F8F7"/>
          </w:tcPr>
          <w:p>
            <w:pPr>
              <w:pStyle w:val="Compact"/>
              <w:jc w:val="left"/>
            </w:pPr>
            <w:r>
              <w:rPr>
                <w:sz w:val="18"/>
              </w:rPr>
              <w:t xml:space="preserve">—</w:t>
            </w:r>
          </w:p>
        </w:tc>
        <w:tc>
          <w:tcPr>
            <w:shd w:val="clear" w:color="auto" w:fill="F6F8F7"/>
          </w:tcPr>
          <w:p>
            <w:pPr>
              <w:pStyle w:val="Compact"/>
              <w:jc w:val="left"/>
            </w:pPr>
            <w:r>
              <w:rPr>
                <w:sz w:val="18"/>
              </w:rPr>
              <w:t xml:space="preserve">fuera: suspendido, en revisión</w:t>
            </w:r>
          </w:p>
        </w:tc>
      </w:tr>
      <w:tr>
        <w:trPr>
          <w:cantSplit/>
        </w:trPr>
        <w:tc>
          <w:p>
            <w:pPr>
              <w:pStyle w:val="Compact"/>
              <w:jc w:val="left"/>
            </w:pPr>
            <w:r>
              <w:rPr>
                <w:sz w:val="18"/>
              </w:rPr>
              <w:t xml:space="preserve">Reestructuración de organismos</w:t>
            </w:r>
          </w:p>
        </w:tc>
        <w:tc>
          <w:p>
            <w:pPr>
              <w:pStyle w:val="Compact"/>
              <w:jc w:val="left"/>
            </w:pPr>
            <w:r>
              <w:rPr>
                <w:sz w:val="18"/>
              </w:rPr>
              <w:t xml:space="preserve">Cuántos organismos públicos se disolvieron o cerraron desde diciembre de 2023, con ese cierre todavía vigente.</w:t>
            </w:r>
          </w:p>
        </w:tc>
        <w:tc>
          <w:p>
            <w:pPr>
              <w:pStyle w:val="Compact"/>
              <w:jc w:val="left"/>
            </w:pPr>
            <w:r>
              <w:rPr>
                <w:sz w:val="18"/>
              </w:rPr>
              <w:t xml:space="preserve">24,4 % de avance (proxy InfoLeg, caso por caso)</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6,2 %</w:t>
            </w:r>
          </w:p>
        </w:tc>
      </w:tr>
      <w:tr>
        <w:trPr>
          <w:cantSplit/>
        </w:trPr>
        <w:tc>
          <w:tcPr>
            <w:gridSpan w:val="5"/>
            <w:shd w:val="clear" w:color="auto" w:fill="E8EDEB"/>
          </w:tcPr>
          <w:p>
            <w:pPr>
              <w:pStyle w:val="Compact"/>
              <w:jc w:val="left"/>
              <w:keepNext/>
            </w:pPr>
            <w:r>
              <w:rPr>
                <w:b/>
                <w:sz w:val="18"/>
              </w:rPr>
              <w:t>Reforma laboral</w:t>
            </w:r>
          </w:p>
        </w:tc>
      </w:tr>
      <w:tr>
        <w:trPr>
          <w:cantSplit/>
        </w:trPr>
        <w:tc>
          <w:p>
            <w:pPr>
              <w:pStyle w:val="Compact"/>
              <w:jc w:val="left"/>
            </w:pPr>
            <w:r>
              <w:rPr>
                <w:sz w:val="18"/>
              </w:rPr>
              <w:t xml:space="preserve">Fondo de Asistencia Laboral</w:t>
            </w:r>
          </w:p>
        </w:tc>
        <w:tc>
          <w:p>
            <w:pPr>
              <w:pStyle w:val="Compact"/>
              <w:jc w:val="left"/>
            </w:pPr>
            <w:r>
              <w:rPr>
                <w:sz w:val="18"/>
              </w:rPr>
              <w:t xml:space="preserve">Si están dados los dos actos que ponen en pie al Fondo de Asistencia Laboral, el mecanismo para financiar las…</w:t>
            </w:r>
          </w:p>
        </w:tc>
        <w:tc>
          <w:p>
            <w:pPr>
              <w:pStyle w:val="Compact"/>
              <w:jc w:val="left"/>
            </w:pPr>
            <w:r>
              <w:rPr>
                <w:sz w:val="18"/>
              </w:rPr>
              <w:t xml:space="preserve">100 Índice 0–100 (actos fundamentales del FAL: ley + reglamentación)</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7,5 %</w:t>
            </w:r>
          </w:p>
        </w:tc>
      </w:tr>
      <w:tr>
        <w:trPr>
          <w:cantSplit/>
        </w:trPr>
        <w:tc>
          <w:tcPr>
            <w:shd w:val="clear" w:color="auto" w:fill="F6F8F7"/>
          </w:tcPr>
          <w:p>
            <w:pPr>
              <w:pStyle w:val="Compact"/>
              <w:jc w:val="left"/>
            </w:pPr>
            <w:r>
              <w:rPr>
                <w:sz w:val="18"/>
              </w:rPr>
              <w:t xml:space="preserve">Litigiosidad laboral (SRT)</w:t>
            </w:r>
          </w:p>
        </w:tc>
        <w:tc>
          <w:tcPr>
            <w:shd w:val="clear" w:color="auto" w:fill="F6F8F7"/>
          </w:tcPr>
          <w:p>
            <w:pPr>
              <w:pStyle w:val="Compact"/>
              <w:jc w:val="left"/>
            </w:pPr>
            <w:r>
              <w:rPr>
                <w:sz w:val="18"/>
              </w:rPr>
              <w:t xml:space="preserve">Cuánto varían los juicios laborales del sistema de riesgos del trabajo (SRT).</w:t>
            </w:r>
          </w:p>
        </w:tc>
        <w:tc>
          <w:tcPr>
            <w:shd w:val="clear" w:color="auto" w:fill="F6F8F7"/>
          </w:tcPr>
          <w:p>
            <w:pPr>
              <w:pStyle w:val="Compact"/>
              <w:jc w:val="left"/>
            </w:pPr>
            <w:r>
              <w:rPr>
                <w:sz w:val="18"/>
              </w:rPr>
              <w:t xml:space="preserve">2,8 % variación juicios SRT (12m vs 12m previos)</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7,5 %</w:t>
            </w:r>
          </w:p>
        </w:tc>
      </w:tr>
      <w:tr>
        <w:trPr>
          <w:cantSplit/>
        </w:trPr>
        <w:tc>
          <w:tcPr>
            <w:gridSpan w:val="5"/>
            <w:shd w:val="clear" w:color="auto" w:fill="E8EDEB"/>
          </w:tcPr>
          <w:p>
            <w:pPr>
              <w:pStyle w:val="Compact"/>
              <w:jc w:val="left"/>
              <w:keepNext/>
            </w:pPr>
            <w:r>
              <w:rPr>
                <w:b/>
                <w:sz w:val="18"/>
              </w:rPr>
              <w:t>Privatizaciones e inversión</w:t>
            </w:r>
          </w:p>
        </w:tc>
      </w:tr>
      <w:tr>
        <w:trPr>
          <w:cantSplit/>
        </w:trPr>
        <w:tc>
          <w:tcPr>
            <w:shd w:val="clear" w:color="auto" w:fill="F6F8F7"/>
          </w:tcPr>
          <w:p>
            <w:pPr>
              <w:pStyle w:val="Compact"/>
              <w:jc w:val="left"/>
            </w:pPr>
            <w:r>
              <w:rPr>
                <w:sz w:val="18"/>
              </w:rPr>
              <w:t xml:space="preserve">Privatizaciones (etapas)</w:t>
            </w:r>
          </w:p>
        </w:tc>
        <w:tc>
          <w:tcPr>
            <w:shd w:val="clear" w:color="auto" w:fill="F6F8F7"/>
          </w:tcPr>
          <w:p>
            <w:pPr>
              <w:pStyle w:val="Compact"/>
              <w:jc w:val="left"/>
            </w:pPr>
            <w:r>
              <w:rPr>
                <w:sz w:val="18"/>
              </w:rPr>
              <w:t xml:space="preserve">Cuánto avanza la privatización de la cartera de empresas públicas habilitada por la Ley Bases, medida por etapas…</w:t>
            </w:r>
          </w:p>
        </w:tc>
        <w:tc>
          <w:tcPr>
            <w:shd w:val="clear" w:color="auto" w:fill="F6F8F7"/>
          </w:tcPr>
          <w:p>
            <w:pPr>
              <w:pStyle w:val="Compact"/>
              <w:jc w:val="left"/>
            </w:pPr>
            <w:r>
              <w:rPr>
                <w:sz w:val="18"/>
              </w:rPr>
              <w:t xml:space="preserve">51,4 % de avance (etapas 0-4, cartera Ley Bases)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6,0 %</w:t>
            </w:r>
          </w:p>
        </w:tc>
      </w:tr>
      <w:tr>
        <w:trPr>
          <w:cantSplit/>
        </w:trPr>
        <w:tc>
          <w:p>
            <w:pPr>
              <w:pStyle w:val="Compact"/>
              <w:jc w:val="left"/>
            </w:pPr>
            <w:r>
              <w:rPr>
                <w:sz w:val="18"/>
              </w:rPr>
              <w:t xml:space="preserve">Inversiones RIGI</w:t>
            </w:r>
          </w:p>
        </w:tc>
        <w:tc>
          <w:p>
            <w:pPr>
              <w:pStyle w:val="Compact"/>
              <w:jc w:val="left"/>
            </w:pPr>
            <w:r>
              <w:rPr>
                <w:sz w:val="18"/>
              </w:rPr>
              <w:t xml:space="preserve">Cuánto de la inversión del Régimen de Incentivo a Grandes Inversiones (RIGI) ya está aprobada.</w:t>
            </w:r>
          </w:p>
        </w:tc>
        <w:tc>
          <w:p>
            <w:pPr>
              <w:pStyle w:val="Compact"/>
              <w:jc w:val="left"/>
            </w:pPr>
            <w:r>
              <w:rPr>
                <w:sz w:val="18"/>
              </w:rPr>
              <w:t xml:space="preserve">31,6 % de inversión aprobada sobre el pipeline</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6,0 %</w:t>
            </w:r>
          </w:p>
        </w:tc>
      </w:tr>
      <w:tr>
        <w:trPr>
          <w:cantSplit/>
        </w:trPr>
        <w:tc>
          <w:tcPr>
            <w:shd w:val="clear" w:color="auto" w:fill="F6F8F7"/>
          </w:tcPr>
          <w:p>
            <w:pPr>
              <w:pStyle w:val="Compact"/>
              <w:jc w:val="left"/>
            </w:pPr>
            <w:r>
              <w:rPr>
                <w:sz w:val="18"/>
              </w:rPr>
              <w:t xml:space="preserve">Concesiones viales</w:t>
            </w:r>
          </w:p>
        </w:tc>
        <w:tc>
          <w:tcPr>
            <w:shd w:val="clear" w:color="auto" w:fill="F6F8F7"/>
          </w:tcPr>
          <w:p>
            <w:pPr>
              <w:pStyle w:val="Compact"/>
              <w:jc w:val="left"/>
            </w:pPr>
            <w:r>
              <w:rPr>
                <w:sz w:val="18"/>
              </w:rPr>
              <w:t xml:space="preserve">Qué porcentaje de los kilómetros del plan de la Red Federal de Concesiones ya está adjudicado.</w:t>
            </w:r>
          </w:p>
        </w:tc>
        <w:tc>
          <w:tcPr>
            <w:shd w:val="clear" w:color="auto" w:fill="F6F8F7"/>
          </w:tcPr>
          <w:p>
            <w:pPr>
              <w:pStyle w:val="Compact"/>
              <w:jc w:val="left"/>
            </w:pPr>
            <w:r>
              <w:rPr>
                <w:sz w:val="18"/>
              </w:rPr>
              <w:t xml:space="preserve">28,7 % de km adjudicados / km del plan (Red Federal de Concesiones)</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3,0 %</w:t>
            </w:r>
          </w:p>
        </w:tc>
      </w:tr>
      <w:tr>
        <w:trPr>
          <w:cantSplit/>
        </w:trPr>
        <w:tc>
          <w:tcPr>
            <w:gridSpan w:val="5"/>
            <w:shd w:val="clear" w:color="auto" w:fill="E8EDEB"/>
          </w:tcPr>
          <w:p>
            <w:pPr>
              <w:pStyle w:val="Compact"/>
              <w:jc w:val="left"/>
              <w:keepNext/>
            </w:pPr>
            <w:r>
              <w:rPr>
                <w:b/>
                <w:sz w:val="18"/>
              </w:rPr>
              <w:t>Reforma social y orden</w:t>
            </w:r>
          </w:p>
        </w:tc>
      </w:tr>
      <w:tr>
        <w:trPr>
          <w:cantSplit/>
        </w:trPr>
        <w:tc>
          <w:tcPr>
            <w:shd w:val="clear" w:color="auto" w:fill="F6F8F7"/>
          </w:tcPr>
          <w:p>
            <w:pPr>
              <w:pStyle w:val="Compact"/>
              <w:jc w:val="left"/>
            </w:pPr>
            <w:r>
              <w:rPr>
                <w:sz w:val="18"/>
              </w:rPr>
              <w:t xml:space="preserve">Asistencia directa (TDPS)</w:t>
            </w:r>
          </w:p>
        </w:tc>
        <w:tc>
          <w:tcPr>
            <w:shd w:val="clear" w:color="auto" w:fill="F6F8F7"/>
          </w:tcPr>
          <w:p>
            <w:pPr>
              <w:pStyle w:val="Compact"/>
              <w:jc w:val="left"/>
            </w:pPr>
            <w:r>
              <w:rPr>
                <w:sz w:val="18"/>
              </w:rPr>
              <w:t xml:space="preserve">La Tasa de Desintermediación de Planes Sociales (TDPS).</w:t>
            </w:r>
          </w:p>
        </w:tc>
        <w:tc>
          <w:tcPr>
            <w:shd w:val="clear" w:color="auto" w:fill="F6F8F7"/>
          </w:tcPr>
          <w:p>
            <w:pPr>
              <w:pStyle w:val="Compact"/>
              <w:jc w:val="left"/>
            </w:pPr>
            <w:r>
              <w:rPr>
                <w:sz w:val="18"/>
              </w:rPr>
              <w:t xml:space="preserve">100 TDPS: % del gasto social pagado directo (sin intermediación)</w:t>
            </w:r>
          </w:p>
        </w:tc>
        <w:tc>
          <w:tcPr>
            <w:shd w:val="clear" w:color="auto" w:fill="F6F8F7"/>
          </w:tcPr>
          <w:p>
            <w:pPr>
              <w:pStyle w:val="Compact"/>
              <w:jc w:val="left"/>
            </w:pPr>
            <w:r>
              <w:rPr>
                <w:sz w:val="18"/>
              </w:rPr>
              <w:t xml:space="preserve">—</w:t>
            </w:r>
          </w:p>
        </w:tc>
        <w:tc>
          <w:tcPr>
            <w:shd w:val="clear" w:color="auto" w:fill="F6F8F7"/>
          </w:tcPr>
          <w:p>
            <w:pPr>
              <w:pStyle w:val="Compact"/>
              <w:jc w:val="left"/>
            </w:pPr>
            <w:r>
              <w:rPr>
                <w:sz w:val="18"/>
              </w:rPr>
              <w:t xml:space="preserve">fuera: promesa cumplida</w:t>
            </w:r>
          </w:p>
        </w:tc>
      </w:tr>
      <w:tr>
        <w:trPr>
          <w:cantSplit/>
        </w:trPr>
        <w:tc>
          <w:p>
            <w:pPr>
              <w:pStyle w:val="Compact"/>
              <w:jc w:val="left"/>
            </w:pPr>
            <w:r>
              <w:rPr>
                <w:sz w:val="18"/>
              </w:rPr>
              <w:t xml:space="preserve">Orden público (piquetes)</w:t>
            </w:r>
          </w:p>
        </w:tc>
        <w:tc>
          <w:p>
            <w:pPr>
              <w:pStyle w:val="Compact"/>
              <w:jc w:val="left"/>
            </w:pPr>
            <w:r>
              <w:rPr>
                <w:sz w:val="18"/>
              </w:rPr>
              <w:t xml:space="preserve">En qué porcentaje se redujeron los cortes de calle por manifestación en CABA respecto de 2023 (el distrito donde actúan…</w:t>
            </w:r>
          </w:p>
        </w:tc>
        <w:tc>
          <w:p>
            <w:pPr>
              <w:pStyle w:val="Compact"/>
              <w:jc w:val="left"/>
            </w:pPr>
            <w:r>
              <w:rPr>
                <w:sz w:val="18"/>
              </w:rPr>
              <w:t xml:space="preserve">74,2 % de reducción de cortes por manifestación en CABA vs 2023 (IRPC)</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6,7 %</w:t>
            </w:r>
          </w:p>
        </w:tc>
      </w:tr>
      <w:tr>
        <w:trPr>
          <w:cantSplit/>
        </w:trPr>
        <w:tc>
          <w:tcPr>
            <w:shd w:val="clear" w:color="auto" w:fill="F6F8F7"/>
          </w:tcPr>
          <w:p>
            <w:pPr>
              <w:pStyle w:val="Compact"/>
              <w:jc w:val="left"/>
            </w:pPr>
            <w:r>
              <w:rPr>
                <w:sz w:val="18"/>
              </w:rPr>
              <w:t xml:space="preserve">Libertad de opción en salud</w:t>
            </w:r>
          </w:p>
        </w:tc>
        <w:tc>
          <w:tcPr>
            <w:shd w:val="clear" w:color="auto" w:fill="F6F8F7"/>
          </w:tcPr>
          <w:p>
            <w:pPr>
              <w:pStyle w:val="Compact"/>
              <w:jc w:val="left"/>
            </w:pPr>
            <w:r>
              <w:rPr>
                <w:sz w:val="18"/>
              </w:rPr>
              <w:t xml:space="preserve">Qué porcentaje de los usuarios de medicina prepaga tiene sus aportes derivados directo a la prepaga, inscripta como…</w:t>
            </w:r>
          </w:p>
        </w:tc>
        <w:tc>
          <w:tcPr>
            <w:shd w:val="clear" w:color="auto" w:fill="F6F8F7"/>
          </w:tcPr>
          <w:p>
            <w:pPr>
              <w:pStyle w:val="Compact"/>
              <w:jc w:val="left"/>
            </w:pPr>
            <w:r>
              <w:rPr>
                <w:sz w:val="18"/>
              </w:rPr>
              <w:t xml:space="preserve">31,8 % de usuarios de prepagas con aportes derivados directo (sin triangulación)</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3,3 %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22"/>
    <w:bookmarkEnd w:id="23"/>
    <w:bookmarkStart w:id="33" w:name="brecha-cambiaria-cepo"/>
    <w:p>
      <w:pPr>
        <w:pStyle w:val="Heading1"/>
        <w:keepNext/>
      </w:pPr>
      <w:r>
        <w:t xml:space="preserve">Brecha cambiaria (cepo)</w:t>
      </w:r>
    </w:p>
    <w:p>
      <w:pPr>
        <w:pStyle w:val="FirstParagraph"/>
      </w:pPr>
      <w:r>
        <w:t xml:space="preserve">Cuánto se separa el dólar financiero (CCL) del dólar mayorista de referencia: la brecha cambiaria.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5,49 % de brecha CCL/mayorista</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14 % del ITCG</w:t>
            </w:r>
          </w:p>
        </w:tc>
        <w:tc>
          <w:p>
            <w:pPr>
              <w:pStyle w:val="Compact"/>
              <w:jc w:val="left"/>
            </w:pPr>
            <w:r>
              <w:rPr>
                <w:sz w:val="18"/>
              </w:rPr>
              <w:t xml:space="preserve">Cinturón Gestión</w:t>
            </w:r>
          </w:p>
        </w:tc>
      </w:tr>
    </w:tbl>
    <w:bookmarkStart w:id="24"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cepo_mulc</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Reformas económicas fundamentales</w:t>
            </w:r>
          </w:p>
        </w:tc>
        <w:tc>
          <w:p>
            <w:pPr>
              <w:pStyle w:val="Compact"/>
              <w:jc w:val="left"/>
            </w:pPr>
            <w:r>
              <w:rPr>
                <w:bCs/>
                <w:b/>
                <w:sz w:val="18"/>
              </w:rPr>
              <w:t xml:space="preserve">UNIDAD DE MEDIDA</w:t>
            </w:r>
          </w:p>
        </w:tc>
        <w:tc>
          <w:p>
            <w:pPr>
              <w:pStyle w:val="Compact"/>
              <w:jc w:val="left"/>
            </w:pPr>
            <w:r>
              <w:rPr>
                <w:sz w:val="18"/>
              </w:rPr>
              <w:t xml:space="preserve">% de brecha CCL/mayorista</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Sin rezago: cotizaciones del día; la serie mensual usa promedios.</w:t>
            </w:r>
          </w:p>
        </w:tc>
      </w:tr>
      <w:tr>
        <w:trPr>
          <w:cantSplit/>
        </w:trPr>
        <w:tc>
          <w:p>
            <w:pPr>
              <w:pStyle w:val="Compact"/>
              <w:jc w:val="left"/>
            </w:pPr>
            <w:r>
              <w:rPr>
                <w:bCs/>
                <w:b/>
                <w:sz w:val="18"/>
              </w:rPr>
              <w:t xml:space="preserve">PRODUCTOR DEL DATO</w:t>
            </w:r>
          </w:p>
        </w:tc>
        <w:tc>
          <w:p>
            <w:pPr>
              <w:pStyle w:val="Compact"/>
              <w:jc w:val="left"/>
            </w:pPr>
            <w:r>
              <w:rPr>
                <w:sz w:val="18"/>
              </w:rPr>
              <w:t xml:space="preserve">dolarapi.com (agregador de cotizaciones; el mayorista replica la referencia oficial A3500 del BCRA)</w:t>
            </w:r>
          </w:p>
        </w:tc>
        <w:tc>
          <w:p>
            <w:pPr>
              <w:pStyle w:val="Compact"/>
              <w:jc w:val="left"/>
            </w:pPr>
            <w:r>
              <w:rPr>
                <w:bCs/>
                <w:b/>
                <w:sz w:val="18"/>
              </w:rPr>
              <w:t xml:space="preserve">OPERACIÓN ESTADÍSTICA</w:t>
            </w:r>
          </w:p>
        </w:tc>
        <w:tc>
          <w:p>
            <w:pPr>
              <w:pStyle w:val="Compact"/>
              <w:jc w:val="left"/>
            </w:pPr>
            <w:r>
              <w:rPr>
                <w:sz w:val="18"/>
              </w:rPr>
              <w:t xml:space="preserve">Cotizaciones del dólar contado con liquidación (CCL) y del mayorista; brecha porcentual entre ambos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cotizaciones; la serie histórica se reconstruye con el CCL promedio del mes sobre el mayorista promedio.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24"/>
    <w:bookmarkStart w:id="25" w:name="definición-qué-mide-y-por-qué-importa"/>
    <w:p>
      <w:pPr>
        <w:pStyle w:val="Heading2"/>
        <w:keepNext/>
      </w:pPr>
      <w:r>
        <w:t xml:space="preserve">Definición — qué mide y por qué importa</w:t>
      </w:r>
    </w:p>
    <w:p>
      <w:pPr>
        <w:pStyle w:val="FirstParagraph"/>
      </w:pPr>
      <w:r>
        <w:t xml:space="preserve">Cuánto se separa el dólar financiero (CCL) del dólar mayorista de referencia: la brecha cambiaria.</w:t>
      </w:r>
    </w:p>
    <w:p>
      <w:pPr>
        <w:pStyle w:val="BodyText"/>
      </w:pPr>
      <w:r>
        <w:t xml:space="preserve">Mide el grado de normalización cambiaria, uno de los ejes del programa económico.</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25"/>
    <w:bookmarkStart w:id="26" w:name="método-de-cómputo"/>
    <w:p>
      <w:pPr>
        <w:pStyle w:val="Heading2"/>
        <w:keepNext/>
      </w:pPr>
      <w:r>
        <w:t xml:space="preserve">Método de cómputo</w:t>
      </w:r>
    </w:p>
    <w:p>
      <w:pPr>
        <w:numPr>
          <w:ilvl w:val="0"/>
          <w:numId w:val="1001"/>
        </w:numPr>
        <w:pStyle w:val="Compact"/>
      </w:pPr>
      <w:r>
        <w:t xml:space="preserve">Brecha = (CCL − mayorista) / mayorista × 100.</w:t>
      </w:r>
    </w:p>
    <w:p>
      <w:pPr>
        <w:numPr>
          <w:ilvl w:val="0"/>
          <w:numId w:val="1001"/>
        </w:numPr>
        <w:pStyle w:val="Compact"/>
      </w:pPr>
      <w:r>
        <w:t xml:space="preserve">Se usa el mayorista y no el minorista de pizarra: el minorista incluye el margen bancario y subestima la brecha.</w:t>
      </w:r>
    </w:p>
    <w:p>
      <w:pPr>
        <w:numPr>
          <w:ilvl w:val="0"/>
          <w:numId w:val="1001"/>
        </w:numPr>
        <w:pStyle w:val="Compact"/>
      </w:pPr>
      <w:r>
        <w:t xml:space="preserve">Cerca de 0% = mercado cambiario unificado de hecho: el cepo dejó de morder.</w:t>
      </w:r>
    </w:p>
    <w:bookmarkEnd w:id="26"/>
    <w:bookmarkStart w:id="27"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brecha CCL/mayorista)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14</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14 – 20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20 – 23,33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23,33</w:t>
            </w:r>
          </w:p>
        </w:tc>
        <w:tc>
          <w:tcPr>
            <w:shd w:val="clear" w:color="auto" w:fill="FEE2E2"/>
          </w:tcPr>
          <w:p>
            <w:pPr>
              <w:pStyle w:val="Compact"/>
              <w:jc w:val="center"/>
            </w:pPr>
            <w:r>
              <w:rPr>
                <w:b/>
                <w:sz w:val="18"/>
                <w:color w:val="7F1D1D"/>
              </w:rPr>
              <w:t xml:space="preserve">ROJO</w:t>
            </w:r>
          </w:p>
        </w:tc>
      </w:tr>
    </w:tbl>
    <w:bookmarkEnd w:id="27"/>
    <w:bookmarkStart w:id="28"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(5,49 % de brecha CCL/mayorista) pero no los números que lo componen: la fuente entrega la serie ya calculada. Para auditar el dato hay que ir a la operación estadística citada más arriba.</w:t>
      </w:r>
    </w:p>
    <w:bookmarkEnd w:id="28"/>
    <w:bookmarkStart w:id="29" w:name="color-vigente-y-por-qué"/>
    <w:p>
      <w:pPr>
        <w:pStyle w:val="Heading2"/>
        <w:keepNext/>
      </w:pPr>
      <w:r>
        <w:t xml:space="preserve">Color vigente y por qué</w:t>
      </w:r>
    </w:p>
    <w:p>
      <w:pPr>
        <w:pStyle w:val="FirstParagraph"/>
      </w:pPr>
      <w:r>
        <w:t xml:space="preserve">Dato vigente: 5,49 % de brecha CCL/mayorista (2026-08).</w:t>
      </w:r>
    </w:p>
    <w:p>
      <w:pPr>
        <w:pStyle w:val="BodyText"/>
      </w:pPr>
      <w:r>
        <w:t xml:space="preserve">5,49 % de brecha CCL/mayorista cae en el tramo que corresponde a Verde, a 8,51 del corte más cercano.</w:t>
      </w:r>
    </w:p>
    <w:p>
      <w:pPr>
        <w:pStyle w:val="BodyText"/>
      </w:pPr>
      <w:r>
        <w:rPr>
          <w:bCs/>
          <w:b/>
        </w:rPr>
        <w:t xml:space="preserve">Color vigente: VERDE</w:t>
      </w:r>
    </w:p>
    <w:p>
      <w:pPr>
        <w:pStyle w:val="BodyText"/>
      </w:pPr>
      <w:r>
        <w:t xml:space="preserve">Ponderación vigente en el ITCG: 14 % efectivo. El color es una lectura adicional — no reemplaza ni cambia esta ponderación.</w:t>
      </w:r>
    </w:p>
    <w:bookmarkEnd w:id="29"/>
    <w:bookmarkStart w:id="30" w:name="transparencia-limitaciones-declaradas"/>
    <w:p>
      <w:pPr>
        <w:pStyle w:val="Heading2"/>
        <w:keepNext/>
      </w:pPr>
      <w:r>
        <w:t xml:space="preserve">Transparencia — limitaciones declaradas</w:t>
      </w:r>
    </w:p>
    <w:p>
      <w:pPr>
        <w:numPr>
          <w:ilvl w:val="0"/>
          <w:numId w:val="1003"/>
        </w:numPr>
        <w:pStyle w:val="Compact"/>
      </w:pPr>
      <w:r>
        <w:t xml:space="preserve">La fuente es un agregador privado, no un organismo oficial (el mayorista replica la referencia oficial).</w:t>
      </w:r>
    </w:p>
    <w:p>
      <w:pPr>
        <w:numPr>
          <w:ilvl w:val="0"/>
          <w:numId w:val="1003"/>
        </w:numPr>
        <w:pStyle w:val="Compact"/>
      </w:pPr>
      <w:r>
        <w:t xml:space="preserve">Mide el cepo por su precio (la brecha que paga quien no accede al mercado oficial), no el stock regulatorio de restricciones.</w:t>
      </w:r>
    </w:p>
    <w:p>
      <w:pPr>
        <w:numPr>
          <w:ilvl w:val="0"/>
          <w:numId w:val="1003"/>
        </w:numPr>
        <w:pStyle w:val="Compact"/>
      </w:pPr>
      <w:r>
        <w:t xml:space="preserve">El valor de la card es el spot del día; la serie usa promedios mensuales — difieren de forma inmaterial, declarado.</w:t>
      </w:r>
    </w:p>
    <w:bookmarkEnd w:id="30"/>
    <w:bookmarkStart w:id="31" w:name="si-falta-el-dato-política-de-revisiones"/>
    <w:p>
      <w:pPr>
        <w:pStyle w:val="Heading2"/>
        <w:keepNext/>
      </w:pPr>
      <w:r>
        <w:t xml:space="preserve">Si falta el dato / Política de revisiones</w:t>
      </w:r>
    </w:p>
    <w:p>
      <w:pPr>
        <w:numPr>
          <w:ilvl w:val="0"/>
          <w:numId w:val="1004"/>
        </w:numPr>
      </w:pPr>
      <w:r>
        <w:rPr>
          <w:bCs/>
          <w:b/>
        </w:rPr>
        <w:t xml:space="preserve">Si falta el dato:</w:t>
      </w:r>
      <w:r>
        <w:t xml:space="preserve"> </w:t>
      </w:r>
      <w:r>
        <w:t xml:space="preserve">Si la API falla, se mantiene el último valor disponible, señalado como desactualizado; sin dato, los pesos de la dimensión se renormalizan.</w:t>
      </w:r>
    </w:p>
    <w:p>
      <w:pPr>
        <w:numPr>
          <w:ilvl w:val="0"/>
          <w:numId w:val="1004"/>
        </w:numPr>
      </w:pPr>
      <w:r>
        <w:rPr>
          <w:bCs/>
          <w:b/>
        </w:rPr>
        <w:t xml:space="preserve">Política de revisiones:</w:t>
      </w:r>
      <w:r>
        <w:t xml:space="preserve"> </w:t>
      </w:r>
      <w:r>
        <w:t xml:space="preserve">Cotizaciones cerradas, sin revisión; el punto del mes corriente se recalcula a diario.</w:t>
      </w:r>
    </w:p>
    <w:bookmarkEnd w:id="31"/>
    <w:bookmarkStart w:id="32" w:name="Xa4c99cad3d412932a0237e958bf70f8f0cdbe7e"/>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del indicador sobre la brecha CCL/oficial minorista, en la escala de avance del cinturón anterior.</w:t>
      </w:r>
    </w:p>
    <w:p>
      <w:pPr>
        <w:pStyle w:val="BodyText"/>
      </w:pPr>
      <w:r>
        <w:rPr>
          <w:bCs/>
          <w:b/>
        </w:rPr>
        <w:t xml:space="preserve">2026-07-02</w:t>
      </w:r>
      <w:r>
        <w:t xml:space="preserve"> </w:t>
      </w:r>
      <w:r>
        <w:t xml:space="preserve">— Entra al ITCG con umbrales institucionales sobre la brecha CCL/mayorista.</w:t>
      </w:r>
    </w:p>
    <w:p>
      <w:pPr>
        <w:pStyle w:val="BodyText"/>
      </w:pPr>
      <w:r>
        <w:rPr>
          <w:bCs/>
          <w:b/>
        </w:rPr>
        <w:t xml:space="preserve">2026-07-03</w:t>
      </w:r>
      <w:r>
        <w:t xml:space="preserve"> </w:t>
      </w:r>
      <w:r>
        <w:t xml:space="preserve">— Puntaje interpolado entre anclas. Además, la brecha deja de puntuar una segunda vez dentro del compuesto de apertura comercial: puntúa una sola vez, acá.</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32"/>
    <w:bookmarkEnd w:id="33"/>
    <w:bookmarkStart w:id="43" w:name="apertura-comercial-alícuota"/>
    <w:p>
      <w:pPr>
        <w:pStyle w:val="Heading1"/>
        <w:keepNext/>
      </w:pPr>
      <w:r>
        <w:t xml:space="preserve">Apertura comercial (alícuota)</w:t>
      </w:r>
    </w:p>
    <w:p>
      <w:pPr>
        <w:pStyle w:val="FirstParagraph"/>
      </w:pPr>
      <w:r>
        <w:t xml:space="preserve">La alícuota efectiva del comercio exterior: cuántos impuestos (derechos de importación + exportación, ARCA) paga en promedio cada dólar de intercambio (expo+impo del ICA). 0% = comercio libre de fricción arancelaria; 15% o más = cierre de hecho.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6,18 % del intercambio (alícuota efectiva)</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14 % del ITCG</w:t>
            </w:r>
          </w:p>
        </w:tc>
        <w:tc>
          <w:p>
            <w:pPr>
              <w:pStyle w:val="Compact"/>
              <w:jc w:val="left"/>
            </w:pPr>
            <w:r>
              <w:rPr>
                <w:sz w:val="18"/>
              </w:rPr>
              <w:t xml:space="preserve">Cinturón Gestión</w:t>
            </w:r>
          </w:p>
        </w:tc>
      </w:tr>
    </w:tbl>
    <w:bookmarkStart w:id="34"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apertura_comercial</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Reformas económicas fundamentales</w:t>
            </w:r>
          </w:p>
        </w:tc>
        <w:tc>
          <w:p>
            <w:pPr>
              <w:pStyle w:val="Compact"/>
              <w:jc w:val="left"/>
            </w:pPr>
            <w:r>
              <w:rPr>
                <w:bCs/>
                <w:b/>
                <w:sz w:val="18"/>
              </w:rPr>
              <w:t xml:space="preserve">UNIDAD DE MEDIDA</w:t>
            </w:r>
          </w:p>
        </w:tc>
        <w:tc>
          <w:p>
            <w:pPr>
              <w:pStyle w:val="Compact"/>
              <w:jc w:val="left"/>
            </w:pPr>
            <w:r>
              <w:rPr>
                <w:sz w:val="18"/>
              </w:rPr>
              <w:t xml:space="preserve">% del intercambio (alícuota efectiva)</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titular usa el último mes común entre cinco series oficiales con rezagos distintos: ~2 meses.</w:t>
            </w:r>
          </w:p>
        </w:tc>
      </w:tr>
      <w:tr>
        <w:trPr>
          <w:cantSplit/>
        </w:trPr>
        <w:tc>
          <w:p>
            <w:pPr>
              <w:pStyle w:val="Compact"/>
              <w:jc w:val="left"/>
            </w:pPr>
            <w:r>
              <w:rPr>
                <w:bCs/>
                <w:b/>
                <w:sz w:val="18"/>
              </w:rPr>
              <w:t xml:space="preserve">PRODUCTOR DEL DATO</w:t>
            </w:r>
          </w:p>
        </w:tc>
        <w:tc>
          <w:p>
            <w:pPr>
              <w:pStyle w:val="Compact"/>
              <w:jc w:val="left"/>
            </w:pPr>
            <w:r>
              <w:rPr>
                <w:sz w:val="18"/>
              </w:rPr>
              <w:t xml:space="preserve">ARCA (recaudación de derechos) + INDEC (intercambio comercial) + BCRA (tipo de cambio)</w:t>
            </w:r>
          </w:p>
        </w:tc>
        <w:tc>
          <w:p>
            <w:pPr>
              <w:pStyle w:val="Compact"/>
              <w:jc w:val="left"/>
            </w:pPr>
            <w:r>
              <w:rPr>
                <w:bCs/>
                <w:b/>
                <w:sz w:val="18"/>
              </w:rPr>
              <w:t xml:space="preserve">OPERACIÓN ESTADÍSTICA</w:t>
            </w:r>
          </w:p>
        </w:tc>
        <w:tc>
          <w:p>
            <w:pPr>
              <w:pStyle w:val="Compact"/>
              <w:jc w:val="left"/>
            </w:pPr>
            <w:r>
              <w:rPr>
                <w:sz w:val="18"/>
              </w:rPr>
              <w:t xml:space="preserve">Alícuota efectiva del comercio exterior: derechos de exportación e importación recaudados sobre el intercambio total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APIs públicas de series de tiempo y del BCRA.</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34"/>
    <w:bookmarkStart w:id="35" w:name="definición-qué-mide-y-por-qué-importa-1"/>
    <w:p>
      <w:pPr>
        <w:pStyle w:val="Heading2"/>
        <w:keepNext/>
      </w:pPr>
      <w:r>
        <w:t xml:space="preserve">Definición — qué mide y por qué importa</w:t>
      </w:r>
    </w:p>
    <w:p>
      <w:pPr>
        <w:pStyle w:val="FirstParagraph"/>
      </w:pPr>
      <w:r>
        <w:t xml:space="preserve">La alícuota efectiva del comercio exterior: cuántos impuestos (derechos de importación + exportación, ARCA) paga en promedio cada dólar de intercambio (expo+impo del ICA). 0% = comercio libre de fricción arancelaria; 15% o más = cierre de hecho.</w:t>
      </w:r>
    </w:p>
    <w:p>
      <w:pPr>
        <w:pStyle w:val="BodyText"/>
      </w:pPr>
      <w:r>
        <w:t xml:space="preserve">No mide cuántos dólares entran o salen (eso puede ser una buena cosecha): mide si el Estado desmantela la fricción impositiva que encarece el comercio. La brecha cambiaria puntúa aparte, en su propio indicador.</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35"/>
    <w:bookmarkStart w:id="36" w:name="método-de-cómputo-1"/>
    <w:p>
      <w:pPr>
        <w:pStyle w:val="Heading2"/>
        <w:keepNext/>
      </w:pPr>
      <w:r>
        <w:t xml:space="preserve">Método de cómputo</w:t>
      </w:r>
    </w:p>
    <w:p>
      <w:pPr>
        <w:numPr>
          <w:ilvl w:val="0"/>
          <w:numId w:val="1005"/>
        </w:numPr>
        <w:pStyle w:val="Compact"/>
      </w:pPr>
      <w:r>
        <w:t xml:space="preserve">Alícuota = derechos de exportación + importación (convertidos a dólares por el tipo de cambio oficial promedio del mes) sobre el intercambio total (exportaciones + importaciones).</w:t>
      </w:r>
    </w:p>
    <w:p>
      <w:pPr>
        <w:numPr>
          <w:ilvl w:val="0"/>
          <w:numId w:val="1005"/>
        </w:numPr>
        <w:pStyle w:val="Compact"/>
      </w:pPr>
      <w:r>
        <w:t xml:space="preserve">Lectura llana: cuántos centavos de impuesto paga cada dólar comerciado. 0% = libre comercio; 15% del intercambio ≈ cierre comercial de hecho.</w:t>
      </w:r>
    </w:p>
    <w:bookmarkEnd w:id="36"/>
    <w:bookmarkStart w:id="37"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del intercambio (alícuota efectiva))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6 – 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9 – 10,33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10,33</w:t>
            </w:r>
          </w:p>
        </w:tc>
        <w:tc>
          <w:tcPr>
            <w:shd w:val="clear" w:color="auto" w:fill="FEE2E2"/>
          </w:tcPr>
          <w:p>
            <w:pPr>
              <w:pStyle w:val="Compact"/>
              <w:jc w:val="center"/>
            </w:pPr>
            <w:r>
              <w:rPr>
                <w:b/>
                <w:sz w:val="18"/>
                <w:color w:val="7F1D1D"/>
              </w:rPr>
              <w:t xml:space="preserve">ROJO</w:t>
            </w:r>
          </w:p>
        </w:tc>
      </w:tr>
    </w:tbl>
    <w:bookmarkEnd w:id="37"/>
    <w:bookmarkStart w:id="38"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6"/>
        </w:numPr>
        <w:pStyle w:val="Compact"/>
      </w:pPr>
      <w:r>
        <w:t xml:space="preserve">US$ 984 M recaudados por derechos de impo+expo sobre US$ 15.916 M de intercambio (2026-06) · canal aduanero sin fuente pública</w:t>
      </w:r>
    </w:p>
    <w:bookmarkEnd w:id="38"/>
    <w:bookmarkStart w:id="39" w:name="color-vigente-y-por-qué-1"/>
    <w:p>
      <w:pPr>
        <w:pStyle w:val="Heading2"/>
        <w:keepNext/>
      </w:pPr>
      <w:r>
        <w:t xml:space="preserve">Color vigente y por qué</w:t>
      </w:r>
    </w:p>
    <w:p>
      <w:pPr>
        <w:pStyle w:val="FirstParagraph"/>
      </w:pPr>
      <w:r>
        <w:t xml:space="preserve">Dato vigente: 6,18 % del intercambio (alícuota efectiva) (2026-06).</w:t>
      </w:r>
    </w:p>
    <w:p>
      <w:pPr>
        <w:pStyle w:val="BodyText"/>
      </w:pPr>
      <w:r>
        <w:t xml:space="preserve">6,18 % del intercambio (alícuota efectiva) cae en el tramo que corresponde a Amarillo, a 0,18 del corte más cercano.</w:t>
      </w:r>
    </w:p>
    <w:p>
      <w:pPr>
        <w:pStyle w:val="BodyText"/>
      </w:pPr>
      <w:r>
        <w:rPr>
          <w:bCs/>
          <w:b/>
        </w:rPr>
        <w:t xml:space="preserve">Color vigente: AMARILLO</w:t>
      </w:r>
    </w:p>
    <w:p>
      <w:pPr>
        <w:pStyle w:val="BodyText"/>
      </w:pPr>
      <w:r>
        <w:t xml:space="preserve">Ponderación vigente en el ITCG: 14 % efectivo. El color es una lectura adicional — no reemplaza ni cambia esta ponderación.</w:t>
      </w:r>
    </w:p>
    <w:bookmarkEnd w:id="39"/>
    <w:bookmarkStart w:id="40" w:name="transparencia-limitaciones-declaradas-1"/>
    <w:p>
      <w:pPr>
        <w:pStyle w:val="Heading2"/>
        <w:keepNext/>
      </w:pPr>
      <w:r>
        <w:t xml:space="preserve">Transparencia — limitaciones declaradas</w:t>
      </w:r>
    </w:p>
    <w:p>
      <w:pPr>
        <w:numPr>
          <w:ilvl w:val="0"/>
          <w:numId w:val="1007"/>
        </w:numPr>
        <w:pStyle w:val="Compact"/>
      </w:pPr>
      <w:r>
        <w:t xml:space="preserve">Mide la fricción arancelaria efectiva, no las barreras no arancelarias.</w:t>
      </w:r>
    </w:p>
    <w:p>
      <w:pPr>
        <w:numPr>
          <w:ilvl w:val="0"/>
          <w:numId w:val="1007"/>
        </w:numPr>
        <w:pStyle w:val="Compact"/>
      </w:pPr>
      <w:r>
        <w:t xml:space="preserve">El «canal verde» aduanero (parte del diseño institucional original) sigue sin fuente pública estructurada y no se mide.</w:t>
      </w:r>
    </w:p>
    <w:p>
      <w:pPr>
        <w:numPr>
          <w:ilvl w:val="0"/>
          <w:numId w:val="1007"/>
        </w:numPr>
        <w:pStyle w:val="Compact"/>
      </w:pPr>
      <w:r>
        <w:t xml:space="preserve">Depende del mes común entre cinco series con rezagos distintos.</w:t>
      </w:r>
    </w:p>
    <w:bookmarkEnd w:id="40"/>
    <w:bookmarkStart w:id="41" w:name="X5bd7fb7e3de0539204b5af8f15d14927966600e"/>
    <w:p>
      <w:pPr>
        <w:pStyle w:val="Heading2"/>
        <w:keepNext/>
      </w:pPr>
      <w:r>
        <w:t xml:space="preserve">Si falta el dato / Política de revisiones</w:t>
      </w:r>
    </w:p>
    <w:p>
      <w:pPr>
        <w:numPr>
          <w:ilvl w:val="0"/>
          <w:numId w:val="1008"/>
        </w:numPr>
      </w:pPr>
      <w:r>
        <w:rPr>
          <w:bCs/>
          <w:b/>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08"/>
        </w:numPr>
      </w:pPr>
      <w:r>
        <w:rPr>
          <w:bCs/>
          <w:b/>
        </w:rPr>
        <w:t xml:space="preserve">Política de revisiones:</w:t>
      </w:r>
      <w:r>
        <w:t xml:space="preserve"> </w:t>
      </w:r>
      <w:r>
        <w:t xml:space="preserve">Las series oficiales pueden revisarse; la serie propia se recalcula completa en cada actualización.</w:t>
      </w:r>
    </w:p>
    <w:bookmarkEnd w:id="41"/>
    <w:bookmarkStart w:id="42" w:name="X96d65d75de98372a532c7c1fba300d7558b9e4c"/>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variación interanual de importaciones (aproximación de apertura).</w:t>
      </w:r>
    </w:p>
    <w:p>
      <w:pPr>
        <w:pStyle w:val="BodyText"/>
      </w:pPr>
      <w:r>
        <w:rPr>
          <w:bCs/>
          <w:b/>
        </w:rPr>
        <w:t xml:space="preserve">2026-07-02</w:t>
      </w:r>
      <w:r>
        <w:t xml:space="preserve"> </w:t>
      </w:r>
      <w:r>
        <w:t xml:space="preserve">— Pasa a un compuesto de liberalización (brecha cambiaria + alícuota) con el ITCG.</w:t>
      </w:r>
    </w:p>
    <w:p>
      <w:pPr>
        <w:pStyle w:val="BodyText"/>
      </w:pPr>
      <w:r>
        <w:rPr>
          <w:bCs/>
          <w:b/>
        </w:rPr>
        <w:t xml:space="preserve">2026-07-03</w:t>
      </w:r>
      <w:r>
        <w:t xml:space="preserve"> </w:t>
      </w:r>
      <w:r>
        <w:t xml:space="preserve">— Queda la alícuota efectiva sola: la brecha cambiaria ya puntuaba como indicador propio y el compuesto la hacía pesar dos veces en la dimensión. Las anclas se eligieron sobre la recta del documento (0% → 100 · 15% → 0).</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42"/>
    <w:bookmarkEnd w:id="43"/>
    <w:bookmarkStart w:id="53" w:name="desregulación-normativa"/>
    <w:p>
      <w:pPr>
        <w:pStyle w:val="Heading1"/>
        <w:keepNext/>
      </w:pPr>
      <w:r>
        <w:t xml:space="preserve">Desregulación normativa</w:t>
      </w:r>
    </w:p>
    <w:p>
      <w:pPr>
        <w:pStyle w:val="FirstParagraph"/>
      </w:pPr>
      <w:r>
        <w:t xml:space="preserve">Cuántos artículos de normas quedaron modificados o eliminados por el programa desregulador desde el 10 de diciembre de 2023, según el conteo oficial del Ministerio de Desregulación y Transformación del Estado.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16.178 artículos de normas modificados o eliminados, acumulados desde dic-2023</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7 % del ITCG</w:t>
            </w:r>
          </w:p>
        </w:tc>
        <w:tc>
          <w:p>
            <w:pPr>
              <w:pStyle w:val="Compact"/>
              <w:jc w:val="left"/>
            </w:pPr>
            <w:r>
              <w:rPr>
                <w:sz w:val="18"/>
              </w:rPr>
              <w:t xml:space="preserve">Cinturón Gestión</w:t>
            </w:r>
          </w:p>
        </w:tc>
      </w:tr>
    </w:tbl>
    <w:bookmarkStart w:id="44"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desregulacion_normativa</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Reformas económicas fundamentales</w:t>
            </w:r>
          </w:p>
        </w:tc>
        <w:tc>
          <w:p>
            <w:pPr>
              <w:pStyle w:val="Compact"/>
              <w:jc w:val="left"/>
            </w:pPr>
            <w:r>
              <w:rPr>
                <w:bCs/>
                <w:b/>
                <w:sz w:val="18"/>
              </w:rPr>
              <w:t xml:space="preserve">UNIDAD DE MEDIDA</w:t>
            </w:r>
          </w:p>
        </w:tc>
        <w:tc>
          <w:p>
            <w:pPr>
              <w:pStyle w:val="Compact"/>
              <w:jc w:val="left"/>
            </w:pPr>
            <w:r>
              <w:rPr>
                <w:sz w:val="18"/>
              </w:rPr>
              <w:t xml:space="preserve">artículos de normas modificados o eliminados, acumulados desde dic-2023</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ministerio publica el informe de cada mes durante las primeras semanas del siguiente (~1 mes).</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Desregulación y Transformación del Estado — Unidad de Evaluación de Impacto</w:t>
            </w:r>
          </w:p>
        </w:tc>
        <w:tc>
          <w:p>
            <w:pPr>
              <w:pStyle w:val="Compact"/>
              <w:jc w:val="left"/>
            </w:pPr>
            <w:r>
              <w:rPr>
                <w:bCs/>
                <w:b/>
                <w:sz w:val="18"/>
              </w:rPr>
              <w:t xml:space="preserve">OPERACIÓN ESTADÍSTICA</w:t>
            </w:r>
          </w:p>
        </w:tc>
        <w:tc>
          <w:p>
            <w:pPr>
              <w:pStyle w:val="Compact"/>
              <w:jc w:val="left"/>
            </w:pPr>
            <w:r>
              <w:rPr>
                <w:sz w:val="18"/>
              </w:rPr>
              <w:t xml:space="preserve">Análisis de la desregulación implementada, informe mensual — artículos de normas modificados o eliminados, acumulados desde el 10 de diciembre de 2023</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leen los enlaces de la página oficial y se extrae la cifra de portada de cada informe en PDF. Los nombres de archivo son irregulares, de modo que los enlaces se resuelven leyendo la página y nunca se arman a mano. Cada informe publicado se conserva, porque su contenido no cambia.</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44"/>
    <w:bookmarkStart w:id="45" w:name="definición-qué-mide-y-por-qué-importa-2"/>
    <w:p>
      <w:pPr>
        <w:pStyle w:val="Heading2"/>
        <w:keepNext/>
      </w:pPr>
      <w:r>
        <w:t xml:space="preserve">Definición — qué mide y por qué importa</w:t>
      </w:r>
    </w:p>
    <w:p>
      <w:pPr>
        <w:pStyle w:val="FirstParagraph"/>
      </w:pPr>
      <w:r>
        <w:t xml:space="preserve">Cuántos artículos de normas quedaron modificados o eliminados por el programa desregulador desde el 10 de diciembre de 2023, según el conteo oficial del Ministerio de Desregulación y Transformación del Estado.</w:t>
      </w:r>
    </w:p>
    <w:p>
      <w:pPr>
        <w:pStyle w:val="BodyText"/>
      </w:pPr>
      <w:r>
        <w:t xml:space="preserve">Mide el volumen de texto regulatorio efectivamente removido, no la cantidad de actos administrativos firmados. La diferencia importa: un decreto que reescribe quinientos artículos y una resolución que toca uno pesan igual si se cuentan normas, y muy distinto si se cuentan artículos. Muestra además la forma del programa en el tiempo, que es muy desigual: un arranque acotado, un salto marcado a partir de la Ley Bases y la creación del ministerio, y una aceleración durante 2026. La card publica también las otras dos cifras del mismo informe: cuántas normas de desregulación se dictaron y cuántas normas anteriores alcanzaron.</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45"/>
    <w:bookmarkStart w:id="46" w:name="método-de-cómputo-2"/>
    <w:p>
      <w:pPr>
        <w:pStyle w:val="Heading2"/>
        <w:keepNext/>
      </w:pPr>
      <w:r>
        <w:t xml:space="preserve">Método de cómputo</w:t>
      </w:r>
    </w:p>
    <w:p>
      <w:pPr>
        <w:numPr>
          <w:ilvl w:val="0"/>
          <w:numId w:val="1009"/>
        </w:numPr>
        <w:pStyle w:val="Compact"/>
      </w:pPr>
      <w:r>
        <w:t xml:space="preserve">El informe publica tres cifras: cuántas normas de desregulación se dictaron, cuántas normas anteriores alcanzaron y cuántos artículos quedaron modificados o eliminados. El indicador usa la tercera; las otras dos se muestran en la card como contexto.</w:t>
      </w:r>
    </w:p>
    <w:p>
      <w:pPr>
        <w:numPr>
          <w:ilvl w:val="0"/>
          <w:numId w:val="1009"/>
        </w:numPr>
        <w:pStyle w:val="Compact"/>
      </w:pPr>
      <w:r>
        <w:t xml:space="preserve">Se eligió el recuento de artículos porque las normas no son equivalentes entre sí: un decreto que reescribe quinientos artículos y una resolución que toca uno cuentan igual si se cuentan normas, y muy distinto si se cuentan artículos. Es la misma objeción que señaló la revisión externa del cinturón.</w:t>
      </w:r>
    </w:p>
    <w:p>
      <w:pPr>
        <w:numPr>
          <w:ilvl w:val="0"/>
          <w:numId w:val="1009"/>
        </w:numPr>
        <w:pStyle w:val="Compact"/>
      </w:pPr>
      <w:r>
        <w:t xml:space="preserve">El valor del mes es la cifra que el propio informe publica; no hay recálculo del proyecto.</w:t>
      </w:r>
    </w:p>
    <w:p>
      <w:pPr>
        <w:numPr>
          <w:ilvl w:val="0"/>
          <w:numId w:val="1009"/>
        </w:numPr>
        <w:pStyle w:val="Compact"/>
      </w:pPr>
      <w:r>
        <w:t xml:space="preserve">El período se toma de la fecha de corte del informe («al 31 de octubre de 2025»), no del mes de su tapa: hay informes cuya portada dice un mes y cuyo corte cae en el siguiente.</w:t>
      </w:r>
    </w:p>
    <w:p>
      <w:pPr>
        <w:numPr>
          <w:ilvl w:val="0"/>
          <w:numId w:val="1009"/>
        </w:numPr>
        <w:pStyle w:val="Compact"/>
      </w:pPr>
      <w:r>
        <w:t xml:space="preserve">La serie histórica hasta abril de 2026 se reconstruyó midiendo las barras del gráfico de artículos acumulados que publica el informe, porque ese gráfico es la única fuente oficial con detalle mes a mes desde diciembre de 2023. La medición se calibró con la cifra del mismo informe y se contrastó contra los otros nueve informes, que son independientes de ese gráfico.</w:t>
      </w:r>
    </w:p>
    <w:bookmarkEnd w:id="46"/>
    <w:bookmarkStart w:id="47"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(artículos de normas modificados o eliminados, acumulados desde dic-2023)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11.000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6.000 – 11.000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6.000</w:t>
            </w:r>
          </w:p>
        </w:tc>
        <w:tc>
          <w:tcPr>
            <w:shd w:val="clear" w:color="auto" w:fill="FFEDD5"/>
          </w:tcPr>
          <w:p>
            <w:pPr>
              <w:pStyle w:val="Compact"/>
              <w:jc w:val="center"/>
            </w:pPr>
            <w:r>
              <w:rPr>
                <w:b/>
                <w:sz w:val="18"/>
                <w:color w:val="7C2D12"/>
              </w:rPr>
              <w:t xml:space="preserve">NARANJA</w:t>
            </w:r>
          </w:p>
        </w:tc>
      </w:tr>
    </w:tbl>
    <w:bookmarkEnd w:id="47"/>
    <w:bookmarkStart w:id="48"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0"/>
        </w:numPr>
        <w:pStyle w:val="Compact"/>
      </w:pPr>
      <w:r>
        <w:t xml:space="preserve">16.178 artículos modificados o eliminados desde el 10 de diciembre de 2023 (+671 en el mes) · los produjeron 689 normas de desregulación, que modificaron o eliminaron 2699 normas anteriores</w:t>
      </w:r>
    </w:p>
    <w:bookmarkEnd w:id="48"/>
    <w:bookmarkStart w:id="49" w:name="color-vigente-y-por-qué-2"/>
    <w:p>
      <w:pPr>
        <w:pStyle w:val="Heading2"/>
        <w:keepNext/>
      </w:pPr>
      <w:r>
        <w:t xml:space="preserve">Color vigente y por qué</w:t>
      </w:r>
    </w:p>
    <w:p>
      <w:pPr>
        <w:pStyle w:val="FirstParagraph"/>
      </w:pPr>
      <w:r>
        <w:t xml:space="preserve">Dato vigente: 16.178 artículos de normas modificados o eliminados, acumulados desde dic-2023 (2026-06).</w:t>
      </w:r>
    </w:p>
    <w:p>
      <w:pPr>
        <w:pStyle w:val="BodyText"/>
      </w:pPr>
      <w:r>
        <w:t xml:space="preserve">16178,0 artículos de normas modificados o eliminados, acumulados desde dic-2023 cae en el tramo que corresponde a Verde, a 5178,0 del corte más cercano.</w:t>
      </w:r>
    </w:p>
    <w:p>
      <w:pPr>
        <w:pStyle w:val="BodyText"/>
      </w:pPr>
      <w:r>
        <w:rPr>
          <w:bCs/>
          <w:b/>
        </w:rPr>
        <w:t xml:space="preserve">Color vigente: VERDE</w:t>
      </w:r>
    </w:p>
    <w:p>
      <w:pPr>
        <w:pStyle w:val="BodyText"/>
      </w:pPr>
      <w:r>
        <w:t xml:space="preserve">Ponderación vigente en el ITCG: 7 % efectivo. El color es una lectura adicional — no reemplaza ni cambia esta ponderación.</w:t>
      </w:r>
    </w:p>
    <w:bookmarkEnd w:id="49"/>
    <w:bookmarkStart w:id="50" w:name="transparencia-limitaciones-declaradas-2"/>
    <w:p>
      <w:pPr>
        <w:pStyle w:val="Heading2"/>
        <w:keepNext/>
      </w:pPr>
      <w:r>
        <w:t xml:space="preserve">Transparencia — limitaciones declaradas</w:t>
      </w:r>
    </w:p>
    <w:p>
      <w:pPr>
        <w:numPr>
          <w:ilvl w:val="0"/>
          <w:numId w:val="1011"/>
        </w:numPr>
        <w:pStyle w:val="Compact"/>
      </w:pPr>
      <w:r>
        <w:t xml:space="preserve">Es el Gobierno midiendo su propio programa. El criterio de qué norma cuenta como «de desregulación», y por lo tanto qué artículos se computan, lo fija el ministerio responsable, y no hay un tercero que lo audite. Es la contrapartida de usar la cifra oficial en lugar de una reconstrucción propia.</w:t>
      </w:r>
    </w:p>
    <w:p>
      <w:pPr>
        <w:numPr>
          <w:ilvl w:val="0"/>
          <w:numId w:val="1011"/>
        </w:numPr>
        <w:pStyle w:val="Compact"/>
      </w:pPr>
      <w:r>
        <w:t xml:space="preserve">La escala de referencia es una convención del proyecto. El ministerio publica el recuento pero no declara ninguna meta, así que el punto en que la desregulación se considera completa lo fijamos nosotros. Conviene leer el indicador por su evolución más que por su nivel absoluto. Se evaluó reemplazar esa convención por una división contra el stock de normas vigentes, y se descartó: el recuento del ministerio incluye resoluciones, mientras que el stock disponible de normas nacionales vigentes de alcance general está compuesto sólo por leyes y decretos, de modo que los dos universos no son comparables.</w:t>
      </w:r>
    </w:p>
    <w:p>
      <w:pPr>
        <w:numPr>
          <w:ilvl w:val="0"/>
          <w:numId w:val="1011"/>
        </w:numPr>
        <w:pStyle w:val="Compact"/>
      </w:pPr>
      <w:r>
        <w:t xml:space="preserve">Contar artículos corrige la equivalencia entre normas de peso muy distinto, pero no la resuelve del todo: un artículo que libera un mercado entero sigue contando igual que uno que ajusta una definición.</w:t>
      </w:r>
    </w:p>
    <w:p>
      <w:pPr>
        <w:numPr>
          <w:ilvl w:val="0"/>
          <w:numId w:val="1011"/>
        </w:numPr>
        <w:pStyle w:val="Compact"/>
      </w:pPr>
      <w:r>
        <w:t xml:space="preserve">El ministerio revisa su serie hacia atrás, y lo ha hecho de forma sustantiva. El informe publica la versión corregida y es la que se usa, del mismo modo que se usa la última revisión de una serie estadística.</w:t>
      </w:r>
    </w:p>
    <w:p>
      <w:pPr>
        <w:numPr>
          <w:ilvl w:val="0"/>
          <w:numId w:val="1011"/>
        </w:numPr>
        <w:pStyle w:val="Compact"/>
      </w:pPr>
      <w:r>
        <w:t xml:space="preserve">La serie anterior a abril de 2026 proviene de la medición de un gráfico y no de cifras publicadas como texto. El contraste contra los nueve informes que publican su total arroja coincidencia exacta en cinco casos y una diferencia máxima de cuarenta y cinco artículos sobre una serie que supera los dieciséis mil, es decir alrededor de tres décimas de punto porcentual.</w:t>
      </w:r>
    </w:p>
    <w:p>
      <w:pPr>
        <w:numPr>
          <w:ilvl w:val="0"/>
          <w:numId w:val="1011"/>
        </w:numPr>
        <w:pStyle w:val="Compact"/>
      </w:pPr>
      <w:r>
        <w:t xml:space="preserve">Es un recuento normativo, no una auditoría del efecto económico de lo desregulado.</w:t>
      </w:r>
    </w:p>
    <w:bookmarkEnd w:id="50"/>
    <w:bookmarkStart w:id="51" w:name="Xef0254494c8cbb948c0e61c654d5e9b1983623c"/>
    <w:p>
      <w:pPr>
        <w:pStyle w:val="Heading2"/>
        <w:keepNext/>
      </w:pPr>
      <w:r>
        <w:t xml:space="preserve">Si falta el dato / Política de revisiones</w:t>
      </w:r>
    </w:p>
    <w:p>
      <w:pPr>
        <w:numPr>
          <w:ilvl w:val="0"/>
          <w:numId w:val="1012"/>
        </w:numPr>
      </w:pPr>
      <w:r>
        <w:rPr>
          <w:bCs/>
          <w:b/>
        </w:rPr>
        <w:t xml:space="preserve">Si falta el dato:</w:t>
      </w:r>
      <w:r>
        <w:t xml:space="preserve"> </w:t>
      </w:r>
      <w:r>
        <w:t xml:space="preserve">Si el informe del mes todavía no salió o el PDF no se puede leer, se mantiene el último valor disponible, señalado como desactualizado; sin ningún valor previo, el peso se redistribuye entre los otros indicadores de la dimensión.</w:t>
      </w:r>
    </w:p>
    <w:p>
      <w:pPr>
        <w:numPr>
          <w:ilvl w:val="0"/>
          <w:numId w:val="1012"/>
        </w:numPr>
      </w:pPr>
      <w:r>
        <w:rPr>
          <w:bCs/>
          <w:b/>
        </w:rPr>
        <w:t xml:space="preserve">Política de revisiones:</w:t>
      </w:r>
      <w:r>
        <w:t xml:space="preserve"> </w:t>
      </w:r>
      <w:r>
        <w:t xml:space="preserve">El ministerio revisa su serie hacia atrás. El informe conserva cada publicación y toma siempre la última cifra oficial de cada mes.</w:t>
      </w:r>
    </w:p>
    <w:bookmarkEnd w:id="51"/>
    <w:bookmarkStart w:id="52" w:name="X26b91c30c62ddbbdbd672bb193ae636df8c7ae1"/>
    <w:p>
      <w:pPr>
        <w:pStyle w:val="Heading2"/>
        <w:keepNext/>
      </w:pPr>
      <w:r>
        <w:t xml:space="preserve">Historial — cambios metodológicos documentados</w:t>
      </w:r>
    </w:p>
    <w:p>
      <w:pPr>
        <w:pStyle w:val="FirstParagraph"/>
      </w:pPr>
      <w:r>
        <w:rPr>
          <w:bCs/>
          <w:b/>
        </w:rPr>
        <w:t xml:space="preserve">2026-05</w:t>
      </w:r>
      <w:r>
        <w:t xml:space="preserve"> </w:t>
      </w:r>
      <w:r>
        <w:t xml:space="preserve">— Automatizado desde el inicio del cinturón con la misma búsqueda, en escala lineal.</w:t>
      </w:r>
    </w:p>
    <w:p>
      <w:pPr>
        <w:pStyle w:val="BodyText"/>
      </w:pPr>
      <w:r>
        <w:rPr>
          <w:bCs/>
          <w:b/>
        </w:rPr>
        <w:t xml:space="preserve">2026-07-02</w:t>
      </w:r>
      <w:r>
        <w:t xml:space="preserve"> </w:t>
      </w:r>
      <w:r>
        <w:t xml:space="preserve">— Umbrales institucionales del ITCG.</w:t>
      </w:r>
    </w:p>
    <w:p>
      <w:pPr>
        <w:pStyle w:val="BodyText"/>
      </w:pPr>
      <w:r>
        <w:rPr>
          <w:bCs/>
          <w:b/>
        </w:rPr>
        <w:t xml:space="preserve">2026-07-03</w:t>
      </w:r>
      <w:r>
        <w:t xml:space="preserve"> </w:t>
      </w:r>
      <w:r>
        <w:t xml:space="preserve">— Puntaje interpolado entre anclas.</w:t>
      </w:r>
    </w:p>
    <w:p>
      <w:pPr>
        <w:pStyle w:val="BodyText"/>
      </w:pPr>
      <w:r>
        <w:rPr>
          <w:bCs/>
          <w:b/>
        </w:rPr>
        <w:t xml:space="preserve">2026-07-20</w:t>
      </w:r>
      <w:r>
        <w:t xml:space="preserve"> </w:t>
      </w:r>
      <w:r>
        <w:t xml:space="preserve">— Cambio de unidad, a partir de una revisión externa del cinturón. El indicador contaba las normas cuyo texto mencionaba una derogación en cualquier parte del documento, y cerca de la mitad de lo contado no derogaba nada: eran normas que en sus considerandos referían la derogación hecha por otra. Ahora se lee la parte dispositiva y se cuentan las normas efectivamente derogadas. Se corrigió además una afirmación equivocada de esta misma ficha, que sostenía que el decreto de necesidad y urgencia de diciembre de 2023 no figuraba en la fuente: sí figura, y siempre estuvo contado, aunque pesaba como una sola norma pese a derogar treinta y ocho.</w:t>
      </w:r>
    </w:p>
    <w:p>
      <w:pPr>
        <w:pStyle w:val="BodyText"/>
      </w:pPr>
      <w:r>
        <w:rPr>
          <w:bCs/>
          <w:b/>
        </w:rPr>
        <w:t xml:space="preserve">2026-07-25</w:t>
      </w:r>
      <w:r>
        <w:t xml:space="preserve"> </w:t>
      </w:r>
      <w:r>
        <w:t xml:space="preserve">— Cambio de fuente, a propuesta de la revisión externa del cinturón. El indicador dejó de construirse con un conteo propio sobre la base de legislación y pasó a publicar la cifra oficial del Ministerio de Desregulación y Transformación del Estado, que es el organismo que conduce el programa. La serie histórica se reconstruyó completa desde diciembre de 2023. El puntaje se movió de setenta y dos a setenta y tres: cambió de dónde sale el número, no el resultado.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52"/>
    <w:bookmarkEnd w:id="53"/>
    <w:bookmarkStart w:id="63" w:name="dotación-del-estado-apn"/>
    <w:p>
      <w:pPr>
        <w:pStyle w:val="Heading1"/>
        <w:keepNext/>
      </w:pPr>
      <w:r>
        <w:t xml:space="preserve">Dotación del Estado (APN)</w:t>
      </w:r>
    </w:p>
    <w:p>
      <w:pPr>
        <w:pStyle w:val="FirstParagraph"/>
      </w:pPr>
      <w:r>
        <w:t xml:space="preserve">Cuánto varía la dotación de personal de la Administración Pública Nacional respecto de diciembre de 2023 (inicio del mandato), según la serie mensual oficial del INDEC.</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−20,36 % de variación vs dic-2023 (dotación APN)</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10,9 % del ITCG</w:t>
            </w:r>
          </w:p>
        </w:tc>
        <w:tc>
          <w:p>
            <w:pPr>
              <w:pStyle w:val="Compact"/>
              <w:jc w:val="left"/>
            </w:pPr>
            <w:r>
              <w:rPr>
                <w:sz w:val="18"/>
              </w:rPr>
              <w:t xml:space="preserve">Cinturón Gestión</w:t>
            </w:r>
          </w:p>
        </w:tc>
      </w:tr>
    </w:tbl>
    <w:bookmarkStart w:id="54"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reduccion_estado</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del Estado</w:t>
            </w:r>
          </w:p>
        </w:tc>
        <w:tc>
          <w:p>
            <w:pPr>
              <w:pStyle w:val="Compact"/>
              <w:jc w:val="left"/>
            </w:pPr>
            <w:r>
              <w:rPr>
                <w:bCs/>
                <w:b/>
                <w:sz w:val="18"/>
              </w:rPr>
              <w:t xml:space="preserve">UNIDAD DE MEDIDA</w:t>
            </w:r>
          </w:p>
        </w:tc>
        <w:tc>
          <w:p>
            <w:pPr>
              <w:pStyle w:val="Compact"/>
              <w:jc w:val="left"/>
            </w:pPr>
            <w:r>
              <w:rPr>
                <w:sz w:val="18"/>
              </w:rPr>
              <w:t xml:space="preserve">% de variación vs dic-2023 (dotación APN)</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La serie de dotación se publica con ~2 meses de rezago; los últimos meses aparecen imputados y se revisan.</w:t>
            </w:r>
          </w:p>
        </w:tc>
      </w:tr>
      <w:tr>
        <w:trPr>
          <w:cantSplit/>
        </w:trPr>
        <w:tc>
          <w:p>
            <w:pPr>
              <w:pStyle w:val="Compact"/>
              <w:jc w:val="left"/>
            </w:pPr>
            <w:r>
              <w:rPr>
                <w:bCs/>
                <w:b/>
                <w:sz w:val="18"/>
              </w:rPr>
              <w:t xml:space="preserve">PRODUCTOR DEL DATO</w:t>
            </w:r>
          </w:p>
        </w:tc>
        <w:tc>
          <w:p>
            <w:pPr>
              <w:pStyle w:val="Compact"/>
              <w:jc w:val="left"/>
            </w:pPr>
            <w:r>
              <w:rPr>
                <w:sz w:val="18"/>
              </w:rPr>
              <w:t xml:space="preserve">INDEC + Secretaría de Transformación del Estado</w:t>
            </w:r>
          </w:p>
        </w:tc>
        <w:tc>
          <w:p>
            <w:pPr>
              <w:pStyle w:val="Compact"/>
              <w:jc w:val="left"/>
            </w:pPr>
            <w:r>
              <w:rPr>
                <w:bCs/>
                <w:b/>
                <w:sz w:val="18"/>
              </w:rPr>
              <w:t xml:space="preserve">OPERACIÓN ESTADÍSTICA</w:t>
            </w:r>
          </w:p>
        </w:tc>
        <w:tc>
          <w:p>
            <w:pPr>
              <w:pStyle w:val="Compact"/>
              <w:jc w:val="left"/>
            </w:pPr>
            <w:r>
              <w:rPr>
                <w:sz w:val="18"/>
              </w:rPr>
              <w:t xml:space="preserve">Dotación de personal del Estado nacional (serie mensual). La planilla abre el total en dos universos: la Administración Pública Nacional y las empresas y sociedades del Estado; este indicador usa el primero</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oficial.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54"/>
    <w:bookmarkStart w:id="55" w:name="definición-qué-mide-y-por-qué-importa-3"/>
    <w:p>
      <w:pPr>
        <w:pStyle w:val="Heading2"/>
        <w:keepNext/>
      </w:pPr>
      <w:r>
        <w:t xml:space="preserve">Definición — qué mide y por qué importa</w:t>
      </w:r>
    </w:p>
    <w:p>
      <w:pPr>
        <w:pStyle w:val="FirstParagraph"/>
      </w:pPr>
      <w:r>
        <w:t xml:space="preserve">Cuánto varía la dotación de personal de la Administración Pública Nacional respecto de diciembre de 2023 (inicio del mandato), según la serie mensual oficial del INDEC.</w:t>
      </w:r>
    </w:p>
    <w:p>
      <w:pPr>
        <w:pStyle w:val="BodyText"/>
      </w:pPr>
      <w:r>
        <w:t xml:space="preserve">La métrica insignia de la reforma del Estado: personas, no pesos. Universo: Administración Pública Nacional — incluye fuerzas armadas y de seguridad (~10% de la dotación) y no incluye empresas del Estado ni provincias/municipios.</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55"/>
    <w:bookmarkStart w:id="56" w:name="método-de-cómputo-3"/>
    <w:p>
      <w:pPr>
        <w:pStyle w:val="Heading2"/>
        <w:keepNext/>
      </w:pPr>
      <w:r>
        <w:t xml:space="preserve">Método de cómputo</w:t>
      </w:r>
    </w:p>
    <w:p>
      <w:pPr>
        <w:numPr>
          <w:ilvl w:val="0"/>
          <w:numId w:val="1013"/>
        </w:numPr>
        <w:pStyle w:val="Compact"/>
      </w:pPr>
      <w:r>
        <w:t xml:space="preserve">Variación porcentual de la dotación contra la línea de base de diciembre de 2023 (231.305 agentes).</w:t>
      </w:r>
    </w:p>
    <w:p>
      <w:pPr>
        <w:numPr>
          <w:ilvl w:val="0"/>
          <w:numId w:val="1013"/>
        </w:numPr>
        <w:pStyle w:val="Compact"/>
      </w:pPr>
      <w:r>
        <w:t xml:space="preserve">A diferencia de las series previsionales, excluye provincias y municipios: es la métrica insignia de la reforma del Estado nacional.</w:t>
      </w:r>
    </w:p>
    <w:p>
      <w:pPr>
        <w:numPr>
          <w:ilvl w:val="0"/>
          <w:numId w:val="1013"/>
        </w:numPr>
        <w:pStyle w:val="Compact"/>
      </w:pPr>
      <w:r>
        <w:t xml:space="preserve">También excluye a las empresas y sociedades del Estado, que la planilla informa por separado. Se eligió la Administración Pública Nacional porque es el universo sobre el que el Poder Ejecutivo decide directamente su planta. La elección no cambia la lectura: al mes de mayo de 2026 la Administración Pública Nacional cae 19,8%, las empresas del Estado 20,2% y el universo completo 19,9%.</w:t>
      </w:r>
    </w:p>
    <w:p>
      <w:pPr>
        <w:numPr>
          <w:ilvl w:val="0"/>
          <w:numId w:val="1013"/>
        </w:numPr>
        <w:pStyle w:val="Compact"/>
      </w:pPr>
      <w:r>
        <w:t xml:space="preserve">Sí incluye a las fuerzas armadas y de seguridad. Siete entidades informan su dotación dentro de la Administración Pública Nacional: los estados mayores del Ejército, la Armada, la Fuerza Aérea y el Estado Mayor Conjunto, más Gendarmería, Prefectura y la Policía de Seguridad Aeroportuaria. Representan alrededor del diez por ciento del total y se redujeron menos que el resto, de modo que su presencia atenúa levemente el ajuste medido: a febrero de 2026 el conjunto cae 18,6% y la planta civil sola 19,0%. No se las descuenta —son parte del Estado y sostener sus dotaciones también es una decisión de gobierno—, pero el desglose se publica en la card para que cada lector pueda hacer la cuenta que prefiera.</w:t>
      </w:r>
    </w:p>
    <w:bookmarkEnd w:id="56"/>
    <w:bookmarkStart w:id="57"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variación vs dic-2023 (dotación APN))</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−5,2</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−5,2 – −2</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 – −0,67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−0,67</w:t>
            </w:r>
          </w:p>
        </w:tc>
        <w:tc>
          <w:tcPr>
            <w:shd w:val="clear" w:color="auto" w:fill="FEE2E2"/>
          </w:tcPr>
          <w:p>
            <w:pPr>
              <w:pStyle w:val="Compact"/>
              <w:jc w:val="center"/>
            </w:pPr>
            <w:r>
              <w:rPr>
                <w:b/>
                <w:sz w:val="18"/>
                <w:color w:val="7F1D1D"/>
              </w:rPr>
              <w:t xml:space="preserve">ROJO</w:t>
            </w:r>
          </w:p>
        </w:tc>
      </w:tr>
    </w:tbl>
    <w:bookmarkEnd w:id="57"/>
    <w:bookmarkStart w:id="58"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4"/>
        </w:numPr>
        <w:pStyle w:val="Compact"/>
      </w:pPr>
      <w:r>
        <w:t xml:space="preserve">184.202 agentes (2026-06) vs 231.305 en dic-2023 · universo: Administración Pública Nacional, INCLUYE fuerzas armadas y de seguridad (~10% de la dotación), NO incluye empresas del Estado · fuerzas armadas y de seguridad se redujeron menos (-15,24%): sin ellas, la planta civil varía -19,0% (a 2026-02) · empresas del Estado varían -20,58% aparte; el universo completo varía -20,43%</w:t>
      </w:r>
    </w:p>
    <w:bookmarkEnd w:id="58"/>
    <w:bookmarkStart w:id="59" w:name="color-vigente-y-por-qué-3"/>
    <w:p>
      <w:pPr>
        <w:pStyle w:val="Heading2"/>
        <w:keepNext/>
      </w:pPr>
      <w:r>
        <w:t xml:space="preserve">Color vigente y por qué</w:t>
      </w:r>
    </w:p>
    <w:p>
      <w:pPr>
        <w:pStyle w:val="FirstParagraph"/>
      </w:pPr>
      <w:r>
        <w:t xml:space="preserve">Dato vigente: −20,36 % de variación vs dic-2023 (dotación APN) (2026-06).</w:t>
      </w:r>
    </w:p>
    <w:p>
      <w:pPr>
        <w:pStyle w:val="BodyText"/>
      </w:pPr>
      <w:r>
        <w:t xml:space="preserve">−20,36 % de variación vs dic-2023 (dotación APN) cae en el tramo que corresponde a Verde, a 15,16 del corte más cercano.</w:t>
      </w:r>
    </w:p>
    <w:p>
      <w:pPr>
        <w:pStyle w:val="BodyText"/>
      </w:pPr>
      <w:r>
        <w:rPr>
          <w:bCs/>
          <w:b/>
        </w:rPr>
        <w:t xml:space="preserve">Color vigente: VERDE</w:t>
      </w:r>
    </w:p>
    <w:p>
      <w:pPr>
        <w:pStyle w:val="BodyText"/>
      </w:pPr>
      <w:r>
        <w:t xml:space="preserve">Ponderación vigente en el ITCG: 10,9 % efectivo. El color es una lectura adicional — no reemplaza ni cambia esta ponderación.</w:t>
      </w:r>
    </w:p>
    <w:p>
      <w:pPr>
        <w:numPr>
          <w:ilvl w:val="0"/>
          <w:numId w:val="1015"/>
        </w:numPr>
        <w:pStyle w:val="Compact"/>
      </w:pPr>
      <w:r>
        <w:rPr>
          <w:bCs/>
          <w:b/>
        </w:rPr>
        <w:t xml:space="preserve">Participación en otros indicadores.</w:t>
      </w:r>
      <w:r>
        <w:t xml:space="preserve"> </w:t>
      </w:r>
      <w:r>
        <w:t xml:space="preserve">Mide personas; el costo de la nómina lo miden por separado el gasto de funcionamiento y la masa salarial — tres patas complementarias declaradas de la misma dimensión.</w:t>
      </w:r>
    </w:p>
    <w:bookmarkEnd w:id="59"/>
    <w:bookmarkStart w:id="60" w:name="transparencia-limitaciones-declaradas-3"/>
    <w:p>
      <w:pPr>
        <w:pStyle w:val="Heading2"/>
        <w:keepNext/>
      </w:pPr>
      <w:r>
        <w:t xml:space="preserve">Transparencia — limitaciones declaradas</w:t>
      </w:r>
    </w:p>
    <w:p>
      <w:pPr>
        <w:numPr>
          <w:ilvl w:val="0"/>
          <w:numId w:val="1016"/>
        </w:numPr>
        <w:pStyle w:val="Compact"/>
      </w:pPr>
      <w:r>
        <w:t xml:space="preserve">Los meses recientes vienen imputados y el INDEC los revisa hacia atrás.</w:t>
      </w:r>
    </w:p>
    <w:p>
      <w:pPr>
        <w:numPr>
          <w:ilvl w:val="0"/>
          <w:numId w:val="1016"/>
        </w:numPr>
        <w:pStyle w:val="Compact"/>
      </w:pPr>
      <w:r>
        <w:t xml:space="preserve">Las bandas se calibraron a mano contra el recorte observado (~10-12% → banda alta): es una convención propia del proyecto y no una meta oficial.</w:t>
      </w:r>
    </w:p>
    <w:p>
      <w:pPr>
        <w:numPr>
          <w:ilvl w:val="0"/>
          <w:numId w:val="1016"/>
        </w:numPr>
        <w:pStyle w:val="Compact"/>
      </w:pPr>
      <w:r>
        <w:t xml:space="preserve">Mide personas, no costo. La reducción de la planta puede convivir con un gasto salarial que no baje en la misma proporción, y por eso el cinturón sigue ambas cosas por separado.</w:t>
      </w:r>
    </w:p>
    <w:bookmarkEnd w:id="60"/>
    <w:bookmarkStart w:id="61" w:name="X70e697facfb18692fa01ac9fd893f095e78dfba"/>
    <w:p>
      <w:pPr>
        <w:pStyle w:val="Heading2"/>
        <w:keepNext/>
      </w:pPr>
      <w:r>
        <w:t xml:space="preserve">Si falta el dato / Política de revisiones</w:t>
      </w:r>
    </w:p>
    <w:p>
      <w:pPr>
        <w:numPr>
          <w:ilvl w:val="0"/>
          <w:numId w:val="1017"/>
        </w:numPr>
      </w:pPr>
      <w:r>
        <w:rPr>
          <w:bCs/>
          <w:b/>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17"/>
        </w:numPr>
      </w:pPr>
      <w:r>
        <w:rPr>
          <w:bCs/>
          <w:b/>
        </w:rPr>
        <w:t xml:space="preserve">Política de revisiones:</w:t>
      </w:r>
      <w:r>
        <w:t xml:space="preserve"> </w:t>
      </w:r>
      <w:r>
        <w:t xml:space="preserve">La fuente revisa los meses imputados en cada publicación; la serie propia se relee completa en cada actualización.</w:t>
      </w:r>
    </w:p>
    <w:bookmarkEnd w:id="61"/>
    <w:bookmarkStart w:id="62" w:name="X57c472e6153e0a3a54ac23c7ee61d844b37a3be"/>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sobre la serie previsional trimestral, con meta de largo plazo.</w:t>
      </w:r>
    </w:p>
    <w:p>
      <w:pPr>
        <w:pStyle w:val="BodyText"/>
      </w:pPr>
      <w:r>
        <w:rPr>
          <w:bCs/>
          <w:b/>
        </w:rPr>
        <w:t xml:space="preserve">2026-07-02</w:t>
      </w:r>
      <w:r>
        <w:t xml:space="preserve"> </w:t>
      </w:r>
      <w:r>
        <w:t xml:space="preserve">— Pasa a la planilla mensual de dotación APN contra diciembre de 2023, con umbrales del ITCG.</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62"/>
    <w:bookmarkEnd w:id="63"/>
    <w:bookmarkStart w:id="73" w:name="gasto-de-funcionamiento"/>
    <w:p>
      <w:pPr>
        <w:pStyle w:val="Heading1"/>
        <w:keepNext/>
      </w:pPr>
      <w:r>
        <w:t xml:space="preserve">Gasto de funcionamiento</w:t>
      </w:r>
    </w:p>
    <w:p>
      <w:pPr>
        <w:pStyle w:val="FirstParagraph"/>
      </w:pPr>
      <w:r>
        <w:t xml:space="preserve">Cuánto varía en términos reales el gasto de funcionamiento del Estado nacional respecto de 2023.</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−31,37 % de variación real vs 2023-06 (IMIG funcionamiento)</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7,8 % del ITCG</w:t>
            </w:r>
          </w:p>
        </w:tc>
        <w:tc>
          <w:p>
            <w:pPr>
              <w:pStyle w:val="Compact"/>
              <w:jc w:val="left"/>
            </w:pPr>
            <w:r>
              <w:rPr>
                <w:sz w:val="18"/>
              </w:rPr>
              <w:t xml:space="preserve">Cinturón Gestión</w:t>
            </w:r>
          </w:p>
        </w:tc>
      </w:tr>
    </w:tbl>
    <w:bookmarkStart w:id="64"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gasto_funcionamiento</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del Estado</w:t>
            </w:r>
          </w:p>
        </w:tc>
        <w:tc>
          <w:p>
            <w:pPr>
              <w:pStyle w:val="Compact"/>
              <w:jc w:val="left"/>
            </w:pPr>
            <w:r>
              <w:rPr>
                <w:bCs/>
                <w:b/>
                <w:sz w:val="18"/>
              </w:rPr>
              <w:t xml:space="preserve">UNIDAD DE MEDIDA</w:t>
            </w:r>
          </w:p>
        </w:tc>
        <w:tc>
          <w:p>
            <w:pPr>
              <w:pStyle w:val="Compact"/>
              <w:jc w:val="left"/>
            </w:pPr>
            <w:r>
              <w:rPr>
                <w:sz w:val="18"/>
              </w:rPr>
              <w:t xml:space="preserve">% de variación real vs 2023-06 (IMIG funcionamiento)</w:t>
            </w:r>
          </w:p>
        </w:tc>
      </w:tr>
      <w:tr>
        <w:trPr>
          <w:cantSplit/>
        </w:trPr>
        <w:tc>
          <w:p>
            <w:pPr>
              <w:pStyle w:val="Compact"/>
              <w:jc w:val="left"/>
            </w:pPr>
            <w:r>
              <w:rPr>
                <w:bCs/>
                <w:b/>
                <w:sz w:val="18"/>
              </w:rPr>
              <w:t xml:space="preserve">SERIE DISPONIBLE</w:t>
            </w:r>
          </w:p>
        </w:tc>
        <w:tc>
          <w:p>
            <w:pPr>
              <w:pStyle w:val="Compact"/>
              <w:jc w:val="left"/>
            </w:pPr>
            <w:r>
              <w:rPr>
                <w:sz w:val="18"/>
              </w:rPr>
              <w:t xml:space="preserve">2024-01 → 2026-06 (30 puntos)</w:t>
            </w:r>
          </w:p>
        </w:tc>
        <w:tc>
          <w:p>
            <w:pPr>
              <w:pStyle w:val="Compact"/>
              <w:jc w:val="left"/>
            </w:pPr>
            <w:r>
              <w:rPr>
                <w:bCs/>
                <w:b/>
                <w:sz w:val="18"/>
              </w:rPr>
              <w:t xml:space="preserve">REZAGO DE PUBLICACIÓN</w:t>
            </w:r>
          </w:p>
        </w:tc>
        <w:tc>
          <w:p>
            <w:pPr>
              <w:pStyle w:val="Compact"/>
              <w:jc w:val="left"/>
            </w:pPr>
            <w:r>
              <w:rPr>
                <w:sz w:val="18"/>
              </w:rPr>
              <w:t xml:space="preserve">Las series de gasto se publican con ~2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deflactor: INDEC</w:t>
            </w:r>
          </w:p>
        </w:tc>
        <w:tc>
          <w:p>
            <w:pPr>
              <w:pStyle w:val="Compact"/>
              <w:jc w:val="left"/>
            </w:pPr>
            <w:r>
              <w:rPr>
                <w:bCs/>
                <w:b/>
                <w:sz w:val="18"/>
              </w:rPr>
              <w:t xml:space="preserve">OPERACIÓN ESTADÍSTICA</w:t>
            </w:r>
          </w:p>
        </w:tc>
        <w:tc>
          <w:p>
            <w:pPr>
              <w:pStyle w:val="Compact"/>
              <w:jc w:val="left"/>
            </w:pPr>
            <w:r>
              <w:rPr>
                <w:sz w:val="18"/>
              </w:rPr>
              <w:t xml:space="preserve">Gastos de funcionamiento del Estado nacional (salarios + otros gastos), variación real contra el mismo mes de 2023</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64"/>
    <w:bookmarkStart w:id="65" w:name="definición-qué-mide-y-por-qué-importa-4"/>
    <w:p>
      <w:pPr>
        <w:pStyle w:val="Heading2"/>
        <w:keepNext/>
      </w:pPr>
      <w:r>
        <w:t xml:space="preserve">Definición — qué mide y por qué importa</w:t>
      </w:r>
    </w:p>
    <w:p>
      <w:pPr>
        <w:pStyle w:val="FirstParagraph"/>
      </w:pPr>
      <w:r>
        <w:t xml:space="preserve">Cuánto varía en términos reales el gasto de funcionamiento del Estado nacional respecto de 2023.</w:t>
      </w:r>
    </w:p>
    <w:p>
      <w:pPr>
        <w:pStyle w:val="BodyText"/>
      </w:pPr>
      <w:r>
        <w:t xml:space="preserve">La magnitud fiscal del aparato administrativo, aislada de la inflación: distingue el achicamiento del Estado de la mera licuación nominal.</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65"/>
    <w:bookmarkStart w:id="66" w:name="método-de-cómputo-4"/>
    <w:p>
      <w:pPr>
        <w:pStyle w:val="Heading2"/>
        <w:keepNext/>
      </w:pPr>
      <w:r>
        <w:t xml:space="preserve">Método de cómputo</w:t>
      </w:r>
    </w:p>
    <w:p>
      <w:pPr>
        <w:numPr>
          <w:ilvl w:val="0"/>
          <w:numId w:val="1018"/>
        </w:numPr>
        <w:pStyle w:val="Compact"/>
      </w:pPr>
      <w:r>
        <w:t xml:space="preserve">Total = salarios + otros gastos de funcionamiento.</w:t>
      </w:r>
    </w:p>
    <w:p>
      <w:pPr>
        <w:numPr>
          <w:ilvl w:val="0"/>
          <w:numId w:val="1018"/>
        </w:numPr>
        <w:pStyle w:val="Compact"/>
      </w:pPr>
      <w:r>
        <w:t xml:space="preserve">Variación real del último mes contra el mismo mes de 2023, deflactada por IPC: comparar el mismo mes aísla a la vez la inflación y la estacionalidad de los aguinaldos.</w:t>
      </w:r>
    </w:p>
    <w:bookmarkEnd w:id="66"/>
    <w:bookmarkStart w:id="67"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variación real vs 2023-06 (IMIG funcionamiento))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−8,5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−8,5 – −2,5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−2,5 – −0,83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−0,83</w:t>
            </w:r>
          </w:p>
        </w:tc>
        <w:tc>
          <w:tcPr>
            <w:shd w:val="clear" w:color="auto" w:fill="FEE2E2"/>
          </w:tcPr>
          <w:p>
            <w:pPr>
              <w:pStyle w:val="Compact"/>
              <w:jc w:val="center"/>
            </w:pPr>
            <w:r>
              <w:rPr>
                <w:b/>
                <w:sz w:val="18"/>
                <w:color w:val="7F1D1D"/>
              </w:rPr>
              <w:t xml:space="preserve">ROJO</w:t>
            </w:r>
          </w:p>
        </w:tc>
      </w:tr>
    </w:tbl>
    <w:bookmarkEnd w:id="67"/>
    <w:bookmarkStart w:id="68"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9"/>
        </w:numPr>
        <w:pStyle w:val="Compact"/>
      </w:pPr>
      <w:r>
        <w:t xml:space="preserve">$ 2,11 bn devengados (2026-06) vs $ 0,44 bn (2023-06) · inflación del período ×6,9</w:t>
      </w:r>
    </w:p>
    <w:bookmarkEnd w:id="68"/>
    <w:bookmarkStart w:id="69" w:name="color-vigente-y-por-qué-4"/>
    <w:p>
      <w:pPr>
        <w:pStyle w:val="Heading2"/>
        <w:keepNext/>
      </w:pPr>
      <w:r>
        <w:t xml:space="preserve">Color vigente y por qué</w:t>
      </w:r>
    </w:p>
    <w:p>
      <w:pPr>
        <w:pStyle w:val="FirstParagraph"/>
      </w:pPr>
      <w:r>
        <w:t xml:space="preserve">Dato vigente: −31,37 % de variación real vs 2023-06 (IMIG funcionamiento) (2026-06).</w:t>
      </w:r>
    </w:p>
    <w:p>
      <w:pPr>
        <w:pStyle w:val="BodyText"/>
      </w:pPr>
      <w:r>
        <w:t xml:space="preserve">−31,37 % de variación real vs 2023-06 (IMIG funcionamiento) cae en el tramo que corresponde a Verde, a 22,87 del corte más cercano.</w:t>
      </w:r>
    </w:p>
    <w:p>
      <w:pPr>
        <w:pStyle w:val="BodyText"/>
      </w:pPr>
      <w:r>
        <w:rPr>
          <w:bCs/>
          <w:b/>
        </w:rPr>
        <w:t xml:space="preserve">Color vigente: VERDE</w:t>
      </w:r>
    </w:p>
    <w:p>
      <w:pPr>
        <w:pStyle w:val="BodyText"/>
      </w:pPr>
      <w:r>
        <w:t xml:space="preserve">Ponderación vigente en el ITCG: 7,8 % efectivo. El color es una lectura adicional — no reemplaza ni cambia esta ponderación.</w:t>
      </w:r>
    </w:p>
    <w:p>
      <w:pPr>
        <w:numPr>
          <w:ilvl w:val="0"/>
          <w:numId w:val="1020"/>
        </w:numPr>
        <w:pStyle w:val="Compact"/>
      </w:pPr>
      <w:r>
        <w:rPr>
          <w:bCs/>
          <w:b/>
        </w:rPr>
        <w:t xml:space="preserve">Participación en otros indicadores.</w:t>
      </w:r>
      <w:r>
        <w:t xml:space="preserve"> </w:t>
      </w:r>
      <w:r>
        <w:t xml:space="preserve">Su componente de salarios se solapa conceptualmente con la masa salarial (fuente distinta): el marco las trata como patas complementarias — ninguna sola alcanza.</w:t>
      </w:r>
    </w:p>
    <w:bookmarkEnd w:id="69"/>
    <w:bookmarkStart w:id="70" w:name="transparencia-limitaciones-declaradas-4"/>
    <w:p>
      <w:pPr>
        <w:pStyle w:val="Heading2"/>
        <w:keepNext/>
      </w:pPr>
      <w:r>
        <w:t xml:space="preserve">Transparencia — limitaciones declaradas</w:t>
      </w:r>
    </w:p>
    <w:p>
      <w:pPr>
        <w:numPr>
          <w:ilvl w:val="0"/>
          <w:numId w:val="1021"/>
        </w:numPr>
        <w:pStyle w:val="Compact"/>
      </w:pPr>
      <w:r>
        <w:t xml:space="preserve">Bandas calibradas a mano contra el ajuste 2024, un episodio históricamente atípico.</w:t>
      </w:r>
    </w:p>
    <w:p>
      <w:pPr>
        <w:numPr>
          <w:ilvl w:val="0"/>
          <w:numId w:val="1021"/>
        </w:numPr>
        <w:pStyle w:val="Compact"/>
      </w:pPr>
      <w:r>
        <w:t xml:space="preserve">La base caja/devengado de Hacienda está sujeta a reclasificaciones presupuestarias.</w:t>
      </w:r>
    </w:p>
    <w:bookmarkEnd w:id="70"/>
    <w:bookmarkStart w:id="71" w:name="X61b77bf27a7482596b8c47f1ea71e4d36077bf4"/>
    <w:p>
      <w:pPr>
        <w:pStyle w:val="Heading2"/>
        <w:keepNext/>
      </w:pPr>
      <w:r>
        <w:t xml:space="preserve">Si falta el dato / Política de revisiones</w:t>
      </w:r>
    </w:p>
    <w:p>
      <w:pPr>
        <w:numPr>
          <w:ilvl w:val="0"/>
          <w:numId w:val="1022"/>
        </w:numPr>
      </w:pPr>
      <w:r>
        <w:rPr>
          <w:bCs/>
          <w:b/>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22"/>
        </w:numPr>
      </w:pPr>
      <w:r>
        <w:rPr>
          <w:bCs/>
          <w:b/>
        </w:rPr>
        <w:t xml:space="preserve">Política de revisiones:</w:t>
      </w:r>
      <w:r>
        <w:t xml:space="preserve"> </w:t>
      </w:r>
      <w:r>
        <w:t xml:space="preserve">Series revisables por el publicador; la serie propia se recalcula entera en cada actualización.</w:t>
      </w:r>
    </w:p>
    <w:bookmarkEnd w:id="71"/>
    <w:bookmarkStart w:id="72" w:name="X2689a8f17fd66d16ab78fd446a4f0208d24d005"/>
    <w:p>
      <w:pPr>
        <w:pStyle w:val="Heading2"/>
        <w:keepNext/>
      </w:pPr>
      <w:r>
        <w:t xml:space="preserve">Historial — cambios metodológicos documentados</w:t>
      </w:r>
    </w:p>
    <w:p>
      <w:pPr>
        <w:pStyle w:val="FirstParagraph"/>
      </w:pPr>
      <w:r>
        <w:rPr>
          <w:bCs/>
          <w:b/>
        </w:rPr>
        <w:t xml:space="preserve">2026-07-02</w:t>
      </w:r>
      <w:r>
        <w:t xml:space="preserve"> </w:t>
      </w:r>
      <w:r>
        <w:t xml:space="preserve">— Indicador nuevo, creado con el ITCG.</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72"/>
    <w:bookmarkEnd w:id="73"/>
    <w:bookmarkStart w:id="81" w:name="masa-salarial-pública"/>
    <w:p>
      <w:pPr>
        <w:pStyle w:val="Heading1"/>
        <w:keepNext/>
      </w:pPr>
      <w:r>
        <w:t xml:space="preserve">Masa salarial pública</w:t>
      </w:r>
    </w:p>
    <w:p>
      <w:pPr>
        <w:pStyle w:val="FirstParagraph"/>
      </w:pPr>
      <w:r>
        <w:t xml:space="preserve">Cuánto varía en términos reales la masa salarial del personal del Estado nacional respecto de 2023.</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−32,37 % de variación real vs 2023-06 (SPN remuneraciones)</w:t>
            </w:r>
            <w:r>
              <w:rPr>
                <w:sz w:val="18"/>
              </w:rPr>
              <w:t xml:space="preserve"> </w:t>
            </w:r>
            <w:r>
              <w:rPr>
                <w:sz w:val="18"/>
              </w:rPr>
              <w:t xml:space="preserve">(2026-06)</w:t>
            </w:r>
          </w:p>
        </w:tc>
        <w:tc>
          <w:p>
            <w:pPr>
              <w:pStyle w:val="Compact"/>
              <w:jc w:val="left"/>
            </w:pPr>
            <w:r>
              <w:rPr>
                <w:bCs/>
                <w:b/>
                <w:sz w:val="18"/>
              </w:rPr>
              <w:t xml:space="preserve">—</w:t>
            </w:r>
          </w:p>
        </w:tc>
        <w:tc>
          <w:p>
            <w:pPr>
              <w:pStyle w:val="Compact"/>
              <w:jc w:val="left"/>
            </w:pPr>
            <w:r>
              <w:rPr>
                <w:sz w:val="18"/>
              </w:rPr>
              <w:t xml:space="preserve">Fuera del índice</w:t>
            </w:r>
          </w:p>
        </w:tc>
        <w:tc>
          <w:p>
            <w:pPr>
              <w:pStyle w:val="Compact"/>
              <w:jc w:val="left"/>
            </w:pPr>
            <w:r>
              <w:rPr>
                <w:sz w:val="18"/>
              </w:rPr>
              <w:t xml:space="preserve">Cinturón Gestión</w:t>
            </w:r>
          </w:p>
        </w:tc>
      </w:tr>
    </w:tbl>
    <w:bookmarkStart w:id="74"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masa_salarial</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del Estado</w:t>
            </w:r>
          </w:p>
        </w:tc>
        <w:tc>
          <w:p>
            <w:pPr>
              <w:pStyle w:val="Compact"/>
              <w:jc w:val="left"/>
            </w:pPr>
            <w:r>
              <w:rPr>
                <w:bCs/>
                <w:b/>
                <w:sz w:val="18"/>
              </w:rPr>
              <w:t xml:space="preserve">UNIDAD DE MEDIDA</w:t>
            </w:r>
          </w:p>
        </w:tc>
        <w:tc>
          <w:p>
            <w:pPr>
              <w:pStyle w:val="Compact"/>
              <w:jc w:val="left"/>
            </w:pPr>
            <w:r>
              <w:rPr>
                <w:sz w:val="18"/>
              </w:rPr>
              <w:t xml:space="preserve">% de variación real vs 2023-06 (SPN remuneraciones)</w:t>
            </w:r>
          </w:p>
        </w:tc>
      </w:tr>
      <w:tr>
        <w:trPr>
          <w:cantSplit/>
        </w:trPr>
        <w:tc>
          <w:p>
            <w:pPr>
              <w:pStyle w:val="Compact"/>
              <w:jc w:val="left"/>
            </w:pPr>
            <w:r>
              <w:rPr>
                <w:bCs/>
                <w:b/>
                <w:sz w:val="18"/>
              </w:rPr>
              <w:t xml:space="preserve">SERIE DISPONIBLE</w:t>
            </w:r>
          </w:p>
        </w:tc>
        <w:tc>
          <w:p>
            <w:pPr>
              <w:pStyle w:val="Compact"/>
              <w:jc w:val="left"/>
            </w:pPr>
            <w:r>
              <w:rPr>
                <w:sz w:val="18"/>
              </w:rPr>
              <w:t xml:space="preserve">2024-01 → 2026-06 (30 puntos)</w:t>
            </w:r>
          </w:p>
        </w:tc>
        <w:tc>
          <w:p>
            <w:pPr>
              <w:pStyle w:val="Compact"/>
              <w:jc w:val="left"/>
            </w:pPr>
            <w:r>
              <w:rPr>
                <w:bCs/>
                <w:b/>
                <w:sz w:val="18"/>
              </w:rPr>
              <w:t xml:space="preserve">REZAGO DE PUBLICACIÓN</w:t>
            </w:r>
          </w:p>
        </w:tc>
        <w:tc>
          <w:p>
            <w:pPr>
              <w:pStyle w:val="Compact"/>
              <w:jc w:val="left"/>
            </w:pPr>
            <w:r>
              <w:rPr>
                <w:sz w:val="18"/>
              </w:rPr>
              <w:t xml:space="preserve">Las series de gasto se publican con ~2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(base caja); deflactor: INDEC</w:t>
            </w:r>
          </w:p>
        </w:tc>
        <w:tc>
          <w:p>
            <w:pPr>
              <w:pStyle w:val="Compact"/>
              <w:jc w:val="left"/>
            </w:pPr>
            <w:r>
              <w:rPr>
                <w:bCs/>
                <w:b/>
                <w:sz w:val="18"/>
              </w:rPr>
              <w:t xml:space="preserve">OPERACIÓN ESTADÍSTICA</w:t>
            </w:r>
          </w:p>
        </w:tc>
        <w:tc>
          <w:p>
            <w:pPr>
              <w:pStyle w:val="Compact"/>
              <w:jc w:val="left"/>
            </w:pPr>
            <w:r>
              <w:rPr>
                <w:sz w:val="18"/>
              </w:rPr>
              <w:t xml:space="preserve">Remuneraciones del Sector Público Nacional, variación real contra el mismo mes de 2023</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74"/>
    <w:bookmarkStart w:id="75" w:name="definición-qué-mide-y-por-qué-importa-5"/>
    <w:p>
      <w:pPr>
        <w:pStyle w:val="Heading2"/>
        <w:keepNext/>
      </w:pPr>
      <w:r>
        <w:t xml:space="preserve">Definición — qué mide y por qué importa</w:t>
      </w:r>
    </w:p>
    <w:p>
      <w:pPr>
        <w:pStyle w:val="FirstParagraph"/>
      </w:pPr>
      <w:r>
        <w:t xml:space="preserve">Cuánto varía en términos reales la masa salarial del personal del Estado nacional respecto de 2023.</w:t>
      </w:r>
    </w:p>
    <w:p>
      <w:pPr>
        <w:pStyle w:val="BodyText"/>
      </w:pPr>
      <w:r>
        <w:t xml:space="preserve">Filtra el efecto de la inflación sobre plantas nominales: complementa a la dotación (personas) con el costo salarial real.</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75"/>
    <w:bookmarkStart w:id="76" w:name="método-de-cómputo-5"/>
    <w:p>
      <w:pPr>
        <w:pStyle w:val="Heading2"/>
        <w:keepNext/>
      </w:pPr>
      <w:r>
        <w:t xml:space="preserve">Método de cómputo</w:t>
      </w:r>
    </w:p>
    <w:p>
      <w:pPr>
        <w:numPr>
          <w:ilvl w:val="0"/>
          <w:numId w:val="1023"/>
        </w:numPr>
        <w:pStyle w:val="Compact"/>
      </w:pPr>
      <w:r>
        <w:t xml:space="preserve">Variación real contra el mismo mes de 2023, deflactada por IPC — la misma mecánica que el gasto de funcionamiento.</w:t>
      </w:r>
    </w:p>
    <w:p>
      <w:pPr>
        <w:numPr>
          <w:ilvl w:val="0"/>
          <w:numId w:val="1023"/>
        </w:numPr>
        <w:pStyle w:val="Compact"/>
      </w:pPr>
      <w:r>
        <w:t xml:space="preserve">Complementa a la dotación con el costo real: distingue el achicamiento genuino de la licuación nominal por inflación.</w:t>
      </w:r>
    </w:p>
    <w:bookmarkEnd w:id="76"/>
    <w:bookmarkStart w:id="77"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4"/>
        </w:numPr>
      </w:pPr>
      <w:r>
        <w:t xml:space="preserve">$ 1,61 bn devengados (2026-06) vs $ 0,34 bn (2023-06) · inflación del período ×6,9</w:t>
      </w:r>
    </w:p>
    <w:p>
      <w:pPr>
        <w:numPr>
          <w:ilvl w:val="0"/>
          <w:numId w:val="1024"/>
        </w:numPr>
      </w:pPr>
      <w:r>
        <w:rPr>
          <w:bCs/>
          <w:b/>
        </w:rPr>
        <w:t xml:space="preserve">Participación en otros indicadores.</w:t>
      </w:r>
      <w:r>
        <w:t xml:space="preserve"> </w:t>
      </w:r>
      <w:r>
        <w:t xml:space="preserve">Solapamiento conceptual declarado con el componente de salarios del gasto de funcionamiento (fuentes distintas, misma dimensión).</w:t>
      </w:r>
    </w:p>
    <w:bookmarkEnd w:id="77"/>
    <w:bookmarkStart w:id="78" w:name="transparencia-limitaciones-declaradas-5"/>
    <w:p>
      <w:pPr>
        <w:pStyle w:val="Heading2"/>
        <w:keepNext/>
      </w:pPr>
      <w:r>
        <w:t xml:space="preserve">Transparencia — limitaciones declaradas</w:t>
      </w:r>
    </w:p>
    <w:p>
      <w:pPr>
        <w:numPr>
          <w:ilvl w:val="0"/>
          <w:numId w:val="1025"/>
        </w:numPr>
        <w:pStyle w:val="Compact"/>
      </w:pPr>
      <w:r>
        <w:t xml:space="preserve">Base caja: el calendario de pagos puede desalinear meses.</w:t>
      </w:r>
    </w:p>
    <w:p>
      <w:pPr>
        <w:numPr>
          <w:ilvl w:val="0"/>
          <w:numId w:val="1025"/>
        </w:numPr>
        <w:pStyle w:val="Compact"/>
      </w:pPr>
      <w:r>
        <w:t xml:space="preserve">Comparte el deflactor con el gasto de funcionamiento: un error del IPC mueve a los dos a la vez.</w:t>
      </w:r>
    </w:p>
    <w:p>
      <w:pPr>
        <w:numPr>
          <w:ilvl w:val="0"/>
          <w:numId w:val="1025"/>
        </w:numPr>
        <w:pStyle w:val="Compact"/>
      </w:pPr>
      <w:r>
        <w:t xml:space="preserve">Desde agosto de 2026 no integra el ITCG: CIGOB pidió sacarlo del cálculo por dudas sobre la forma de exponer estos datos, hasta tener certeza de las afirmaciones que permiten sostener. La card se sigue publicando con su valor mensual — ver ADR-0186.</w:t>
      </w:r>
    </w:p>
    <w:bookmarkEnd w:id="78"/>
    <w:bookmarkStart w:id="79" w:name="Xc57e4cc3a18d396728e74304c5ee81f44a4293b"/>
    <w:p>
      <w:pPr>
        <w:pStyle w:val="Heading2"/>
        <w:keepNext/>
      </w:pPr>
      <w:r>
        <w:t xml:space="preserve">Si falta el dato / Política de revisiones</w:t>
      </w:r>
    </w:p>
    <w:p>
      <w:pPr>
        <w:numPr>
          <w:ilvl w:val="0"/>
          <w:numId w:val="1026"/>
        </w:numPr>
      </w:pPr>
      <w:r>
        <w:rPr>
          <w:bCs/>
          <w:b/>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26"/>
        </w:numPr>
      </w:pPr>
      <w:r>
        <w:rPr>
          <w:bCs/>
          <w:b/>
        </w:rPr>
        <w:t xml:space="preserve">Política de revisiones:</w:t>
      </w:r>
      <w:r>
        <w:t xml:space="preserve"> </w:t>
      </w:r>
      <w:r>
        <w:t xml:space="preserve">Series revisables por el publicador; recalculada entera en cada actualización.</w:t>
      </w:r>
    </w:p>
    <w:bookmarkEnd w:id="79"/>
    <w:bookmarkStart w:id="80" w:name="X01eece54c25544211d0d4e1d54c663892ca44aa"/>
    <w:p>
      <w:pPr>
        <w:pStyle w:val="Heading2"/>
        <w:keepNext/>
      </w:pPr>
      <w:r>
        <w:t xml:space="preserve">Historial — cambios metodológicos documentados</w:t>
      </w:r>
    </w:p>
    <w:p>
      <w:pPr>
        <w:pStyle w:val="FirstParagraph"/>
      </w:pPr>
      <w:r>
        <w:rPr>
          <w:bCs/>
          <w:b/>
        </w:rPr>
        <w:t xml:space="preserve">2026-07-02</w:t>
      </w:r>
      <w:r>
        <w:t xml:space="preserve"> </w:t>
      </w:r>
      <w:r>
        <w:t xml:space="preserve">— Indicador nuevo, creado con el ITCG.</w:t>
      </w:r>
    </w:p>
    <w:p>
      <w:pPr>
        <w:pStyle w:val="BodyText"/>
      </w:pPr>
      <w:r>
        <w:rPr>
          <w:bCs/>
          <w:b/>
        </w:rPr>
        <w:t xml:space="preserve">2026-07-03</w:t>
      </w:r>
      <w:r>
        <w:t xml:space="preserve"> </w:t>
      </w:r>
      <w:r>
        <w:t xml:space="preserve">— Puntaje interpolado entre anclas.</w:t>
      </w:r>
    </w:p>
    <w:p>
      <w:pPr>
        <w:pStyle w:val="BodyText"/>
      </w:pPr>
      <w:r>
        <w:rPr>
          <w:bCs/>
          <w:b/>
        </w:rPr>
        <w:t xml:space="preserve">2026-08-09</w:t>
      </w:r>
      <w:r>
        <w:t xml:space="preserve"> </w:t>
      </w:r>
      <w:r>
        <w:t xml:space="preserve">— Sale del cálculo del ITCG a pedido de CIGOB (dudas sobre la exposición de la fuente); la dimensión reforma_estado renormaliza sus pesos 35/25/20 → 43,75/31,25/25 entre los tres indicadores que quedan. La card se mantiene. Ver ADR-0186.</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80"/>
    <w:bookmarkEnd w:id="81"/>
    <w:bookmarkStart w:id="91" w:name="reestructuración-de-organismos"/>
    <w:p>
      <w:pPr>
        <w:pStyle w:val="Heading1"/>
        <w:keepNext/>
      </w:pPr>
      <w:r>
        <w:t xml:space="preserve">Reestructuración de organismos</w:t>
      </w:r>
    </w:p>
    <w:p>
      <w:pPr>
        <w:pStyle w:val="FirstParagraph"/>
      </w:pPr>
      <w:r>
        <w:t xml:space="preserve">Cuántos organismos públicos se disolvieron o cerraron desde diciembre de 2023, con ese cierre todavía vigente.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24,4 % de avance (proxy InfoLeg, caso por caso)</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6,2 % del ITCG</w:t>
            </w:r>
          </w:p>
        </w:tc>
        <w:tc>
          <w:p>
            <w:pPr>
              <w:pStyle w:val="Compact"/>
              <w:jc w:val="left"/>
            </w:pPr>
            <w:r>
              <w:rPr>
                <w:sz w:val="18"/>
              </w:rPr>
              <w:t xml:space="preserve">Cinturón Gestión</w:t>
            </w:r>
          </w:p>
        </w:tc>
      </w:tr>
    </w:tbl>
    <w:bookmarkStart w:id="82"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reestructuracion_organismos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del Estado</w:t>
            </w:r>
          </w:p>
        </w:tc>
        <w:tc>
          <w:p>
            <w:pPr>
              <w:pStyle w:val="Compact"/>
              <w:jc w:val="left"/>
            </w:pPr>
            <w:r>
              <w:rPr>
                <w:bCs/>
                <w:b/>
                <w:sz w:val="18"/>
              </w:rPr>
              <w:t xml:space="preserve">UNIDAD DE MEDIDA</w:t>
            </w:r>
          </w:p>
        </w:tc>
        <w:tc>
          <w:p>
            <w:pPr>
              <w:pStyle w:val="Compact"/>
              <w:jc w:val="left"/>
            </w:pPr>
            <w:r>
              <w:rPr>
                <w:sz w:val="18"/>
              </w:rPr>
              <w:t xml:space="preserve">% de avance (proxy InfoLeg, caso por caso)</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Sin rezago: conteo al día de la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InfoLeg (Ministerio de Justicia)</w:t>
            </w:r>
          </w:p>
        </w:tc>
        <w:tc>
          <w:p>
            <w:pPr>
              <w:pStyle w:val="Compact"/>
              <w:jc w:val="left"/>
            </w:pPr>
            <w:r>
              <w:rPr>
                <w:bCs/>
                <w:b/>
                <w:sz w:val="18"/>
              </w:rPr>
              <w:t xml:space="preserve">OPERACIÓN ESTADÍSTICA</w:t>
            </w:r>
          </w:p>
        </w:tc>
        <w:tc>
          <w:p>
            <w:pPr>
              <w:pStyle w:val="Compact"/>
              <w:jc w:val="left"/>
            </w:pPr>
            <w:r>
              <w:rPr>
                <w:sz w:val="18"/>
              </w:rPr>
              <w:t xml:space="preserve">Conteo de normas nacionales publicadas desde diciembre de 2023 cuyo texto contiene «disolución», filtrado caso por caso contra un registro curado</w:t>
            </w:r>
          </w:p>
        </w:tc>
      </w:tr>
      <w:tr>
        <w:trPr>
          <w:cantSplit/>
        </w:trPr>
        <w:tc>
          <w:p>
            <w:pPr>
              <w:pStyle w:val="Compact"/>
              <w:jc w:val="left"/>
            </w:pPr>
            <w:r>
              <w:rPr>
                <w:bCs/>
                <w:b/>
                <w:sz w:val="18"/>
              </w:rPr>
              <w:t xml:space="preserve">MODO DE ACCESO</w:t>
            </w:r>
          </w:p>
        </w:tc>
        <w:tc>
          <w:p>
            <w:pPr>
              <w:pStyle w:val="Compact"/>
              <w:jc w:val="left"/>
            </w:pPr>
            <w:r>
              <w:rPr>
                <w:sz w:val="18"/>
              </w:rPr>
              <w:t xml:space="preserve">InfoLeg como descubrimiento (mismo mecanismo que la desregulación) + un registro curado que clasifica cada hallazgo: cuenta, no cuenta por ser ajeno a un organismo público, o no cuenta por haber sido revertido.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82"/>
    <w:bookmarkStart w:id="83" w:name="definición-qué-mide-y-por-qué-importa-6"/>
    <w:p>
      <w:pPr>
        <w:pStyle w:val="Heading2"/>
        <w:keepNext/>
      </w:pPr>
      <w:r>
        <w:t xml:space="preserve">Definición — qué mide y por qué importa</w:t>
      </w:r>
    </w:p>
    <w:p>
      <w:pPr>
        <w:pStyle w:val="FirstParagraph"/>
      </w:pPr>
      <w:r>
        <w:t xml:space="preserve">Cuántos organismos públicos se disolvieron o cerraron desde diciembre de 2023, con ese cierre todavía vigente.</w:t>
      </w:r>
    </w:p>
    <w:p>
      <w:pPr>
        <w:pStyle w:val="BodyText"/>
      </w:pPr>
      <w:r>
        <w:t xml:space="preserve">Mide el avance concreto de la reforma del aparato estatal por la vía más dura y verificable: el cierre. No cuenta fusiones, transformaciones ni reorganizaciones que no impliquen disolver un organismo — esas son difíciles de verificar caso por caso y quedan fuera de lo que este indicador afirma medir. Tampoco cuenta un hallazgo de la búsqueda que, revisado caso por caso, resultó ajeno a un organismo público o fue revertido después: cada norma se contrasta contra un registro curado antes de sumar.</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83"/>
    <w:bookmarkStart w:id="84" w:name="método-de-cómputo-6"/>
    <w:p>
      <w:pPr>
        <w:pStyle w:val="Heading2"/>
        <w:keepNext/>
      </w:pPr>
      <w:r>
        <w:t xml:space="preserve">Método de cómputo</w:t>
      </w:r>
    </w:p>
    <w:p>
      <w:pPr>
        <w:numPr>
          <w:ilvl w:val="0"/>
          <w:numId w:val="1027"/>
        </w:numPr>
        <w:pStyle w:val="Compact"/>
      </w:pPr>
      <w:r>
        <w:t xml:space="preserve">Avance = actos de disolución o cierre VIGENTES de organismos públicos, sobre un plan de 45 (calibración declarada). No cuenta fusiones, transformaciones ni centralizaciones —difíciles de verificar caso por caso, CIGOB pidió (ago-2026) hablar solo de disolución o cierre— y desde agosto de 2026 tampoco cuenta un hallazgo de texto que no sea, caso por caso, el cierre vigente de un organismo público (ADR-0188): de los 18 documentos que la búsqueda encontraba, 11 pasan el filtro (24,4% de avance); los otros 7 quedan excluidos con su motivo documentado.</w:t>
      </w:r>
    </w:p>
    <w:bookmarkEnd w:id="84"/>
    <w:bookmarkStart w:id="85"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avance (proxy InfoLeg, caso por caso))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30 – 46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23,33 – 30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23,33</w:t>
            </w:r>
          </w:p>
        </w:tc>
        <w:tc>
          <w:tcPr>
            <w:shd w:val="clear" w:color="auto" w:fill="FEE2E2"/>
          </w:tcPr>
          <w:p>
            <w:pPr>
              <w:pStyle w:val="Compact"/>
              <w:jc w:val="center"/>
            </w:pPr>
            <w:r>
              <w:rPr>
                <w:b/>
                <w:sz w:val="18"/>
                <w:color w:val="7F1D1D"/>
              </w:rPr>
              <w:t xml:space="preserve">ROJO</w:t>
            </w:r>
          </w:p>
        </w:tc>
      </w:tr>
    </w:tbl>
    <w:bookmarkEnd w:id="85"/>
    <w:bookmarkStart w:id="86"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8"/>
        </w:numPr>
        <w:pStyle w:val="Compact"/>
      </w:pPr>
      <w:r>
        <w:t xml:space="preserve">11 actos de disolución o cierre de organismos desde dic-2023 (45 = plan completo) · 7 excluidos por falso positivo o por revertidos por el Congreso</w:t>
      </w:r>
    </w:p>
    <w:bookmarkEnd w:id="86"/>
    <w:bookmarkStart w:id="87" w:name="color-vigente-y-por-qué-5"/>
    <w:p>
      <w:pPr>
        <w:pStyle w:val="Heading2"/>
        <w:keepNext/>
      </w:pPr>
      <w:r>
        <w:t xml:space="preserve">Color vigente y por qué</w:t>
      </w:r>
    </w:p>
    <w:p>
      <w:pPr>
        <w:pStyle w:val="FirstParagraph"/>
      </w:pPr>
      <w:r>
        <w:t xml:space="preserve">Dato vigente: 24,4 % de avance (proxy InfoLeg, caso por caso) (2026-08).</w:t>
      </w:r>
    </w:p>
    <w:p>
      <w:pPr>
        <w:pStyle w:val="BodyText"/>
      </w:pPr>
      <w:r>
        <w:t xml:space="preserve">24,4 % de avance (proxy InfoLeg, caso por caso) cae en el tramo que corresponde a Naranja, a 1,07 del corte más cercano.</w:t>
      </w:r>
    </w:p>
    <w:p>
      <w:pPr>
        <w:pStyle w:val="BodyText"/>
      </w:pPr>
      <w:r>
        <w:rPr>
          <w:bCs/>
          <w:b/>
        </w:rPr>
        <w:t xml:space="preserve">Color vigente: NARANJA</w:t>
      </w:r>
    </w:p>
    <w:p>
      <w:pPr>
        <w:pStyle w:val="BodyText"/>
      </w:pPr>
      <w:r>
        <w:t xml:space="preserve">Ponderación vigente en el ITCG: 6,2 % efectivo. El color es una lectura adicional — no reemplaza ni cambia esta ponderación.</w:t>
      </w:r>
    </w:p>
    <w:bookmarkEnd w:id="87"/>
    <w:bookmarkStart w:id="88" w:name="transparencia-limitaciones-declaradas-6"/>
    <w:p>
      <w:pPr>
        <w:pStyle w:val="Heading2"/>
        <w:keepNext/>
      </w:pPr>
      <w:r>
        <w:t xml:space="preserve">Transparencia — limitaciones declaradas</w:t>
      </w:r>
    </w:p>
    <w:p>
      <w:pPr>
        <w:numPr>
          <w:ilvl w:val="0"/>
          <w:numId w:val="1029"/>
        </w:numPr>
        <w:pStyle w:val="Compact"/>
      </w:pPr>
      <w:r>
        <w:t xml:space="preserve">El megadecreto 70/2023 no aparece en la búsqueda de texto: solo captura los actos posteriores.</w:t>
      </w:r>
    </w:p>
    <w:p>
      <w:pPr>
        <w:numPr>
          <w:ilvl w:val="0"/>
          <w:numId w:val="1029"/>
        </w:numPr>
        <w:pStyle w:val="Compact"/>
      </w:pPr>
      <w:r>
        <w:t xml:space="preserve">La calibración (originalmente 18 = 40%, 45 = plan completo) es una decisión propia validada a mano y declarada; el 45 no cambió, el numerador sí (ver el cambio de agosto de 2026 abajo).</w:t>
      </w:r>
    </w:p>
    <w:p>
      <w:pPr>
        <w:numPr>
          <w:ilvl w:val="0"/>
          <w:numId w:val="1029"/>
        </w:numPr>
        <w:pStyle w:val="Compact"/>
      </w:pPr>
      <w:r>
        <w:t xml:space="preserve">El 45 (plan completo) se fijó en mayo de 2026 contra una estimación manual descripta en ese momento como</w:t>
      </w:r>
      <w:r>
        <w:t xml:space="preserve"> </w:t>
      </w:r>
      <w:r>
        <w:t xml:space="preserve">“</w:t>
      </w:r>
      <w:r>
        <w:t xml:space="preserve">decretos de disolución/fusión de organismos</w:t>
      </w:r>
      <w:r>
        <w:t xml:space="preserve">”</w:t>
      </w:r>
      <w:r>
        <w:t xml:space="preserve"> </w:t>
      </w:r>
      <w:r>
        <w:t xml:space="preserve">— un universo más amplio que el que la etiqueta de este indicador afirma medir desde agosto de 2026. Se revisó (agosto de 2026) si había una cifra mejor: ni la Ley Bases, ni el Ministerio de Desregulación, ni la prensa publican un objetivo de organismos a cerrar en la misma unidad que este indicador mide (normas, no organismos), así que el 45 se mantiene como convención declarada, no corregida — el detalle de la búsqueda está en ADR-0185.</w:t>
      </w:r>
    </w:p>
    <w:p>
      <w:pPr>
        <w:numPr>
          <w:ilvl w:val="0"/>
          <w:numId w:val="1029"/>
        </w:numPr>
        <w:pStyle w:val="Compact"/>
      </w:pPr>
      <w:r>
        <w:t xml:space="preserve">Una búsqueda de texto por sí sola no distingue de qué habla la norma: de los 18 documentos que</w:t>
      </w:r>
      <w:r>
        <w:t xml:space="preserve"> </w:t>
      </w:r>
      <w:r>
        <w:t xml:space="preserve">“</w:t>
      </w:r>
      <w:r>
        <w:t xml:space="preserve">disolución</w:t>
      </w:r>
      <w:r>
        <w:t xml:space="preserve">”</w:t>
      </w:r>
      <w:r>
        <w:t xml:space="preserve"> </w:t>
      </w:r>
      <w:r>
        <w:t xml:space="preserve">encontraba, 3 eran ajenos a un organismo público (el procedimiento de disolución de sociedades y asociaciones civiles privadas, la disolución de una obra social sindical privada, y un producto de limpieza llamado</w:t>
      </w:r>
      <w:r>
        <w:t xml:space="preserve"> </w:t>
      </w:r>
      <w:r>
        <w:t xml:space="preserve">“</w:t>
      </w:r>
      <w:r>
        <w:t xml:space="preserve">Cloro Granulado Disolución Rápida</w:t>
      </w:r>
      <w:r>
        <w:t xml:space="preserve">”</w:t>
      </w:r>
      <w:r>
        <w:t xml:space="preserve">) y 4 eran actos de un paquete de decretos (461/2025 y 462/2025) que el Congreso rechazó en agosto de 2025 y quedaron abrogados — esos organismos siguen existiendo. Los 7 se excluyen, cada uno con su motivo y su norma (ADR-0188).</w:t>
      </w:r>
    </w:p>
    <w:p>
      <w:pPr>
        <w:numPr>
          <w:ilvl w:val="0"/>
          <w:numId w:val="1029"/>
        </w:numPr>
        <w:pStyle w:val="Compact"/>
      </w:pPr>
      <w:r>
        <w:t xml:space="preserve">Si InfoLeg indexa una norma nueva con</w:t>
      </w:r>
      <w:r>
        <w:t xml:space="preserve"> </w:t>
      </w:r>
      <w:r>
        <w:t xml:space="preserve">“</w:t>
      </w:r>
      <w:r>
        <w:t xml:space="preserve">disolución</w:t>
      </w:r>
      <w:r>
        <w:t xml:space="preserve">”</w:t>
      </w:r>
      <w:r>
        <w:t xml:space="preserve"> </w:t>
      </w:r>
      <w:r>
        <w:t xml:space="preserve">que todavía nadie clasificó caso por caso, esa norma NO se suma al avance: la corrida la deja afuera y lo avisa, en vez de contarla sin revisar (que es exactamente el defecto que corrigió agosto de 2026) o descartarla en silencio.</w:t>
      </w:r>
    </w:p>
    <w:bookmarkEnd w:id="88"/>
    <w:bookmarkStart w:id="89" w:name="Xda21666f7a2dd83c88faf8de956a46075edab32"/>
    <w:p>
      <w:pPr>
        <w:pStyle w:val="Heading2"/>
        <w:keepNext/>
      </w:pPr>
      <w:r>
        <w:t xml:space="preserve">Si falta el dato / Política de revisiones</w:t>
      </w:r>
    </w:p>
    <w:p>
      <w:pPr>
        <w:numPr>
          <w:ilvl w:val="0"/>
          <w:numId w:val="1030"/>
        </w:numPr>
      </w:pPr>
      <w:r>
        <w:rPr>
          <w:bCs/>
          <w:b/>
        </w:rPr>
        <w:t xml:space="preserve">Si falta el dato:</w:t>
      </w:r>
      <w:r>
        <w:t xml:space="preserve"> </w:t>
      </w:r>
      <w:r>
        <w:t xml:space="preserve">Con el buscador caído, se mantiene el último valor disponible, señalado como desactualizado; sin dato, los pesos de la dimensión se renormalizan.</w:t>
      </w:r>
    </w:p>
    <w:p>
      <w:pPr>
        <w:numPr>
          <w:ilvl w:val="0"/>
          <w:numId w:val="1030"/>
        </w:numPr>
      </w:pPr>
      <w:r>
        <w:rPr>
          <w:bCs/>
          <w:b/>
        </w:rPr>
        <w:t xml:space="preserve">Política de revisiones:</w:t>
      </w:r>
      <w:r>
        <w:t xml:space="preserve"> </w:t>
      </w:r>
      <w:r>
        <w:t xml:space="preserve">El acumulado se reevalúa completo en cada actualización.</w:t>
      </w:r>
    </w:p>
    <w:bookmarkEnd w:id="89"/>
    <w:bookmarkStart w:id="90" w:name="X78b6541d61e709752066d9872c28a219573eb10"/>
    <w:p>
      <w:pPr>
        <w:pStyle w:val="Heading2"/>
        <w:keepNext/>
      </w:pPr>
      <w:r>
        <w:t xml:space="preserve">Historial — cambios metodológicos documentados</w:t>
      </w:r>
    </w:p>
    <w:p>
      <w:pPr>
        <w:pStyle w:val="FirstParagraph"/>
      </w:pPr>
      <w:r>
        <w:rPr>
          <w:bCs/>
          <w:b/>
        </w:rPr>
        <w:t xml:space="preserve">2026-05</w:t>
      </w:r>
      <w:r>
        <w:t xml:space="preserve"> </w:t>
      </w:r>
      <w:r>
        <w:t xml:space="preserve">— Automatizado desde el inicio del cinturón con la misma búsqueda.</w:t>
      </w:r>
    </w:p>
    <w:p>
      <w:pPr>
        <w:pStyle w:val="BodyText"/>
      </w:pPr>
      <w:r>
        <w:rPr>
          <w:bCs/>
          <w:b/>
        </w:rPr>
        <w:t xml:space="preserve">2026-07-02</w:t>
      </w:r>
      <w:r>
        <w:t xml:space="preserve"> </w:t>
      </w:r>
      <w:r>
        <w:t xml:space="preserve">— Umbrales institucionales del ITCG.</w:t>
      </w:r>
    </w:p>
    <w:p>
      <w:pPr>
        <w:pStyle w:val="BodyText"/>
      </w:pPr>
      <w:r>
        <w:rPr>
          <w:bCs/>
          <w:b/>
        </w:rPr>
        <w:t xml:space="preserve">2026-07-03</w:t>
      </w:r>
      <w:r>
        <w:t xml:space="preserve"> </w:t>
      </w:r>
      <w:r>
        <w:t xml:space="preserve">— Puntaje interpolado entre anclas.</w:t>
      </w:r>
    </w:p>
    <w:p>
      <w:pPr>
        <w:pStyle w:val="BodyText"/>
      </w:pPr>
      <w:r>
        <w:rPr>
          <w:bCs/>
          <w:b/>
        </w:rPr>
        <w:t xml:space="preserve">2026-08-09</w:t>
      </w:r>
      <w:r>
        <w:t xml:space="preserve"> </w:t>
      </w:r>
      <w:r>
        <w:t xml:space="preserve">— Etiqueta y descripción precisadas a pedido de CIGOB: se habla solo de disolución o cierre, no de fusión/transformación/centralización. El cálculo no cambió — la búsqueda en InfoLeg siempre fue solo «disolución». Ver ADR-0185.</w:t>
      </w:r>
    </w:p>
    <w:p>
      <w:pPr>
        <w:pStyle w:val="BodyText"/>
      </w:pPr>
      <w:r>
        <w:rPr>
          <w:bCs/>
          <w:b/>
        </w:rPr>
        <w:t xml:space="preserve">2026-08-09</w:t>
      </w:r>
      <w:r>
        <w:t xml:space="preserve"> </w:t>
      </w:r>
      <w:r>
        <w:t xml:space="preserve">— Se buscó una cifra mejor que 45 para el denominador (Ley Bases, Ministerio de Desregulación, prensa) y ninguna resultó viable; el 45 se mantiene, ahora documentado en detalle. Ver ADR-0185.</w:t>
      </w:r>
    </w:p>
    <w:p>
      <w:pPr>
        <w:pStyle w:val="BodyText"/>
      </w:pPr>
      <w:r>
        <w:rPr>
          <w:bCs/>
          <w:b/>
        </w:rPr>
        <w:t xml:space="preserve">2026-08-09</w:t>
      </w:r>
      <w:r>
        <w:t xml:space="preserve"> </w:t>
      </w:r>
      <w:r>
        <w:t xml:space="preserve">— El conteo pasa de 18 a 11 (avance de 40,0% a 24,4%; ITCG de 78,7 a 76,8): la lectura caso por caso que pidió CIGOB encontró que 3 de los 18 documentos no hablaban de un organismo público y 4 eran actos de un paquete de decretos que el Congreso rechazó y quedaron sin efecto. InfoLeg sigue siendo la fuente de descubrimiento, pero cada hallazgo se contrasta ahora contra un registro curado con motivo y norma; lo que todavía nadie clasificó no cuenta y la corrida lo avisa. Ver ADR-0188.</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90"/>
    <w:bookmarkEnd w:id="91"/>
    <w:bookmarkStart w:id="101" w:name="fondo-de-asistencia-laboral"/>
    <w:p>
      <w:pPr>
        <w:pStyle w:val="Heading1"/>
        <w:keepNext/>
      </w:pPr>
      <w:r>
        <w:t xml:space="preserve">Fondo de Asistencia Laboral</w:t>
      </w:r>
    </w:p>
    <w:p>
      <w:pPr>
        <w:pStyle w:val="FirstParagraph"/>
      </w:pPr>
      <w:r>
        <w:t xml:space="preserve">Si están dados los dos actos que ponen en pie al Fondo de Asistencia Laboral, el mecanismo para financiar las indemnizaciones por despido que creó la Ley de Modernización Laboral: la sanción de la Ley 27.802 por el Congreso y su reglamentación por el Poder Ejecutivo mediante el Decreto 408/2026. Cada uno vale la mitad del indicador.</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100 Índice 0–100 (actos fundamentales del FAL: ley + reglamentación)</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7,5 % del ITCG</w:t>
            </w:r>
          </w:p>
        </w:tc>
        <w:tc>
          <w:p>
            <w:pPr>
              <w:pStyle w:val="Compact"/>
              <w:jc w:val="left"/>
            </w:pPr>
            <w:r>
              <w:rPr>
                <w:sz w:val="18"/>
              </w:rPr>
              <w:t xml:space="preserve">Cinturón Gestión</w:t>
            </w:r>
          </w:p>
        </w:tc>
      </w:tr>
    </w:tbl>
    <w:bookmarkStart w:id="92"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fal_modernizacion_laboral</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laboral</w:t>
            </w:r>
          </w:p>
        </w:tc>
        <w:tc>
          <w:p>
            <w:pPr>
              <w:pStyle w:val="Compact"/>
              <w:jc w:val="left"/>
            </w:pPr>
            <w:r>
              <w:rPr>
                <w:bCs/>
                <w:b/>
                <w:sz w:val="18"/>
              </w:rPr>
              <w:t xml:space="preserve">UNIDAD DE MEDIDA</w:t>
            </w:r>
          </w:p>
        </w:tc>
        <w:tc>
          <w:p>
            <w:pPr>
              <w:pStyle w:val="Compact"/>
              <w:jc w:val="left"/>
            </w:pPr>
            <w:r>
              <w:rPr>
                <w:sz w:val="18"/>
              </w:rPr>
              <w:t xml:space="preserve">Índice 0–100 (actos fundamentales del FAL: ley + reglamentación)</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2026-07 (32 puntos)</w:t>
            </w:r>
          </w:p>
        </w:tc>
        <w:tc>
          <w:p>
            <w:pPr>
              <w:pStyle w:val="Compact"/>
              <w:jc w:val="left"/>
            </w:pPr>
            <w:r>
              <w:rPr>
                <w:bCs/>
                <w:b/>
                <w:sz w:val="18"/>
              </w:rPr>
              <w:t xml:space="preserve">REZAGO DE PUBLICACIÓN</w:t>
            </w:r>
          </w:p>
        </w:tc>
        <w:tc>
          <w:p>
            <w:pPr>
              <w:pStyle w:val="Compact"/>
              <w:jc w:val="left"/>
            </w:pPr>
            <w:r>
              <w:rPr>
                <w:sz w:val="18"/>
              </w:rPr>
              <w:t xml:space="preserve">Sin rezago: las dos normas están publicadas y fechadas.</w:t>
            </w:r>
          </w:p>
        </w:tc>
      </w:tr>
      <w:tr>
        <w:trPr>
          <w:cantSplit/>
        </w:trPr>
        <w:tc>
          <w:p>
            <w:pPr>
              <w:pStyle w:val="Compact"/>
              <w:jc w:val="left"/>
            </w:pPr>
            <w:r>
              <w:rPr>
                <w:bCs/>
                <w:b/>
                <w:sz w:val="18"/>
              </w:rPr>
              <w:t xml:space="preserve">PRODUCTOR DEL DATO</w:t>
            </w:r>
          </w:p>
        </w:tc>
        <w:tc>
          <w:p>
            <w:pPr>
              <w:pStyle w:val="Compact"/>
              <w:jc w:val="left"/>
            </w:pPr>
            <w:r>
              <w:rPr>
                <w:sz w:val="18"/>
              </w:rPr>
              <w:t xml:space="preserve">InfoLeg — Ley 27.802 y Decreto 408/2026</w:t>
            </w:r>
          </w:p>
        </w:tc>
        <w:tc>
          <w:p>
            <w:pPr>
              <w:pStyle w:val="Compact"/>
              <w:jc w:val="left"/>
            </w:pPr>
            <w:r>
              <w:rPr>
                <w:bCs/>
                <w:b/>
                <w:sz w:val="18"/>
              </w:rPr>
              <w:t xml:space="preserve">OPERACIÓN ESTADÍSTICA</w:t>
            </w:r>
          </w:p>
        </w:tc>
        <w:tc>
          <w:p>
            <w:pPr>
              <w:pStyle w:val="Compact"/>
              <w:jc w:val="left"/>
            </w:pPr>
            <w:r>
              <w:rPr>
                <w:sz w:val="18"/>
              </w:rPr>
              <w:t xml:space="preserve">Actos fundamentales del Fondo de Asistencia Laboral: sanción de la ley (50%) + reglamentación del Poder Ejecutivo (50%)</w:t>
            </w:r>
          </w:p>
        </w:tc>
      </w:tr>
      <w:tr>
        <w:trPr>
          <w:cantSplit/>
        </w:trPr>
        <w:tc>
          <w:p>
            <w:pPr>
              <w:pStyle w:val="Compact"/>
              <w:jc w:val="left"/>
            </w:pPr>
            <w:r>
              <w:rPr>
                <w:bCs/>
                <w:b/>
                <w:sz w:val="18"/>
              </w:rPr>
              <w:t xml:space="preserve">MODO DE ACCESO</w:t>
            </w:r>
          </w:p>
        </w:tc>
        <w:tc>
          <w:p>
            <w:pPr>
              <w:pStyle w:val="Compact"/>
              <w:jc w:val="left"/>
            </w:pPr>
            <w:r>
              <w:rPr>
                <w:sz w:val="18"/>
              </w:rPr>
              <w:t xml:space="preserve">Registro versionado de hitos normativos, cada uno fechado y respaldado por una norma publicada, verificable por número en InfoLeg. Los fondos registrados en la Comisión Nacional de Valores y las menciones del instrumento en el Boletín Oficial se siguen relevando automáticamente y se muestran como contexto de la ficha, pero no inciden en el puntaje.</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92"/>
    <w:bookmarkStart w:id="93" w:name="definición-qué-mide-y-por-qué-importa-7"/>
    <w:p>
      <w:pPr>
        <w:pStyle w:val="Heading2"/>
        <w:keepNext/>
      </w:pPr>
      <w:r>
        <w:t xml:space="preserve">Definición — qué mide y por qué importa</w:t>
      </w:r>
    </w:p>
    <w:p>
      <w:pPr>
        <w:pStyle w:val="FirstParagraph"/>
      </w:pPr>
      <w:r>
        <w:t xml:space="preserve">Si están dados los dos actos que ponen en pie al Fondo de Asistencia Laboral, el mecanismo para financiar las indemnizaciones por despido que creó la Ley de Modernización Laboral: la sanción de la Ley 27.802 por el Congreso y su reglamentación por el Poder Ejecutivo mediante el Decreto 408/2026. Cada uno vale la mitad del indicador.</w:t>
      </w:r>
    </w:p>
    <w:p>
      <w:pPr>
        <w:pStyle w:val="BodyText"/>
      </w:pPr>
      <w:r>
        <w:t xml:space="preserve">Es el indicador bisagra de la reforma laboral: el Gobierno lo presenta como su herramienta central contra la litigiosidad. Medirlo por sus actos fundamentales evita confundir el calendario legal con la gestión, porque el régimen recién entra en vigencia el 1 de noviembre de 2026 y hasta esa fecha no puede haber aportes ni convenios que lo incorporen, por más empeño que se ponga. Los dos actos están cumplidos: la ley se sancionó en marzo de 2026 y el Poder Ejecutivo la reglamentó en junio. Conviene leerlo sabiendo qué mide y qué no: dice que las bases quedaron puestas, no que el Fondo funcione. Eso se sabrá recién cuando el régimen rija, y para entonces el indicador tendrá que rediseñarse, porque los dos actos ya no pueden deshacerse y el valor queda fijo en cien.</w:t>
      </w:r>
    </w:p>
    <w:p>
      <w:pPr>
        <w:pStyle w:val="BodyText"/>
      </w:pPr>
      <w:r>
        <w:rPr>
          <w:bCs/>
          <w:b/>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93"/>
    <w:bookmarkStart w:id="94" w:name="método-de-cómputo-7"/>
    <w:p>
      <w:pPr>
        <w:pStyle w:val="Heading2"/>
        <w:keepNext/>
      </w:pPr>
      <w:r>
        <w:t xml:space="preserve">Método de cómputo</w:t>
      </w:r>
    </w:p>
    <w:p>
      <w:pPr>
        <w:numPr>
          <w:ilvl w:val="0"/>
          <w:numId w:val="1031"/>
        </w:numPr>
        <w:pStyle w:val="Compact"/>
      </w:pPr>
      <w:r>
        <w:t xml:space="preserve">El indicador mide los dos actos que ponen en pie al Fondo, cincuenta puntos cada uno: la Ley 27.802 de Modernización Laboral, con la que el Congreso instauró el Fondo (publicada el 6 de marzo de 2026), y el Decreto 408/2026, con el que el Poder Ejecutivo reglamentó el Título II (publicado el 1 de junio de 2026). Los dos están cumplidos.</w:t>
      </w:r>
    </w:p>
    <w:p>
      <w:pPr>
        <w:numPr>
          <w:ilvl w:val="0"/>
          <w:numId w:val="1031"/>
        </w:numPr>
        <w:pStyle w:val="Compact"/>
      </w:pPr>
      <w:r>
        <w:t xml:space="preserve">El criterio es que, con la ley sancionada y reglamentada, el Gobierno agotó lo que podía cumplir de la promesa hasta que el régimen entre en vigencia el 1 de noviembre de 2026, fecha fijada por el artículo 27 del decreto reglamentario.</w:t>
      </w:r>
    </w:p>
    <w:p>
      <w:pPr>
        <w:numPr>
          <w:ilvl w:val="0"/>
          <w:numId w:val="1031"/>
        </w:numPr>
        <w:pStyle w:val="Compact"/>
      </w:pPr>
      <w:r>
        <w:t xml:space="preserve">La serie mensual se reconstruye con la misma regla desde diciembre de 2023: cero hasta febrero de 2026, cincuenta desde marzo cuando se sanciona la ley, cien desde junio cuando se publica la reglamentación.</w:t>
      </w:r>
    </w:p>
    <w:bookmarkEnd w:id="94"/>
    <w:bookmarkStart w:id="95"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(Índice 0–100 (actos fundamentales del FAL: ley + reglamentación))</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43,75 – 55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31,25 – 43,75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31,25</w:t>
            </w:r>
          </w:p>
        </w:tc>
        <w:tc>
          <w:tcPr>
            <w:shd w:val="clear" w:color="auto" w:fill="FEE2E2"/>
          </w:tcPr>
          <w:p>
            <w:pPr>
              <w:pStyle w:val="Compact"/>
              <w:jc w:val="center"/>
            </w:pPr>
            <w:r>
              <w:rPr>
                <w:b/>
                <w:sz w:val="18"/>
                <w:color w:val="7F1D1D"/>
              </w:rPr>
              <w:t xml:space="preserve">ROJO</w:t>
            </w:r>
          </w:p>
        </w:tc>
      </w:tr>
    </w:tbl>
    <w:bookmarkEnd w:id="95"/>
    <w:bookmarkStart w:id="96"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2"/>
        </w:numPr>
        <w:pStyle w:val="Compact"/>
      </w:pPr>
      <w:r>
        <w:t xml:space="preserve">2 de 2 actos fundamentales cumplidos (Ley 27.802 2026-03-06 · Decreto 408/2026 2026-06-01) · el régimen entra en vigencia el 2026-11-01 · contexto: 0 fondos registrados en CNV · 3 menciones del FAL en el BO desde mar-2026</w:t>
      </w:r>
    </w:p>
    <w:bookmarkEnd w:id="96"/>
    <w:bookmarkStart w:id="97" w:name="color-vigente-y-por-qué-6"/>
    <w:p>
      <w:pPr>
        <w:pStyle w:val="Heading2"/>
        <w:keepNext/>
      </w:pPr>
      <w:r>
        <w:t xml:space="preserve">Color vigente y por qué</w:t>
      </w:r>
    </w:p>
    <w:p>
      <w:pPr>
        <w:pStyle w:val="FirstParagraph"/>
      </w:pPr>
      <w:r>
        <w:t xml:space="preserve">Dato vigente: 100 Índice 0–100 (actos fundamentales del FAL: ley + reglamentación) (2026-08).</w:t>
      </w:r>
    </w:p>
    <w:p>
      <w:pPr>
        <w:pStyle w:val="BodyText"/>
      </w:pPr>
      <w:r>
        <w:t xml:space="preserve">100,0 Índice 0–100 (actos fundamentales del FAL: ley + reglamentación) cae en el tramo que corresponde a Verde, a 45,0 del corte más cercano.</w:t>
      </w:r>
    </w:p>
    <w:p>
      <w:pPr>
        <w:pStyle w:val="BodyText"/>
      </w:pPr>
      <w:r>
        <w:rPr>
          <w:bCs/>
          <w:b/>
        </w:rPr>
        <w:t xml:space="preserve">Color vigente: VERDE</w:t>
      </w:r>
    </w:p>
    <w:p>
      <w:pPr>
        <w:pStyle w:val="BodyText"/>
      </w:pPr>
      <w:r>
        <w:t xml:space="preserve">Ponderación vigente en el ITCG: 7,5 % efectivo. El color es una lectura adicional — no reemplaza ni cambia esta ponderación.</w:t>
      </w:r>
    </w:p>
    <w:p>
      <w:pPr>
        <w:numPr>
          <w:ilvl w:val="0"/>
          <w:numId w:val="1033"/>
        </w:numPr>
        <w:pStyle w:val="Compact"/>
      </w:pPr>
      <w:r>
        <w:rPr>
          <w:bCs/>
          <w:b/>
        </w:rPr>
        <w:t xml:space="preserve">Participación en otros indicadores.</w:t>
      </w:r>
      <w:r>
        <w:t xml:space="preserve"> </w:t>
      </w:r>
      <w:r>
        <w:t xml:space="preserve">La litigiosidad laboral puntúa como indicador aparte de la misma dimensión: par instrumento (este) / resultado (aquella), sin doble conteo.</w:t>
      </w:r>
    </w:p>
    <w:bookmarkEnd w:id="97"/>
    <w:bookmarkStart w:id="98" w:name="transparencia-limitaciones-declaradas-7"/>
    <w:p>
      <w:pPr>
        <w:pStyle w:val="Heading2"/>
        <w:keepNext/>
      </w:pPr>
      <w:r>
        <w:t xml:space="preserve">Transparencia — limitaciones declaradas</w:t>
      </w:r>
    </w:p>
    <w:p>
      <w:pPr>
        <w:numPr>
          <w:ilvl w:val="0"/>
          <w:numId w:val="1034"/>
        </w:numPr>
        <w:pStyle w:val="Compact"/>
      </w:pPr>
      <w:r>
        <w:t xml:space="preserve">El indicador dice que las bases quedaron puestas, no que el Fondo funcione. Son cosas distintas y conviene no leerlas como si fueran la misma: un Gobierno puede sancionar y reglamentar una ley que después nadie use. Por eso la dimensión de reforma laboral mide además el resultado —la litigiosidad— con un indicador aparte y del mismo peso.</w:t>
      </w:r>
    </w:p>
    <w:p>
      <w:pPr>
        <w:numPr>
          <w:ilvl w:val="0"/>
          <w:numId w:val="1034"/>
        </w:numPr>
        <w:pStyle w:val="Compact"/>
      </w:pPr>
      <w:r>
        <w:t xml:space="preserve">Los dos actos ya ocurrieron y no pueden deshacerse, de modo que el valor queda fijo en cien y ningún hecho futuro lo mueve: ni la entrada en vigencia del régimen ni que el instrumento se use o no. Es una limitación seria y asumida —el indicador dejó de discriminar— y obliga a rediseñarlo cuando el régimen empiece a regir.</w:t>
      </w:r>
    </w:p>
    <w:p>
      <w:pPr>
        <w:numPr>
          <w:ilvl w:val="0"/>
          <w:numId w:val="1034"/>
        </w:numPr>
        <w:pStyle w:val="Compact"/>
      </w:pPr>
      <w:r>
        <w:t xml:space="preserve">Es una medida de cumplimiento formal de la promesa, no de su efecto. La versión anterior componía construcción, vigencia y adopción para mantener recorrido; se reemplazó por decisión editorial, a propuesta de la revisión externa del cinturón, y el cambio mejoró el puntaje del indicador. Queda dicho para que se pueda discutir.</w:t>
      </w:r>
    </w:p>
    <w:bookmarkEnd w:id="98"/>
    <w:bookmarkStart w:id="99" w:name="X5157a7f3dd1b7c5618784c262e1db635d54cbee"/>
    <w:p>
      <w:pPr>
        <w:pStyle w:val="Heading2"/>
        <w:keepNext/>
      </w:pPr>
      <w:r>
        <w:t xml:space="preserve">Si falta el dato / Política de revisiones</w:t>
      </w:r>
    </w:p>
    <w:p>
      <w:pPr>
        <w:numPr>
          <w:ilvl w:val="0"/>
          <w:numId w:val="1035"/>
        </w:numPr>
      </w:pPr>
      <w:r>
        <w:rPr>
          <w:bCs/>
          <w:b/>
        </w:rPr>
        <w:t xml:space="preserve">Si falta el dato:</w:t>
      </w:r>
      <w:r>
        <w:t xml:space="preserve"> </w:t>
      </w:r>
      <w:r>
        <w:t xml:space="preserve">No aplica: las dos normas están publicadas y el registro es local. El contexto que viene de la Comisión Nacional de Valores y del Boletín Oficial puede faltar sin afectar el puntaje.</w:t>
      </w:r>
    </w:p>
    <w:p>
      <w:pPr>
        <w:numPr>
          <w:ilvl w:val="0"/>
          <w:numId w:val="1035"/>
        </w:numPr>
      </w:pPr>
      <w:r>
        <w:rPr>
          <w:bCs/>
          <w:b/>
        </w:rPr>
        <w:t xml:space="preserve">Política de revisiones:</w:t>
      </w:r>
      <w:r>
        <w:t xml:space="preserve"> </w:t>
      </w:r>
      <w:r>
        <w:t xml:space="preserve">El registro de hitos se reverifica contra InfoLeg por número de norma; la serie se reconstruye entera en cada corrida.</w:t>
      </w:r>
    </w:p>
    <w:bookmarkEnd w:id="99"/>
    <w:bookmarkStart w:id="100" w:name="X132198e4afb37dac2ae05929110b05dce5f3da0"/>
    <w:p>
      <w:pPr>
        <w:pStyle w:val="Heading2"/>
        <w:keepNext/>
      </w:pPr>
      <w:r>
        <w:t xml:space="preserve">Historial — cambios metodológicos documentados</w:t>
      </w:r>
    </w:p>
    <w:p>
      <w:pPr>
        <w:pStyle w:val="FirstParagraph"/>
      </w:pPr>
      <w:r>
        <w:rPr>
          <w:bCs/>
          <w:b/>
        </w:rPr>
        <w:t xml:space="preserve">2026-07-20</w:t>
      </w:r>
      <w:r>
        <w:t xml:space="preserve"> </w:t>
      </w:r>
      <w:r>
        <w:t xml:space="preserve">— Pasa a medirse en tres etapas —construcción normativa, vigencia y adopción— a partir de una revisión externa del cinturón, que observó que el indicador informaba un valor cercano a cero por una razón de cronograma legal y no de gestión: medía la adopción de un instrumento que todavía no podía adoptarse. Con la escala anterior el valor era 0,4 sobre 100; con la nueva es 40,2, que corresponde a un instrumento íntegramente construido y en espera de entrar en vigencia. Las bandas se recalibraron porque cambió lo que la escala mide, no para mover el puntaje: sobre la escala nueva, las anclas viejas habrían dado 75 a un instrumento que nadie usa.</w:t>
      </w:r>
    </w:p>
    <w:p>
      <w:pPr>
        <w:pStyle w:val="BodyText"/>
      </w:pPr>
      <w:r>
        <w:rPr>
          <w:bCs/>
          <w:b/>
        </w:rPr>
        <w:t xml:space="preserve">2026-05</w:t>
      </w:r>
      <w:r>
        <w:t xml:space="preserve"> </w:t>
      </w:r>
      <w:r>
        <w:t xml:space="preserve">— Versión inicial como carga manual de etapas implementadas.</w:t>
      </w:r>
    </w:p>
    <w:p>
      <w:pPr>
        <w:pStyle w:val="BodyText"/>
      </w:pPr>
      <w:r>
        <w:rPr>
          <w:bCs/>
          <w:b/>
        </w:rPr>
        <w:t xml:space="preserve">2026-07-02</w:t>
      </w:r>
      <w:r>
        <w:t xml:space="preserve"> </w:t>
      </w:r>
      <w:r>
        <w:t xml:space="preserve">— Compuesto del documento institucional renormalizado a lo medible, con el registro CNV automático.</w:t>
      </w:r>
    </w:p>
    <w:p>
      <w:pPr>
        <w:pStyle w:val="BodyText"/>
      </w:pPr>
      <w:r>
        <w:rPr>
          <w:bCs/>
          <w:b/>
        </w:rPr>
        <w:t xml:space="preserve">2026-07-03</w:t>
      </w:r>
      <w:r>
        <w:t xml:space="preserve"> </w:t>
      </w:r>
      <w:r>
        <w:t xml:space="preserve">— La litigiosidad se separa como indicador propio de la dimensión. Después, la cobertura se automatizó vía menciones del Boletín Oficial con calibración anclada.</w:t>
      </w:r>
    </w:p>
    <w:p>
      <w:pPr>
        <w:pStyle w:val="BodyText"/>
      </w:pPr>
      <w:r>
        <w:rPr>
          <w:bCs/>
          <w:b/>
        </w:rPr>
        <w:t xml:space="preserve">2026-07-15</w:t>
      </w:r>
      <w:r>
        <w:t xml:space="preserve"> </w:t>
      </w:r>
      <w:r>
        <w:t xml:space="preserve">— La cobertura pasa a contar las menciones del Fondo de Asistencia Laboral (Ley 27.802) desde marzo de 2026, distinguiéndolo del régimen homónimo de la construcción. La serie histórica arranca en cero con la creación del régimen.</w:t>
      </w:r>
    </w:p>
    <w:p>
      <w:pPr>
        <w:pStyle w:val="BodyText"/>
      </w:pPr>
      <w:r>
        <w:rPr>
          <w:bCs/>
          <w:b/>
        </w:rPr>
        <w:t xml:space="preserve">2026-07-25</w:t>
      </w:r>
      <w:r>
        <w:t xml:space="preserve"> </w:t>
      </w:r>
      <w:r>
        <w:t xml:space="preserve">— Su peso dentro de la dimensión baja del setenta al cincuenta por ciento, a propuesta de una revisión externa: la dimensión mide un instrumento y su resultado, y no había razón para que el instrumento pesara más del doble que el resultado. El cambio mejora el puntaje de la dimensión, porque la litigiosidad venía puntuando más alto que el fondo; se deja dicho para que la decisión pueda discutirse por su argumento y no por su efecto.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00"/>
    <w:bookmarkEnd w:id="101"/>
    <w:bookmarkStart w:id="111" w:name="litigiosidad-laboral-srt"/>
    <w:p>
      <w:pPr>
        <w:pStyle w:val="Heading1"/>
        <w:keepNext/>
      </w:pPr>
      <w:r>
        <w:t xml:space="preserve">Litigiosidad laboral (SRT)</w:t>
      </w:r>
    </w:p>
    <w:p>
      <w:pPr>
        <w:pStyle w:val="FirstParagraph"/>
      </w:pPr>
      <w:r>
        <w:t xml:space="preserve">Cuánto varían los juicios laborales del sistema de riesgos del trabajo (SRT): acumulado de los últimos 12 meses contra los 12 previos.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2,8 % variación juicios SRT (12m vs 12m previos)</w:t>
            </w:r>
            <w:r>
              <w:rPr>
                <w:sz w:val="18"/>
              </w:rPr>
              <w:t xml:space="preserve"> </w:t>
            </w:r>
            <w:r>
              <w:rPr>
                <w:sz w:val="18"/>
              </w:rPr>
              <w:t xml:space="preserve">(2026-04)</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7,5 % del ITCG</w:t>
            </w:r>
          </w:p>
        </w:tc>
        <w:tc>
          <w:p>
            <w:pPr>
              <w:pStyle w:val="Compact"/>
              <w:jc w:val="left"/>
            </w:pPr>
            <w:r>
              <w:rPr>
                <w:sz w:val="18"/>
              </w:rPr>
              <w:t xml:space="preserve">Cinturón Gestión</w:t>
            </w:r>
          </w:p>
        </w:tc>
      </w:tr>
    </w:tbl>
    <w:bookmarkStart w:id="102"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litigiosidad_laboral</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laboral</w:t>
            </w:r>
          </w:p>
        </w:tc>
        <w:tc>
          <w:p>
            <w:pPr>
              <w:pStyle w:val="Compact"/>
              <w:jc w:val="left"/>
            </w:pPr>
            <w:r>
              <w:rPr>
                <w:bCs/>
                <w:b/>
                <w:sz w:val="18"/>
              </w:rPr>
              <w:t xml:space="preserve">UNIDAD DE MEDIDA</w:t>
            </w:r>
          </w:p>
        </w:tc>
        <w:tc>
          <w:p>
            <w:pPr>
              <w:pStyle w:val="Compact"/>
              <w:jc w:val="left"/>
            </w:pPr>
            <w:r>
              <w:rPr>
                <w:sz w:val="18"/>
              </w:rPr>
              <w:t xml:space="preserve">% variación juicios SRT (12m vs 12m previos)</w:t>
            </w:r>
          </w:p>
        </w:tc>
      </w:tr>
      <w:tr>
        <w:trPr>
          <w:cantSplit/>
        </w:trPr>
        <w:tc>
          <w:p>
            <w:pPr>
              <w:pStyle w:val="Compact"/>
              <w:jc w:val="left"/>
            </w:pPr>
            <w:r>
              <w:rPr>
                <w:bCs/>
                <w:b/>
                <w:sz w:val="18"/>
              </w:rPr>
              <w:t xml:space="preserve">SERIE DISPONIBLE</w:t>
            </w:r>
          </w:p>
        </w:tc>
        <w:tc>
          <w:p>
            <w:pPr>
              <w:pStyle w:val="Compact"/>
              <w:jc w:val="left"/>
            </w:pPr>
            <w:r>
              <w:rPr>
                <w:sz w:val="18"/>
              </w:rPr>
              <w:t xml:space="preserve">2021-05 → 2026-04 (60 puntos)</w:t>
            </w:r>
          </w:p>
        </w:tc>
        <w:tc>
          <w:p>
            <w:pPr>
              <w:pStyle w:val="Compact"/>
              <w:jc w:val="left"/>
            </w:pPr>
            <w:r>
              <w:rPr>
                <w:bCs/>
                <w:b/>
                <w:sz w:val="18"/>
              </w:rPr>
              <w:t xml:space="preserve">REZAGO DE PUBLICACIÓN</w:t>
            </w:r>
          </w:p>
        </w:tc>
        <w:tc>
          <w:p>
            <w:pPr>
              <w:pStyle w:val="Compact"/>
              <w:jc w:val="left"/>
            </w:pPr>
            <w:r>
              <w:rPr>
                <w:sz w:val="18"/>
              </w:rPr>
              <w:t xml:space="preserve">La serie oficial de juicios se publica con 3-4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SRT — Superintendencia de Riesgos del Trabajo</w:t>
            </w:r>
          </w:p>
        </w:tc>
        <w:tc>
          <w:p>
            <w:pPr>
              <w:pStyle w:val="Compact"/>
              <w:jc w:val="left"/>
            </w:pPr>
            <w:r>
              <w:rPr>
                <w:bCs/>
                <w:b/>
                <w:sz w:val="18"/>
              </w:rPr>
              <w:t xml:space="preserve">OPERACIÓN ESTADÍSTICA</w:t>
            </w:r>
          </w:p>
        </w:tc>
        <w:tc>
          <w:p>
            <w:pPr>
              <w:pStyle w:val="Compact"/>
              <w:jc w:val="left"/>
            </w:pPr>
            <w:r>
              <w:rPr>
                <w:sz w:val="18"/>
              </w:rPr>
              <w:t xml:space="preserve">Serie histórica de litigiosidad: ingresos de juicios del sistema de riesgos del trabajo, total sistema</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oficial.</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02"/>
    <w:bookmarkStart w:id="103" w:name="definición-qué-mide-y-por-qué-importa-8"/>
    <w:p>
      <w:pPr>
        <w:pStyle w:val="Heading2"/>
        <w:keepNext/>
      </w:pPr>
      <w:r>
        <w:t xml:space="preserve">Definición — qué mide y por qué importa</w:t>
      </w:r>
    </w:p>
    <w:p>
      <w:pPr>
        <w:pStyle w:val="FirstParagraph"/>
      </w:pPr>
      <w:r>
        <w:t xml:space="preserve">Cuánto varían los juicios laborales del sistema de riesgos del trabajo (SRT): acumulado de los últimos 12 meses contra los 12 previos.</w:t>
      </w:r>
    </w:p>
    <w:p>
      <w:pPr>
        <w:pStyle w:val="BodyText"/>
      </w:pPr>
      <w:r>
        <w:t xml:space="preserve">Es el RESULTADO que la reforma laboral persigue: enfriar la industria del juicio. Complementa al Fondo de Asistencia Laboral (que mide la adopción del instrumento): si el instrumento no avanza pero la litigiosidad se enfría igual, la dimensión lo refleja. Proxy por juicios ART — la única serie nacional mensual pública.</w:t>
      </w:r>
    </w:p>
    <w:p>
      <w:pPr>
        <w:pStyle w:val="BodyText"/>
      </w:pPr>
      <w:r>
        <w:rPr>
          <w:bCs/>
          <w:b/>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103"/>
    <w:bookmarkStart w:id="104" w:name="método-de-cómputo-8"/>
    <w:p>
      <w:pPr>
        <w:pStyle w:val="Heading2"/>
        <w:keepNext/>
      </w:pPr>
      <w:r>
        <w:t xml:space="preserve">Método de cómputo</w:t>
      </w:r>
    </w:p>
    <w:p>
      <w:pPr>
        <w:numPr>
          <w:ilvl w:val="0"/>
          <w:numId w:val="1036"/>
        </w:numPr>
        <w:pStyle w:val="Compact"/>
      </w:pPr>
      <w:r>
        <w:t xml:space="preserve">Variación porcentual del acumulado de 12 meses contra los 12 meses previos: si la industria del juicio se enfría, la variación se hace negativa.</w:t>
      </w:r>
    </w:p>
    <w:bookmarkEnd w:id="104"/>
    <w:bookmarkStart w:id="105"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variación juicios SRT (12m vs 12m previos))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2,5 – 12,5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12,5 – 17,5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17,5</w:t>
            </w:r>
          </w:p>
        </w:tc>
        <w:tc>
          <w:tcPr>
            <w:shd w:val="clear" w:color="auto" w:fill="FEE2E2"/>
          </w:tcPr>
          <w:p>
            <w:pPr>
              <w:pStyle w:val="Compact"/>
              <w:jc w:val="center"/>
            </w:pPr>
            <w:r>
              <w:rPr>
                <w:b/>
                <w:sz w:val="18"/>
                <w:color w:val="7F1D1D"/>
              </w:rPr>
              <w:t xml:space="preserve">ROJO</w:t>
            </w:r>
          </w:p>
        </w:tc>
      </w:tr>
    </w:tbl>
    <w:bookmarkEnd w:id="105"/>
    <w:bookmarkStart w:id="106"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7"/>
        </w:numPr>
        <w:pStyle w:val="Compact"/>
      </w:pPr>
      <w:r>
        <w:t xml:space="preserve">128.619 juicios en 12m (hasta 2026-04) vs 125.153 previos</w:t>
      </w:r>
    </w:p>
    <w:bookmarkEnd w:id="106"/>
    <w:bookmarkStart w:id="107" w:name="color-vigente-y-por-qué-7"/>
    <w:p>
      <w:pPr>
        <w:pStyle w:val="Heading2"/>
        <w:keepNext/>
      </w:pPr>
      <w:r>
        <w:t xml:space="preserve">Color vigente y por qué</w:t>
      </w:r>
    </w:p>
    <w:p>
      <w:pPr>
        <w:pStyle w:val="FirstParagraph"/>
      </w:pPr>
      <w:r>
        <w:t xml:space="preserve">Dato vigente: 2,8 % variación juicios SRT (12m vs 12m previos) (2026-04).</w:t>
      </w:r>
    </w:p>
    <w:p>
      <w:pPr>
        <w:pStyle w:val="BodyText"/>
      </w:pPr>
      <w:r>
        <w:t xml:space="preserve">2,8 % variación juicios SRT (12m vs 12m previos) cae en el tramo que corresponde a Amarillo, a 0,3 del corte más cercano.</w:t>
      </w:r>
    </w:p>
    <w:p>
      <w:pPr>
        <w:pStyle w:val="BodyText"/>
      </w:pPr>
      <w:r>
        <w:rPr>
          <w:bCs/>
          <w:b/>
        </w:rPr>
        <w:t xml:space="preserve">Color vigente: AMARILLO</w:t>
      </w:r>
    </w:p>
    <w:p>
      <w:pPr>
        <w:pStyle w:val="BodyText"/>
      </w:pPr>
      <w:r>
        <w:t xml:space="preserve">Ponderación vigente en el ITCG: 7,5 % efectivo. El color es una lectura adicional — no reemplaza ni cambia esta ponderación.</w:t>
      </w:r>
    </w:p>
    <w:p>
      <w:pPr>
        <w:numPr>
          <w:ilvl w:val="0"/>
          <w:numId w:val="1038"/>
        </w:numPr>
        <w:pStyle w:val="Compact"/>
      </w:pPr>
      <w:r>
        <w:rPr>
          <w:bCs/>
          <w:b/>
        </w:rPr>
        <w:t xml:space="preserve">Participación en otros indicadores.</w:t>
      </w:r>
      <w:r>
        <w:t xml:space="preserve"> </w:t>
      </w:r>
      <w:r>
        <w:t xml:space="preserve">Es el «resultado» que complementa al «instrumento» (Fondo de Asistencia Laboral) dentro de la dimensión de reforma laboral.</w:t>
      </w:r>
    </w:p>
    <w:bookmarkEnd w:id="107"/>
    <w:bookmarkStart w:id="108" w:name="transparencia-limitaciones-declaradas-8"/>
    <w:p>
      <w:pPr>
        <w:pStyle w:val="Heading2"/>
        <w:keepNext/>
      </w:pPr>
      <w:r>
        <w:t xml:space="preserve">Transparencia — limitaciones declaradas</w:t>
      </w:r>
    </w:p>
    <w:p>
      <w:pPr>
        <w:numPr>
          <w:ilvl w:val="0"/>
          <w:numId w:val="1039"/>
        </w:numPr>
        <w:pStyle w:val="Compact"/>
      </w:pPr>
      <w:r>
        <w:t xml:space="preserve">Aproximación declarada: son juicios del sistema de riesgos del trabajo, no el canal indemnizatorio que el Fondo de Asistencia Laboral reemplaza — pero es la única serie nacional mensual pública.</w:t>
      </w:r>
    </w:p>
    <w:p>
      <w:pPr>
        <w:numPr>
          <w:ilvl w:val="0"/>
          <w:numId w:val="1039"/>
        </w:numPr>
        <w:pStyle w:val="Compact"/>
      </w:pPr>
      <w:r>
        <w:t xml:space="preserve">La ventana de 12 contra 12 meses reacciona lento a los quiebres.</w:t>
      </w:r>
    </w:p>
    <w:bookmarkEnd w:id="108"/>
    <w:bookmarkStart w:id="109" w:name="Xa8ce648c431bea43f551f3baf6efe2b68743848"/>
    <w:p>
      <w:pPr>
        <w:pStyle w:val="Heading2"/>
        <w:keepNext/>
      </w:pPr>
      <w:r>
        <w:t xml:space="preserve">Si falta el dato / Política de revisiones</w:t>
      </w:r>
    </w:p>
    <w:p>
      <w:pPr>
        <w:numPr>
          <w:ilvl w:val="0"/>
          <w:numId w:val="1040"/>
        </w:numPr>
      </w:pPr>
      <w:r>
        <w:rPr>
          <w:bCs/>
          <w:b/>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40"/>
        </w:numPr>
      </w:pPr>
      <w:r>
        <w:rPr>
          <w:bCs/>
          <w:b/>
        </w:rPr>
        <w:t xml:space="preserve">Política de revisiones:</w:t>
      </w:r>
      <w:r>
        <w:t xml:space="preserve"> </w:t>
      </w:r>
      <w:r>
        <w:t xml:space="preserve">La fuente puede revisar meses; la planilla completa se relee en cada actualización.</w:t>
      </w:r>
    </w:p>
    <w:bookmarkEnd w:id="109"/>
    <w:bookmarkStart w:id="110" w:name="X7377c6d2efe561e453f620dd5fcb89b652fe35d"/>
    <w:p>
      <w:pPr>
        <w:pStyle w:val="Heading2"/>
        <w:keepNext/>
      </w:pPr>
      <w:r>
        <w:t xml:space="preserve">Historial — cambios metodológicos documentados</w:t>
      </w:r>
    </w:p>
    <w:p>
      <w:pPr>
        <w:pStyle w:val="FirstParagraph"/>
      </w:pPr>
      <w:r>
        <w:rPr>
          <w:bCs/>
          <w:b/>
        </w:rPr>
        <w:t xml:space="preserve">2026-07-02</w:t>
      </w:r>
      <w:r>
        <w:t xml:space="preserve"> </w:t>
      </w:r>
      <w:r>
        <w:t xml:space="preserve">— Alta como indicador de contexto, fuera del índice.</w:t>
      </w:r>
    </w:p>
    <w:p>
      <w:pPr>
        <w:pStyle w:val="BodyText"/>
      </w:pPr>
      <w:r>
        <w:rPr>
          <w:bCs/>
          <w:b/>
        </w:rPr>
        <w:t xml:space="preserve">2026-07-03</w:t>
      </w:r>
      <w:r>
        <w:t xml:space="preserve"> </w:t>
      </w:r>
      <w:r>
        <w:t xml:space="preserve">— Entra al ITCG (reforma laboral, 30% interno): es el resultado que la reforma persigue y complementa al instrumento.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10"/>
    <w:bookmarkEnd w:id="111"/>
    <w:bookmarkStart w:id="121" w:name="privatizaciones-etapas"/>
    <w:p>
      <w:pPr>
        <w:pStyle w:val="Heading1"/>
        <w:keepNext/>
      </w:pPr>
      <w:r>
        <w:t xml:space="preserve">Privatizaciones (etapas)</w:t>
      </w:r>
    </w:p>
    <w:p>
      <w:pPr>
        <w:pStyle w:val="FirstParagraph"/>
      </w:pPr>
      <w:r>
        <w:t xml:space="preserve">Cuánto avanza la privatización de la cartera de empresas públicas habilitada por la Ley Bases, medida por etapas verificables: 0 sin definir · 1 preparatoria · 2 pliegos · 3 licitación/adjudicación · 4 operación cerrada.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51,4 % de avance (etapas 0-4, cartera Ley Bases)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6 % del ITCG</w:t>
            </w:r>
          </w:p>
        </w:tc>
        <w:tc>
          <w:p>
            <w:pPr>
              <w:pStyle w:val="Compact"/>
              <w:jc w:val="left"/>
            </w:pPr>
            <w:r>
              <w:rPr>
                <w:sz w:val="18"/>
              </w:rPr>
              <w:t xml:space="preserve">Cinturón Gestión</w:t>
            </w:r>
          </w:p>
        </w:tc>
      </w:tr>
    </w:tbl>
    <w:bookmarkStart w:id="112"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privatizaciones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Privatizaciones e inversión</w:t>
            </w:r>
          </w:p>
        </w:tc>
        <w:tc>
          <w:p>
            <w:pPr>
              <w:pStyle w:val="Compact"/>
              <w:jc w:val="left"/>
            </w:pPr>
            <w:r>
              <w:rPr>
                <w:bCs/>
                <w:b/>
                <w:sz w:val="18"/>
              </w:rPr>
              <w:t xml:space="preserve">UNIDAD DE MEDIDA</w:t>
            </w:r>
          </w:p>
        </w:tc>
        <w:tc>
          <w:p>
            <w:pPr>
              <w:pStyle w:val="Compact"/>
              <w:jc w:val="left"/>
            </w:pPr>
            <w:r>
              <w:rPr>
                <w:sz w:val="18"/>
              </w:rPr>
              <w:t xml:space="preserve">% de avance (etapas 0-4, cartera Ley Bases)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Al día del último hito curado; el registro se actualiza con seguimiento quincenal del Boletín Oficial.</w:t>
            </w:r>
          </w:p>
        </w:tc>
      </w:tr>
      <w:tr>
        <w:trPr>
          <w:cantSplit/>
        </w:trPr>
        <w:tc>
          <w:p>
            <w:pPr>
              <w:pStyle w:val="Compact"/>
              <w:jc w:val="left"/>
            </w:pPr>
            <w:r>
              <w:rPr>
                <w:bCs/>
                <w:b/>
                <w:sz w:val="18"/>
              </w:rPr>
              <w:t xml:space="preserve">PRODUCTOR DEL DATO</w:t>
            </w:r>
          </w:p>
        </w:tc>
        <w:tc>
          <w:p>
            <w:pPr>
              <w:pStyle w:val="Compact"/>
              <w:jc w:val="left"/>
            </w:pPr>
            <w:r>
              <w:rPr>
                <w:sz w:val="18"/>
              </w:rPr>
              <w:t xml:space="preserve">Boletín Oficial (hechos) + Fundación CIGOB (curaduría del registro)</w:t>
            </w:r>
          </w:p>
        </w:tc>
        <w:tc>
          <w:p>
            <w:pPr>
              <w:pStyle w:val="Compact"/>
              <w:jc w:val="left"/>
            </w:pPr>
            <w:r>
              <w:rPr>
                <w:bCs/>
                <w:b/>
                <w:sz w:val="18"/>
              </w:rPr>
              <w:t xml:space="preserve">OPERACIÓN ESTADÍSTICA</w:t>
            </w:r>
          </w:p>
        </w:tc>
        <w:tc>
          <w:p>
            <w:pPr>
              <w:pStyle w:val="Compact"/>
              <w:jc w:val="left"/>
            </w:pPr>
            <w:r>
              <w:rPr>
                <w:sz w:val="18"/>
              </w:rPr>
              <w:t xml:space="preserve">Avance de la cartera de privatizaciones de la Ley Bases por etapas 0-4 (sin definir → preparatoria → pliegos → licitación/adjudicación → cerrada), nueve empresas</w:t>
            </w:r>
          </w:p>
        </w:tc>
      </w:tr>
      <w:tr>
        <w:trPr>
          <w:cantSplit/>
        </w:trPr>
        <w:tc>
          <w:p>
            <w:pPr>
              <w:pStyle w:val="Compact"/>
              <w:jc w:val="left"/>
            </w:pPr>
            <w:r>
              <w:rPr>
                <w:bCs/>
                <w:b/>
                <w:sz w:val="18"/>
              </w:rPr>
              <w:t xml:space="preserve">MODO DE ACCESO</w:t>
            </w:r>
          </w:p>
        </w:tc>
        <w:tc>
          <w:p>
            <w:pPr>
              <w:pStyle w:val="Compact"/>
              <w:jc w:val="left"/>
            </w:pPr>
            <w:r>
              <w:rPr>
                <w:sz w:val="18"/>
              </w:rPr>
              <w:t xml:space="preserve">Registro curado a mano con seguimiento quincenal del Boletín Oficial: no existe una fuente única automatizable (ni la agencia responsable ni la comisión bicameral publican un tablero).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12"/>
    <w:bookmarkStart w:id="113" w:name="definición-qué-mide-y-por-qué-importa-9"/>
    <w:p>
      <w:pPr>
        <w:pStyle w:val="Heading2"/>
        <w:keepNext/>
      </w:pPr>
      <w:r>
        <w:t xml:space="preserve">Definición — qué mide y por qué importa</w:t>
      </w:r>
    </w:p>
    <w:p>
      <w:pPr>
        <w:pStyle w:val="FirstParagraph"/>
      </w:pPr>
      <w:r>
        <w:t xml:space="preserve">Cuánto avanza la privatización de la cartera de empresas públicas habilitada por la Ley Bases, medida por etapas verificables: 0 sin definir · 1 preparatoria · 2 pliegos · 3 licitación/adjudicación · 4 operación cerrada.</w:t>
      </w:r>
    </w:p>
    <w:p>
      <w:pPr>
        <w:pStyle w:val="BodyText"/>
      </w:pPr>
      <w:r>
        <w:t xml:space="preserve">Mide la ejecución real de una reforma emblema — el promedio de etapas separa el anuncio del hecho consumado (una venta cerrada vale más que diez pliegos). Se mantiene con seguimiento del Boletín Oficial: no existe fuente única automatizable.</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13"/>
    <w:bookmarkStart w:id="114" w:name="método-de-cómputo-9"/>
    <w:p>
      <w:pPr>
        <w:pStyle w:val="Heading2"/>
        <w:keepNext/>
      </w:pPr>
      <w:r>
        <w:t xml:space="preserve">Método de cómputo</w:t>
      </w:r>
    </w:p>
    <w:p>
      <w:pPr>
        <w:numPr>
          <w:ilvl w:val="0"/>
          <w:numId w:val="1041"/>
        </w:numPr>
        <w:pStyle w:val="Compact"/>
      </w:pPr>
      <w:r>
        <w:t xml:space="preserve">Cada empresa recibe una etapa 0-4 con la norma que la respalda; el avance es el promedio de etapas sobre 4, en porcentaje.</w:t>
      </w:r>
    </w:p>
    <w:p>
      <w:pPr>
        <w:numPr>
          <w:ilvl w:val="0"/>
          <w:numId w:val="1041"/>
        </w:numPr>
        <w:pStyle w:val="Compact"/>
      </w:pPr>
      <w:r>
        <w:t xml:space="preserve">La serie histórica se reconstruye con las transiciones de etapa fechadas por su norma del Boletín Oficial.</w:t>
      </w:r>
    </w:p>
    <w:bookmarkEnd w:id="114"/>
    <w:bookmarkStart w:id="115"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avance (etapas 0-4, cartera Ley Bases))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25 – 41</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115"/>
    <w:bookmarkStart w:id="116"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2"/>
        </w:numPr>
        <w:pStyle w:val="Compact"/>
      </w:pPr>
      <w:r>
        <w:t xml:space="preserve">9 empresas · etapa promedio 2,06/4 · cerradas: Transener · 18 norma(s) nueva(s) del Boletín Oficial sin revisar</w:t>
      </w:r>
    </w:p>
    <w:bookmarkEnd w:id="116"/>
    <w:bookmarkStart w:id="117" w:name="color-vigente-y-por-qué-8"/>
    <w:p>
      <w:pPr>
        <w:pStyle w:val="Heading2"/>
        <w:keepNext/>
      </w:pPr>
      <w:r>
        <w:t xml:space="preserve">Color vigente y por qué</w:t>
      </w:r>
    </w:p>
    <w:p>
      <w:pPr>
        <w:pStyle w:val="FirstParagraph"/>
      </w:pPr>
      <w:r>
        <w:t xml:space="preserve">Dato vigente: 51,4 % de avance (etapas 0-4, cartera Ley Bases) (2026-06).</w:t>
      </w:r>
    </w:p>
    <w:p>
      <w:pPr>
        <w:pStyle w:val="BodyText"/>
      </w:pPr>
      <w:r>
        <w:t xml:space="preserve">51,4 % de avance (etapas 0-4, cartera Ley Bases) cae en el tramo que corresponde a Verde, a 10,4 del corte más cercano.</w:t>
      </w:r>
    </w:p>
    <w:p>
      <w:pPr>
        <w:pStyle w:val="BodyText"/>
      </w:pPr>
      <w:r>
        <w:rPr>
          <w:bCs/>
          <w:b/>
        </w:rPr>
        <w:t xml:space="preserve">Color vigente: VERDE</w:t>
      </w:r>
    </w:p>
    <w:p>
      <w:pPr>
        <w:pStyle w:val="BodyText"/>
      </w:pPr>
      <w:r>
        <w:t xml:space="preserve">Ponderación vigente en el ITCG: 6 % efectivo. El color es una lectura adicional — no reemplaza ni cambia esta ponderación.</w:t>
      </w:r>
    </w:p>
    <w:bookmarkEnd w:id="117"/>
    <w:bookmarkStart w:id="118" w:name="transparencia-limitaciones-declaradas-9"/>
    <w:p>
      <w:pPr>
        <w:pStyle w:val="Heading2"/>
        <w:keepNext/>
      </w:pPr>
      <w:r>
        <w:t xml:space="preserve">Transparencia — limitaciones declaradas</w:t>
      </w:r>
    </w:p>
    <w:p>
      <w:pPr>
        <w:numPr>
          <w:ilvl w:val="0"/>
          <w:numId w:val="1043"/>
        </w:numPr>
        <w:pStyle w:val="Compact"/>
      </w:pPr>
      <w:r>
        <w:t xml:space="preserve">Es el único indicador del índice sin una fuente de datos en vivo: la asignación de etapas es juicio del analista, con las normas citadas en el registro.</w:t>
      </w:r>
    </w:p>
    <w:p>
      <w:pPr>
        <w:numPr>
          <w:ilvl w:val="0"/>
          <w:numId w:val="1043"/>
        </w:numPr>
        <w:pStyle w:val="Compact"/>
      </w:pPr>
      <w:r>
        <w:t xml:space="preserve">La escala 0-4 discretiza procesos continuos.</w:t>
      </w:r>
    </w:p>
    <w:bookmarkEnd w:id="118"/>
    <w:bookmarkStart w:id="119" w:name="X0ca14a0d10aa77334bfd7717b8d9d79e39debb4"/>
    <w:p>
      <w:pPr>
        <w:pStyle w:val="Heading2"/>
        <w:keepNext/>
      </w:pPr>
      <w:r>
        <w:t xml:space="preserve">Si falta el dato / Política de revisiones</w:t>
      </w:r>
    </w:p>
    <w:p>
      <w:pPr>
        <w:numPr>
          <w:ilvl w:val="0"/>
          <w:numId w:val="1044"/>
        </w:numPr>
      </w:pPr>
      <w:r>
        <w:rPr>
          <w:bCs/>
          <w:b/>
        </w:rPr>
        <w:t xml:space="preserve">Si falta el dato:</w:t>
      </w:r>
      <w:r>
        <w:t xml:space="preserve"> </w:t>
      </w:r>
      <w:r>
        <w:t xml:space="preserve">Sin registro disponible, se mantiene el último valor disponible, señalado como desactualizado; sin dato, los pesos de la dimensión se renormalizan.</w:t>
      </w:r>
    </w:p>
    <w:p>
      <w:pPr>
        <w:numPr>
          <w:ilvl w:val="0"/>
          <w:numId w:val="1044"/>
        </w:numPr>
      </w:pPr>
      <w:r>
        <w:rPr>
          <w:bCs/>
          <w:b/>
        </w:rPr>
        <w:t xml:space="preserve">Política de revisiones:</w:t>
      </w:r>
      <w:r>
        <w:t xml:space="preserve"> </w:t>
      </w:r>
      <w:r>
        <w:t xml:space="preserve">Seguimiento quincenal declarado; la serie avisa si el estado vivo no reconcilia con las transiciones fechadas.</w:t>
      </w:r>
    </w:p>
    <w:bookmarkEnd w:id="119"/>
    <w:bookmarkStart w:id="120" w:name="Xc4c5e47252ec9282a3f09a2ac20eb324c30e392"/>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(porcentaje de empresas privatizadas).</w:t>
      </w:r>
    </w:p>
    <w:p>
      <w:pPr>
        <w:pStyle w:val="BodyText"/>
      </w:pPr>
      <w:r>
        <w:rPr>
          <w:bCs/>
          <w:b/>
        </w:rPr>
        <w:t xml:space="preserve">2026-07-02</w:t>
      </w:r>
      <w:r>
        <w:t xml:space="preserve"> </w:t>
      </w:r>
      <w:r>
        <w:t xml:space="preserve">— Pasa al esquema de etapas 0-4 del documento institucional, con registro curado por empresa.</w:t>
      </w:r>
    </w:p>
    <w:p>
      <w:pPr>
        <w:pStyle w:val="BodyText"/>
      </w:pPr>
      <w:r>
        <w:rPr>
          <w:bCs/>
          <w:b/>
        </w:rPr>
        <w:t xml:space="preserve">2026-07-03</w:t>
      </w:r>
      <w:r>
        <w:t xml:space="preserve"> </w:t>
      </w:r>
      <w:r>
        <w:t xml:space="preserve">— Serie histórica reconstruida por hitos fechados del Boletín Oficial.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20"/>
    <w:bookmarkEnd w:id="121"/>
    <w:bookmarkStart w:id="131" w:name="inversiones-rigi"/>
    <w:p>
      <w:pPr>
        <w:pStyle w:val="Heading1"/>
        <w:keepNext/>
      </w:pPr>
      <w:r>
        <w:t xml:space="preserve">Inversiones RIGI</w:t>
      </w:r>
    </w:p>
    <w:p>
      <w:pPr>
        <w:pStyle w:val="FirstParagraph"/>
      </w:pPr>
      <w:r>
        <w:t xml:space="preserve">Cuánto de la inversión del Régimen de Incentivo a Grandes Inversiones (RIGI) ya está aprobada: el monto aprobado por resolución sobre el total de la cartera (aprobados + en evaluación).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31,6 % de inversión aprobada sobre el pipeline</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6 % del ITCG</w:t>
            </w:r>
          </w:p>
        </w:tc>
        <w:tc>
          <w:p>
            <w:pPr>
              <w:pStyle w:val="Compact"/>
              <w:jc w:val="left"/>
            </w:pPr>
            <w:r>
              <w:rPr>
                <w:sz w:val="18"/>
              </w:rPr>
              <w:t xml:space="preserve">Cinturón Gestión</w:t>
            </w:r>
          </w:p>
        </w:tc>
      </w:tr>
    </w:tbl>
    <w:bookmarkStart w:id="122"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rigi_inversiones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Privatizaciones e inversión</w:t>
            </w:r>
          </w:p>
        </w:tc>
        <w:tc>
          <w:p>
            <w:pPr>
              <w:pStyle w:val="Compact"/>
              <w:jc w:val="left"/>
            </w:pPr>
            <w:r>
              <w:rPr>
                <w:bCs/>
                <w:b/>
                <w:sz w:val="18"/>
              </w:rPr>
              <w:t xml:space="preserve">UNIDAD DE MEDIDA</w:t>
            </w:r>
          </w:p>
        </w:tc>
        <w:tc>
          <w:p>
            <w:pPr>
              <w:pStyle w:val="Compact"/>
              <w:jc w:val="left"/>
            </w:pPr>
            <w:r>
              <w:rPr>
                <w:sz w:val="18"/>
              </w:rPr>
              <w:t xml:space="preserve">% de inversión aprobada sobre el pipeline</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2026-07 (26 puntos)</w:t>
            </w:r>
          </w:p>
        </w:tc>
        <w:tc>
          <w:p>
            <w:pPr>
              <w:pStyle w:val="Compact"/>
              <w:jc w:val="left"/>
            </w:pPr>
            <w:r>
              <w:rPr>
                <w:bCs/>
                <w:b/>
                <w:sz w:val="18"/>
              </w:rPr>
              <w:t xml:space="preserve">REZAGO DE PUBLICACIÓN</w:t>
            </w:r>
          </w:p>
        </w:tc>
        <w:tc>
          <w:p>
            <w:pPr>
              <w:pStyle w:val="Compact"/>
              <w:jc w:val="left"/>
            </w:pPr>
            <w:r>
              <w:rPr>
                <w:sz w:val="18"/>
              </w:rPr>
              <w:t xml:space="preserve">Sin rezago: foto de la plataforma oficial al día de la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Economía — plataforma oficial del RIGI</w:t>
            </w:r>
          </w:p>
        </w:tc>
        <w:tc>
          <w:p>
            <w:pPr>
              <w:pStyle w:val="Compact"/>
              <w:jc w:val="left"/>
            </w:pPr>
            <w:r>
              <w:rPr>
                <w:bCs/>
                <w:b/>
                <w:sz w:val="18"/>
              </w:rPr>
              <w:t xml:space="preserve">OPERACIÓN ESTADÍSTICA</w:t>
            </w:r>
          </w:p>
        </w:tc>
        <w:tc>
          <w:p>
            <w:pPr>
              <w:pStyle w:val="Compact"/>
              <w:jc w:val="left"/>
            </w:pPr>
            <w:r>
              <w:rPr>
                <w:sz w:val="18"/>
              </w:rPr>
              <w:t xml:space="preserve">Cartera del Régimen de Incentivo a Grandes Inversiones: inversión aprobada sobre el total de la cartera (aprobada + en evaluación)</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pública de la plataforma oficial; las fechas de aprobación se toman del Boletín Oficial solo para proyectos nuevos.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22"/>
    <w:bookmarkStart w:id="123" w:name="definición-qué-mide-y-por-qué-importa-10"/>
    <w:p>
      <w:pPr>
        <w:pStyle w:val="Heading2"/>
        <w:keepNext/>
      </w:pPr>
      <w:r>
        <w:t xml:space="preserve">Definición — qué mide y por qué importa</w:t>
      </w:r>
    </w:p>
    <w:p>
      <w:pPr>
        <w:pStyle w:val="FirstParagraph"/>
      </w:pPr>
      <w:r>
        <w:t xml:space="preserve">Cuánto de la inversión del Régimen de Incentivo a Grandes Inversiones (RIGI) ya está aprobada: el monto aprobado por resolución sobre el total de la cartera (aprobados + en evaluación).</w:t>
      </w:r>
    </w:p>
    <w:p>
      <w:pPr>
        <w:pStyle w:val="BodyText"/>
      </w:pPr>
      <w:r>
        <w:t xml:space="preserve">Mide si el régimen convierte las promesas en inversión ratificada, con la plataforma oficial del Ministerio de Economía. La evolución histórica grafica la inversión aprobada acumulada en dólares.</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23"/>
    <w:bookmarkStart w:id="124" w:name="método-de-cómputo-10"/>
    <w:p>
      <w:pPr>
        <w:pStyle w:val="Heading2"/>
        <w:keepNext/>
      </w:pPr>
      <w:r>
        <w:t xml:space="preserve">Método de cómputo</w:t>
      </w:r>
    </w:p>
    <w:p>
      <w:pPr>
        <w:numPr>
          <w:ilvl w:val="0"/>
          <w:numId w:val="1045"/>
        </w:numPr>
        <w:pStyle w:val="Compact"/>
      </w:pPr>
      <w:r>
        <w:t xml:space="preserve">Avance = inversión aprobada / (aprobada + en evaluación), en porcentaje.</w:t>
      </w:r>
    </w:p>
    <w:p>
      <w:pPr>
        <w:numPr>
          <w:ilvl w:val="0"/>
          <w:numId w:val="1045"/>
        </w:numPr>
        <w:pStyle w:val="Compact"/>
      </w:pPr>
      <w:r>
        <w:t xml:space="preserve">Los proyectos multi-provincia cuentan una sola vez (mismo criterio que el sitio oficial).</w:t>
      </w:r>
    </w:p>
    <w:p>
      <w:pPr>
        <w:numPr>
          <w:ilvl w:val="0"/>
          <w:numId w:val="1045"/>
        </w:numPr>
        <w:pStyle w:val="Compact"/>
      </w:pPr>
      <w:r>
        <w:t xml:space="preserve">La serie histórica es la inversión aprobada acumulada, fechada por la norma de aprobación de cada proyecto.</w:t>
      </w:r>
    </w:p>
    <w:bookmarkEnd w:id="124"/>
    <w:bookmarkStart w:id="125"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inversión aprobada sobre el pipeline)</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29,5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17,5 – 29,5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12,5 – 17,5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12,5</w:t>
            </w:r>
          </w:p>
        </w:tc>
        <w:tc>
          <w:tcPr>
            <w:shd w:val="clear" w:color="auto" w:fill="FEE2E2"/>
          </w:tcPr>
          <w:p>
            <w:pPr>
              <w:pStyle w:val="Compact"/>
              <w:jc w:val="center"/>
            </w:pPr>
            <w:r>
              <w:rPr>
                <w:b/>
                <w:sz w:val="18"/>
                <w:color w:val="7F1D1D"/>
              </w:rPr>
              <w:t xml:space="preserve">ROJO</w:t>
            </w:r>
          </w:p>
        </w:tc>
      </w:tr>
    </w:tbl>
    <w:bookmarkEnd w:id="125"/>
    <w:bookmarkStart w:id="126"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6"/>
        </w:numPr>
        <w:pStyle w:val="Compact"/>
      </w:pPr>
      <w:r>
        <w:t xml:space="preserve">21 proyectos aprobados (US$ 46.708M) / 22 en evaluación (US$ 101.241M) → 31,6% de la inversión total ya aprobada</w:t>
      </w:r>
    </w:p>
    <w:bookmarkEnd w:id="126"/>
    <w:bookmarkStart w:id="127" w:name="color-vigente-y-por-qué-9"/>
    <w:p>
      <w:pPr>
        <w:pStyle w:val="Heading2"/>
        <w:keepNext/>
      </w:pPr>
      <w:r>
        <w:t xml:space="preserve">Color vigente y por qué</w:t>
      </w:r>
    </w:p>
    <w:p>
      <w:pPr>
        <w:pStyle w:val="FirstParagraph"/>
      </w:pPr>
      <w:r>
        <w:t xml:space="preserve">Dato vigente: 31,6 % de inversión aprobada sobre el pipeline (2026-08).</w:t>
      </w:r>
    </w:p>
    <w:p>
      <w:pPr>
        <w:pStyle w:val="BodyText"/>
      </w:pPr>
      <w:r>
        <w:t xml:space="preserve">31,6 % de inversión aprobada sobre el pipeline cae en el tramo que corresponde a Verde, a 2,1 del corte más cercano.</w:t>
      </w:r>
    </w:p>
    <w:p>
      <w:pPr>
        <w:pStyle w:val="BodyText"/>
      </w:pPr>
      <w:r>
        <w:rPr>
          <w:bCs/>
          <w:b/>
        </w:rPr>
        <w:t xml:space="preserve">Color vigente: VERDE</w:t>
      </w:r>
    </w:p>
    <w:p>
      <w:pPr>
        <w:pStyle w:val="BodyText"/>
      </w:pPr>
      <w:r>
        <w:t xml:space="preserve">Ponderación vigente en el ITCG: 6 % efectivo. El color es una lectura adicional — no reemplaza ni cambia esta ponderación.</w:t>
      </w:r>
    </w:p>
    <w:bookmarkEnd w:id="127"/>
    <w:bookmarkStart w:id="128" w:name="transparencia-limitaciones-declaradas-10"/>
    <w:p>
      <w:pPr>
        <w:pStyle w:val="Heading2"/>
        <w:keepNext/>
      </w:pPr>
      <w:r>
        <w:t xml:space="preserve">Transparencia — limitaciones declaradas</w:t>
      </w:r>
    </w:p>
    <w:p>
      <w:pPr>
        <w:numPr>
          <w:ilvl w:val="0"/>
          <w:numId w:val="1047"/>
        </w:numPr>
        <w:pStyle w:val="Compact"/>
      </w:pPr>
      <w:r>
        <w:t xml:space="preserve">No existe fuente estructurada de inversión efectivamente desembolsada: la inversión aprobada es lo más cercano al hecho, y se declara como tal.</w:t>
      </w:r>
    </w:p>
    <w:p>
      <w:pPr>
        <w:numPr>
          <w:ilvl w:val="0"/>
          <w:numId w:val="1047"/>
        </w:numPr>
        <w:pStyle w:val="Compact"/>
      </w:pPr>
      <w:r>
        <w:t xml:space="preserve">El denominador salta con cada anuncio grande en evaluación: el avance puede bajar sin que nada empeore.</w:t>
      </w:r>
    </w:p>
    <w:p>
      <w:pPr>
        <w:numPr>
          <w:ilvl w:val="0"/>
          <w:numId w:val="1047"/>
        </w:numPr>
        <w:pStyle w:val="Compact"/>
      </w:pPr>
      <w:r>
        <w:t xml:space="preserve">Depende de que la planilla oficial siga pública y con el mismo esquema (ya cambió una vez y la lectura se adaptó).</w:t>
      </w:r>
    </w:p>
    <w:bookmarkEnd w:id="128"/>
    <w:bookmarkStart w:id="129" w:name="Xf65b40f3e12a517bfafe6b61886253a31c0106d"/>
    <w:p>
      <w:pPr>
        <w:pStyle w:val="Heading2"/>
        <w:keepNext/>
      </w:pPr>
      <w:r>
        <w:t xml:space="preserve">Si falta el dato / Política de revisiones</w:t>
      </w:r>
    </w:p>
    <w:p>
      <w:pPr>
        <w:numPr>
          <w:ilvl w:val="0"/>
          <w:numId w:val="1048"/>
        </w:numPr>
      </w:pPr>
      <w:r>
        <w:rPr>
          <w:bCs/>
          <w:b/>
        </w:rPr>
        <w:t xml:space="preserve">Si falta el dato:</w:t>
      </w:r>
      <w:r>
        <w:t xml:space="preserve"> </w:t>
      </w:r>
      <w:r>
        <w:t xml:space="preserve">Con la plataforma caída, cae a una aproximación por conteo de resoluciones oficiales (marcada como desactualizada); agotado eso, se mantiene el último valor disponible y los pesos se renormalizan.</w:t>
      </w:r>
    </w:p>
    <w:p>
      <w:pPr>
        <w:numPr>
          <w:ilvl w:val="0"/>
          <w:numId w:val="1048"/>
        </w:numPr>
      </w:pPr>
      <w:r>
        <w:rPr>
          <w:bCs/>
          <w:b/>
        </w:rPr>
        <w:t xml:space="preserve">Política de revisiones:</w:t>
      </w:r>
      <w:r>
        <w:t xml:space="preserve"> </w:t>
      </w:r>
      <w:r>
        <w:t xml:space="preserve">La plataforma se actualiza sin registro de cambios; las fechas de aprobación quedan fijadas con su norma.</w:t>
      </w:r>
    </w:p>
    <w:bookmarkEnd w:id="129"/>
    <w:bookmarkStart w:id="130" w:name="Xc507494f83e44c325b7cca217ae571956777eab"/>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por conteo de resoluciones (aproximación).</w:t>
      </w:r>
    </w:p>
    <w:p>
      <w:pPr>
        <w:pStyle w:val="BodyText"/>
      </w:pPr>
      <w:r>
        <w:rPr>
          <w:bCs/>
          <w:b/>
        </w:rPr>
        <w:t xml:space="preserve">2026-06-30</w:t>
      </w:r>
      <w:r>
        <w:t xml:space="preserve"> </w:t>
      </w:r>
      <w:r>
        <w:t xml:space="preserve">— Pasa a la plataforma oficial del Ministerio de Economía: inversión aprobada sobre la cartera total, con montos reales.</w:t>
      </w:r>
    </w:p>
    <w:p>
      <w:pPr>
        <w:pStyle w:val="BodyText"/>
      </w:pPr>
      <w:r>
        <w:rPr>
          <w:bCs/>
          <w:b/>
        </w:rPr>
        <w:t xml:space="preserve">2026-07-02</w:t>
      </w:r>
      <w:r>
        <w:t xml:space="preserve"> </w:t>
      </w:r>
      <w:r>
        <w:t xml:space="preserve">— Umbrales institucionales del ITCG; después,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30"/>
    <w:bookmarkEnd w:id="131"/>
    <w:bookmarkStart w:id="141" w:name="concesiones-viales"/>
    <w:p>
      <w:pPr>
        <w:pStyle w:val="Heading1"/>
        <w:keepNext/>
      </w:pPr>
      <w:r>
        <w:t xml:space="preserve">Concesiones viales</w:t>
      </w:r>
    </w:p>
    <w:p>
      <w:pPr>
        <w:pStyle w:val="FirstParagraph"/>
      </w:pPr>
      <w:r>
        <w:t xml:space="preserve">Qué porcentaje de los kilómetros del plan de la Red Federal de Concesiones ya está adjudicado: el estado de cada proceso sale de CONTRAT.AR y el kilometraje por tramo de la página oficial de la RFC (16 tramos, ~9.100 km en 4 etapas).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28,7 % de km adjudicados / km del plan (Red Federal de Concesiones)</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3 % del ITCG</w:t>
            </w:r>
          </w:p>
        </w:tc>
        <w:tc>
          <w:p>
            <w:pPr>
              <w:pStyle w:val="Compact"/>
              <w:jc w:val="left"/>
            </w:pPr>
            <w:r>
              <w:rPr>
                <w:sz w:val="18"/>
              </w:rPr>
              <w:t xml:space="preserve">Cinturón Gestión</w:t>
            </w:r>
          </w:p>
        </w:tc>
      </w:tr>
    </w:tbl>
    <w:bookmarkStart w:id="132"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concesiones_infraestructura</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Privatizaciones e inversión</w:t>
            </w:r>
          </w:p>
        </w:tc>
        <w:tc>
          <w:p>
            <w:pPr>
              <w:pStyle w:val="Compact"/>
              <w:jc w:val="left"/>
            </w:pPr>
            <w:r>
              <w:rPr>
                <w:bCs/>
                <w:b/>
                <w:sz w:val="18"/>
              </w:rPr>
              <w:t xml:space="preserve">UNIDAD DE MEDIDA</w:t>
            </w:r>
          </w:p>
        </w:tc>
        <w:tc>
          <w:p>
            <w:pPr>
              <w:pStyle w:val="Compact"/>
              <w:jc w:val="left"/>
            </w:pPr>
            <w:r>
              <w:rPr>
                <w:sz w:val="18"/>
              </w:rPr>
              <w:t xml:space="preserve">% de km adjudicados / km del plan (Red Federal de Concesiones)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Sin rezago: estado del portal de contrataciones al día de la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CONTRAT.AR (portal oficial de contrataciones) + Vialidad Nacional (página de la Red Federal de Concesiones)</w:t>
            </w:r>
          </w:p>
        </w:tc>
        <w:tc>
          <w:p>
            <w:pPr>
              <w:pStyle w:val="Compact"/>
              <w:jc w:val="left"/>
            </w:pPr>
            <w:r>
              <w:rPr>
                <w:bCs/>
                <w:b/>
                <w:sz w:val="18"/>
              </w:rPr>
              <w:t xml:space="preserve">OPERACIÓN ESTADÍSTICA</w:t>
            </w:r>
          </w:p>
        </w:tc>
        <w:tc>
          <w:p>
            <w:pPr>
              <w:pStyle w:val="Compact"/>
              <w:jc w:val="left"/>
            </w:pPr>
            <w:r>
              <w:rPr>
                <w:sz w:val="18"/>
              </w:rPr>
              <w:t xml:space="preserve">Tasa de adjudicación de la Red Federal de Concesiones, en kilómetros: km bajo concesión adjudicada sobre km totales del plan</w:t>
            </w:r>
          </w:p>
        </w:tc>
      </w:tr>
      <w:tr>
        <w:trPr>
          <w:cantSplit/>
        </w:trPr>
        <w:tc>
          <w:p>
            <w:pPr>
              <w:pStyle w:val="Compact"/>
              <w:jc w:val="left"/>
            </w:pPr>
            <w:r>
              <w:rPr>
                <w:bCs/>
                <w:b/>
                <w:sz w:val="18"/>
              </w:rPr>
              <w:t xml:space="preserve">MODO DE ACCESO</w:t>
            </w:r>
          </w:p>
        </w:tc>
        <w:tc>
          <w:p>
            <w:pPr>
              <w:pStyle w:val="Compact"/>
              <w:jc w:val="left"/>
            </w:pPr>
            <w:r>
              <w:rPr>
                <w:sz w:val="18"/>
              </w:rPr>
              <w:t xml:space="preserve">Automático: el estado de cada proceso licitatorio se lee de CONTRAT.AR (búsqueda pública, sin usuario) y el kilometraje por etapa de la página oficial de la Red.</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32"/>
    <w:bookmarkStart w:id="133" w:name="definición-qué-mide-y-por-qué-importa-11"/>
    <w:p>
      <w:pPr>
        <w:pStyle w:val="Heading2"/>
        <w:keepNext/>
      </w:pPr>
      <w:r>
        <w:t xml:space="preserve">Definición — qué mide y por qué importa</w:t>
      </w:r>
    </w:p>
    <w:p>
      <w:pPr>
        <w:pStyle w:val="FirstParagraph"/>
      </w:pPr>
      <w:r>
        <w:t xml:space="preserve">Qué porcentaje de los kilómetros del plan de la Red Federal de Concesiones ya está adjudicado: el estado de cada proceso sale de CONTRAT.AR y el kilometraje por tramo de la página oficial de la RFC (16 tramos, ~9.100 km en 4 etapas).</w:t>
      </w:r>
    </w:p>
    <w:p>
      <w:pPr>
        <w:pStyle w:val="BodyText"/>
      </w:pPr>
      <w:r>
        <w:t xml:space="preserve">Mide con actos administrativos —no anuncios— si el traspaso de la red vial al sector privado avanza: una etapa cuenta recién cuando su licitación figura Adjudicada en el sistema de contrataciones.</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33"/>
    <w:bookmarkStart w:id="134" w:name="método-de-cómputo-11"/>
    <w:p>
      <w:pPr>
        <w:pStyle w:val="Heading2"/>
        <w:keepNext/>
      </w:pPr>
      <w:r>
        <w:t xml:space="preserve">Método de cómputo</w:t>
      </w:r>
    </w:p>
    <w:p>
      <w:pPr>
        <w:numPr>
          <w:ilvl w:val="0"/>
          <w:numId w:val="1049"/>
        </w:numPr>
        <w:pStyle w:val="Compact"/>
      </w:pPr>
      <w:r>
        <w:t xml:space="preserve">Una etapa cuenta con el 100% de sus kilómetros cuando su proceso figura adjudicado.</w:t>
      </w:r>
    </w:p>
    <w:p>
      <w:pPr>
        <w:numPr>
          <w:ilvl w:val="0"/>
          <w:numId w:val="1049"/>
        </w:numPr>
        <w:pStyle w:val="Compact"/>
      </w:pPr>
      <w:r>
        <w:t xml:space="preserve">La serie histórica es escalonada, por hitos de adjudicación fechados con su norma.</w:t>
      </w:r>
    </w:p>
    <w:bookmarkEnd w:id="134"/>
    <w:bookmarkStart w:id="135"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km adjudicados / km del plan (Red Federal de Concesiones))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25 – 41</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135"/>
    <w:bookmarkStart w:id="136"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0"/>
        </w:numPr>
        <w:pStyle w:val="Compact"/>
      </w:pPr>
      <w:r>
        <w:t xml:space="preserve">2.614 de 9.091 km adjudicados · I: Adjudicado · II-B: Disponible Para Adjudicar · II: Adjudicado · III: Preadjudicado</w:t>
      </w:r>
    </w:p>
    <w:bookmarkEnd w:id="136"/>
    <w:bookmarkStart w:id="137" w:name="color-vigente-y-por-qué-10"/>
    <w:p>
      <w:pPr>
        <w:pStyle w:val="Heading2"/>
        <w:keepNext/>
      </w:pPr>
      <w:r>
        <w:t xml:space="preserve">Color vigente y por qué</w:t>
      </w:r>
    </w:p>
    <w:p>
      <w:pPr>
        <w:pStyle w:val="FirstParagraph"/>
      </w:pPr>
      <w:r>
        <w:t xml:space="preserve">Dato vigente: 28,7 % de km adjudicados / km del plan (Red Federal de Concesiones) (2026-08).</w:t>
      </w:r>
    </w:p>
    <w:p>
      <w:pPr>
        <w:pStyle w:val="BodyText"/>
      </w:pPr>
      <w:r>
        <w:t xml:space="preserve">28,7 % de km adjudicados / km del plan (Red Federal de Concesiones) cae en el tramo que corresponde a Amarillo, a 3,7 del corte más cercano.</w:t>
      </w:r>
    </w:p>
    <w:p>
      <w:pPr>
        <w:pStyle w:val="BodyText"/>
      </w:pPr>
      <w:r>
        <w:rPr>
          <w:bCs/>
          <w:b/>
        </w:rPr>
        <w:t xml:space="preserve">Color vigente: AMARILLO</w:t>
      </w:r>
    </w:p>
    <w:p>
      <w:pPr>
        <w:pStyle w:val="BodyText"/>
      </w:pPr>
      <w:r>
        <w:t xml:space="preserve">Ponderación vigente en el ITCG: 3 % efectivo. El color es una lectura adicional — no reemplaza ni cambia esta ponderación.</w:t>
      </w:r>
    </w:p>
    <w:bookmarkEnd w:id="137"/>
    <w:bookmarkStart w:id="138" w:name="transparencia-limitaciones-declaradas-11"/>
    <w:p>
      <w:pPr>
        <w:pStyle w:val="Heading2"/>
        <w:keepNext/>
      </w:pPr>
      <w:r>
        <w:t xml:space="preserve">Transparencia — limitaciones declaradas</w:t>
      </w:r>
    </w:p>
    <w:p>
      <w:pPr>
        <w:numPr>
          <w:ilvl w:val="0"/>
          <w:numId w:val="1051"/>
        </w:numPr>
        <w:pStyle w:val="Compact"/>
      </w:pPr>
      <w:r>
        <w:t xml:space="preserve">Las etapas que adjudican por renglones cuentan hoy solo al cierre total: refinamiento pendiente declarado.</w:t>
      </w:r>
    </w:p>
    <w:p>
      <w:pPr>
        <w:numPr>
          <w:ilvl w:val="0"/>
          <w:numId w:val="1051"/>
        </w:numPr>
        <w:pStyle w:val="Compact"/>
      </w:pPr>
      <w:r>
        <w:t xml:space="preserve">Binario por etapa: 0 o 100% de sus kilómetros.</w:t>
      </w:r>
    </w:p>
    <w:p>
      <w:pPr>
        <w:numPr>
          <w:ilvl w:val="0"/>
          <w:numId w:val="1051"/>
        </w:numPr>
        <w:pStyle w:val="Compact"/>
      </w:pPr>
      <w:r>
        <w:t xml:space="preserve">Depende de dos lecturas de páginas oficiales: un rediseño de cualquiera de las dos interrumpe el dato hasta adaptarlo.</w:t>
      </w:r>
    </w:p>
    <w:bookmarkEnd w:id="138"/>
    <w:bookmarkStart w:id="139" w:name="X4ff462a9d09394c6f7304e0055101f0f4b71003"/>
    <w:p>
      <w:pPr>
        <w:pStyle w:val="Heading2"/>
        <w:keepNext/>
      </w:pPr>
      <w:r>
        <w:t xml:space="preserve">Si falta el dato / Política de revisiones</w:t>
      </w:r>
    </w:p>
    <w:p>
      <w:pPr>
        <w:numPr>
          <w:ilvl w:val="0"/>
          <w:numId w:val="1052"/>
        </w:numPr>
      </w:pPr>
      <w:r>
        <w:rPr>
          <w:bCs/>
          <w:b/>
        </w:rPr>
        <w:t xml:space="preserve">Si falta el dato:</w:t>
      </w:r>
      <w:r>
        <w:t xml:space="preserve"> </w:t>
      </w:r>
      <w:r>
        <w:t xml:space="preserve">Con los portales caídos, cae al valor de respaldo documentado con fecha; agotado eso, se mantiene el último valor disponible y los pesos se renormalizan.</w:t>
      </w:r>
    </w:p>
    <w:p>
      <w:pPr>
        <w:numPr>
          <w:ilvl w:val="0"/>
          <w:numId w:val="1052"/>
        </w:numPr>
      </w:pPr>
      <w:r>
        <w:rPr>
          <w:bCs/>
          <w:b/>
        </w:rPr>
        <w:t xml:space="preserve">Política de revisiones:</w:t>
      </w:r>
      <w:r>
        <w:t xml:space="preserve"> </w:t>
      </w:r>
      <w:r>
        <w:t xml:space="preserve">Los kilómetros por etapa se refrescan de la página oficial en cada actualización; para las adjudicaciones manda la fecha del Boletín Oficial.</w:t>
      </w:r>
    </w:p>
    <w:bookmarkEnd w:id="139"/>
    <w:bookmarkStart w:id="140" w:name="X32af8005611dd896c50146a828f6519660aac81"/>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w:t>
      </w:r>
    </w:p>
    <w:p>
      <w:pPr>
        <w:pStyle w:val="BodyText"/>
      </w:pPr>
      <w:r>
        <w:rPr>
          <w:bCs/>
          <w:b/>
        </w:rPr>
        <w:t xml:space="preserve">2026-07-02</w:t>
      </w:r>
      <w:r>
        <w:t xml:space="preserve"> </w:t>
      </w:r>
      <w:r>
        <w:t xml:space="preserve">— Automatizado: estado por CONTRAT.AR y kilometraje por la página oficial de la Red, en km.</w:t>
      </w:r>
    </w:p>
    <w:p>
      <w:pPr>
        <w:pStyle w:val="BodyText"/>
      </w:pPr>
      <w:r>
        <w:rPr>
          <w:bCs/>
          <w:b/>
        </w:rPr>
        <w:t xml:space="preserve">2026-07-03</w:t>
      </w:r>
      <w:r>
        <w:t xml:space="preserve"> </w:t>
      </w:r>
      <w:r>
        <w:t xml:space="preserve">— Serie escalonada por hitos fechados.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40"/>
    <w:bookmarkEnd w:id="141"/>
    <w:bookmarkStart w:id="149" w:name="asistencia-directa-tdps"/>
    <w:p>
      <w:pPr>
        <w:pStyle w:val="Heading1"/>
        <w:keepNext/>
      </w:pPr>
      <w:r>
        <w:t xml:space="preserve">Asistencia directa (TDPS)</w:t>
      </w:r>
    </w:p>
    <w:p>
      <w:pPr>
        <w:pStyle w:val="FirstParagraph"/>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100 TDPS: % del gasto social pagado directo (sin intermediación)</w:t>
            </w:r>
            <w:r>
              <w:rPr>
                <w:sz w:val="18"/>
              </w:rPr>
              <w:t xml:space="preserve"> </w:t>
            </w:r>
            <w:r>
              <w:rPr>
                <w:sz w:val="18"/>
              </w:rPr>
              <w:t xml:space="preserve">(2026-08)</w:t>
            </w:r>
          </w:p>
        </w:tc>
        <w:tc>
          <w:p>
            <w:pPr>
              <w:pStyle w:val="Compact"/>
              <w:jc w:val="left"/>
            </w:pPr>
            <w:r>
              <w:rPr>
                <w:bCs/>
                <w:b/>
                <w:sz w:val="18"/>
              </w:rPr>
              <w:t xml:space="preserve">—</w:t>
            </w:r>
          </w:p>
        </w:tc>
        <w:tc>
          <w:p>
            <w:pPr>
              <w:pStyle w:val="Compact"/>
              <w:jc w:val="left"/>
            </w:pPr>
            <w:r>
              <w:rPr>
                <w:sz w:val="18"/>
              </w:rPr>
              <w:t xml:space="preserve">Fuera del índice</w:t>
            </w:r>
          </w:p>
        </w:tc>
        <w:tc>
          <w:p>
            <w:pPr>
              <w:pStyle w:val="Compact"/>
              <w:jc w:val="left"/>
            </w:pPr>
            <w:r>
              <w:rPr>
                <w:sz w:val="18"/>
              </w:rPr>
              <w:t xml:space="preserve">Cinturón Gestión</w:t>
            </w:r>
          </w:p>
        </w:tc>
      </w:tr>
    </w:tbl>
    <w:bookmarkStart w:id="142"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asistencia_directa</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social y orden</w:t>
            </w:r>
          </w:p>
        </w:tc>
        <w:tc>
          <w:p>
            <w:pPr>
              <w:pStyle w:val="Compact"/>
              <w:jc w:val="left"/>
            </w:pPr>
            <w:r>
              <w:rPr>
                <w:bCs/>
                <w:b/>
                <w:sz w:val="18"/>
              </w:rPr>
              <w:t xml:space="preserve">UNIDAD DE MEDIDA</w:t>
            </w:r>
          </w:p>
        </w:tc>
        <w:tc>
          <w:p>
            <w:pPr>
              <w:pStyle w:val="Compact"/>
              <w:jc w:val="left"/>
            </w:pPr>
            <w:r>
              <w:rPr>
                <w:sz w:val="18"/>
              </w:rPr>
              <w:t xml:space="preserve">TDPS: % del gasto social pagado directo (sin intermediación)</w:t>
            </w:r>
          </w:p>
        </w:tc>
      </w:tr>
      <w:tr>
        <w:trPr>
          <w:cantSplit/>
        </w:trPr>
        <w:tc>
          <w:p>
            <w:pPr>
              <w:pStyle w:val="Compact"/>
              <w:jc w:val="left"/>
            </w:pPr>
            <w:r>
              <w:rPr>
                <w:bCs/>
                <w:b/>
                <w:sz w:val="18"/>
              </w:rPr>
              <w:t xml:space="preserve">SERIE DISPONIBLE</w:t>
            </w:r>
          </w:p>
        </w:tc>
        <w:tc>
          <w:p>
            <w:pPr>
              <w:pStyle w:val="Compact"/>
              <w:jc w:val="left"/>
            </w:pPr>
            <w:r>
              <w:rPr>
                <w:sz w:val="18"/>
              </w:rPr>
              <w:t xml:space="preserve">2023-01 → 2026-07 (40 puntos)</w:t>
            </w:r>
          </w:p>
        </w:tc>
        <w:tc>
          <w:p>
            <w:pPr>
              <w:pStyle w:val="Compact"/>
              <w:jc w:val="left"/>
            </w:pPr>
            <w:r>
              <w:rPr>
                <w:bCs/>
                <w:b/>
                <w:sz w:val="18"/>
              </w:rPr>
              <w:t xml:space="preserve">REZAGO DE PUBLICACIÓN</w:t>
            </w:r>
          </w:p>
        </w:tc>
        <w:tc>
          <w:p>
            <w:pPr>
              <w:pStyle w:val="Compact"/>
              <w:jc w:val="left"/>
            </w:pPr>
            <w:r>
              <w:rPr>
                <w:sz w:val="18"/>
              </w:rPr>
              <w:t xml:space="preserve">Semanas: el devengado del ejercicio corriente se carga de forma continua.</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 Presupuesto Abierto</w:t>
            </w:r>
          </w:p>
        </w:tc>
        <w:tc>
          <w:p>
            <w:pPr>
              <w:pStyle w:val="Compact"/>
              <w:jc w:val="left"/>
            </w:pPr>
            <w:r>
              <w:rPr>
                <w:bCs/>
                <w:b/>
                <w:sz w:val="18"/>
              </w:rPr>
              <w:t xml:space="preserve">OPERACIÓN ESTADÍSTICA</w:t>
            </w:r>
          </w:p>
        </w:tc>
        <w:tc>
          <w:p>
            <w:pPr>
              <w:pStyle w:val="Compact"/>
              <w:jc w:val="left"/>
            </w:pPr>
            <w:r>
              <w:rPr>
                <w:sz w:val="18"/>
              </w:rPr>
              <w:t xml:space="preserve">TDPS — tasa de desintermediación de los planes sociales: porcentaje del gasto de los programas de empleo y acompañamiento pagado directo a personas, sin organizaciones intermediarias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oficial con credencial de acceso; la línea de base 2023 (ejercicio cerrado) se calculó una vez y quedó fijada.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42"/>
    <w:bookmarkStart w:id="143" w:name="definición-qué-mide-y-por-qué-importa-12"/>
    <w:p>
      <w:pPr>
        <w:pStyle w:val="Heading2"/>
        <w:keepNext/>
      </w:pPr>
      <w:r>
        <w:t xml:space="preserve">Definición — qué mide y por qué importa</w:t>
      </w:r>
    </w:p>
    <w:p>
      <w:pPr>
        <w:pStyle w:val="FirstParagraph"/>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p>
      <w:pPr>
        <w:pStyle w:val="BodyText"/>
      </w:pPr>
      <w:r>
        <w:t xml:space="preserve">Verifica contra el presupuesto —no contra el anuncio— que el Decreto 198/2024 eliminó la intermediación de las Unidades de Gestión: en 2023 buena parte de la ayuda pasaba por organizaciones y cooperativas y el giro fue hacia el pago directo a las personas. Desintermediar y recortar son cosas distintas: esto mide solo lo primero.</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43"/>
    <w:bookmarkStart w:id="144" w:name="método-de-cómputo-12"/>
    <w:p>
      <w:pPr>
        <w:pStyle w:val="Heading2"/>
        <w:keepNext/>
      </w:pPr>
      <w:r>
        <w:t xml:space="preserve">Método de cómputo</w:t>
      </w:r>
    </w:p>
    <w:p>
      <w:pPr>
        <w:numPr>
          <w:ilvl w:val="0"/>
          <w:numId w:val="1053"/>
        </w:numPr>
        <w:pStyle w:val="Compact"/>
      </w:pPr>
      <w:r>
        <w:t xml:space="preserve">TDPS = 100 × devengado en «ayudas sociales a personas» / total de transferencias de los programas; el resto del inciso son fondos que llegan vía terceros (las «unidades de gestión» eliminadas por decreto en 2024).</w:t>
      </w:r>
    </w:p>
    <w:p>
      <w:pPr>
        <w:numPr>
          <w:ilvl w:val="0"/>
          <w:numId w:val="1053"/>
        </w:numPr>
        <w:pStyle w:val="Compact"/>
      </w:pPr>
      <w:r>
        <w:t xml:space="preserve">Línea de base 2023 (Potenciar Trabajo): 98,3% directo.</w:t>
      </w:r>
    </w:p>
    <w:bookmarkEnd w:id="144"/>
    <w:bookmarkStart w:id="145"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4"/>
        </w:numPr>
        <w:pStyle w:val="Compact"/>
      </w:pPr>
      <w:r>
        <w:t xml:space="preserve">Devengado 2026: $ 542.901M directo a personas (5.1.4) / $ 542.901M transferido · baseline Potenciar 2023: 98,3% (con $ 17.224M vía organizaciones)</w:t>
      </w:r>
    </w:p>
    <w:bookmarkEnd w:id="145"/>
    <w:bookmarkStart w:id="146" w:name="transparencia-limitaciones-declaradas-12"/>
    <w:p>
      <w:pPr>
        <w:pStyle w:val="Heading2"/>
        <w:keepNext/>
      </w:pPr>
      <w:r>
        <w:t xml:space="preserve">Transparencia — limitaciones declaradas</w:t>
      </w:r>
    </w:p>
    <w:p>
      <w:pPr>
        <w:numPr>
          <w:ilvl w:val="0"/>
          <w:numId w:val="1055"/>
        </w:numPr>
        <w:pStyle w:val="Compact"/>
      </w:pPr>
      <w:r>
        <w:t xml:space="preserve">Advertencia metodológica declarada: desintermediar y recortar son promesas distintas — esto mide solo la primera.</w:t>
      </w:r>
    </w:p>
    <w:p>
      <w:pPr>
        <w:numPr>
          <w:ilvl w:val="0"/>
          <w:numId w:val="1055"/>
        </w:numPr>
        <w:pStyle w:val="Compact"/>
      </w:pPr>
      <w:r>
        <w:t xml:space="preserve">La base 2023 ya era 98,3%: el salto normativo fue puntual y el indicador está saturado cerca del máximo desde 2024 (decisión de rediseño abierta con CIGOB).</w:t>
      </w:r>
    </w:p>
    <w:p>
      <w:pPr>
        <w:numPr>
          <w:ilvl w:val="0"/>
          <w:numId w:val="1055"/>
        </w:numPr>
        <w:pStyle w:val="Compact"/>
      </w:pPr>
      <w:r>
        <w:t xml:space="preserve">Depende de que los nombres de los programas no cambien en el presupuesto.</w:t>
      </w:r>
    </w:p>
    <w:bookmarkEnd w:id="146"/>
    <w:bookmarkStart w:id="147" w:name="Xef80c7ba60ac922c16c234403633099d6fa1a96"/>
    <w:p>
      <w:pPr>
        <w:pStyle w:val="Heading2"/>
        <w:keepNext/>
      </w:pPr>
      <w:r>
        <w:t xml:space="preserve">Si falta el dato / Política de revisiones</w:t>
      </w:r>
    </w:p>
    <w:p>
      <w:pPr>
        <w:numPr>
          <w:ilvl w:val="0"/>
          <w:numId w:val="1056"/>
        </w:numPr>
      </w:pPr>
      <w:r>
        <w:rPr>
          <w:bCs/>
          <w:b/>
        </w:rPr>
        <w:t xml:space="preserve">Si falta el dato:</w:t>
      </w:r>
      <w:r>
        <w:t xml:space="preserve"> </w:t>
      </w:r>
      <w:r>
        <w:t xml:space="preserve">Sin acceso a la API, cae al valor de respaldo documentado (el decreto de 2024); agotado eso, se mantiene el último valor disponible y los pesos se renormalizan.</w:t>
      </w:r>
    </w:p>
    <w:p>
      <w:pPr>
        <w:numPr>
          <w:ilvl w:val="0"/>
          <w:numId w:val="1056"/>
        </w:numPr>
      </w:pPr>
      <w:r>
        <w:rPr>
          <w:bCs/>
          <w:b/>
        </w:rPr>
        <w:t xml:space="preserve">Política de revisiones:</w:t>
      </w:r>
      <w:r>
        <w:t xml:space="preserve"> </w:t>
      </w:r>
      <w:r>
        <w:t xml:space="preserve">El devengado del ejercicio corriente es acumulado en curso, revisable por definición; la base 2023 está congelada.</w:t>
      </w:r>
    </w:p>
    <w:bookmarkEnd w:id="147"/>
    <w:bookmarkStart w:id="148" w:name="X95a58e26bcd11004daa5592872527917495b2ed"/>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(porcentaje de beneficiarios que cobra directo).</w:t>
      </w:r>
    </w:p>
    <w:p>
      <w:pPr>
        <w:pStyle w:val="BodyText"/>
      </w:pPr>
      <w:r>
        <w:rPr>
          <w:bCs/>
          <w:b/>
        </w:rPr>
        <w:t xml:space="preserve">2026-07-02</w:t>
      </w:r>
      <w:r>
        <w:t xml:space="preserve"> </w:t>
      </w:r>
      <w:r>
        <w:t xml:space="preserve">— Pasa a la tasa real contra la ejecución presupuestaria, con línea de base 2023 verificada.</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48"/>
    <w:bookmarkEnd w:id="149"/>
    <w:bookmarkStart w:id="159" w:name="orden-público-piquetes"/>
    <w:p>
      <w:pPr>
        <w:pStyle w:val="Heading1"/>
        <w:keepNext/>
      </w:pPr>
      <w:r>
        <w:t xml:space="preserve">Orden público (piquetes)</w:t>
      </w:r>
    </w:p>
    <w:p>
      <w:pPr>
        <w:pStyle w:val="FirstParagraph"/>
      </w:pPr>
      <w:r>
        <w:t xml:space="preserve">En qué porcentaje se redujeron los cortes de calle por manifestación en CABA respecto de 2023 (el distrito donde actúan las fuerzas federales y aplica el protocolo).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74,2 % de reducción de cortes por manifestación en CABA vs 2023 (IRPC)</w:t>
            </w:r>
            <w:r>
              <w:rPr>
                <w:sz w:val="18"/>
              </w:rPr>
              <w:t xml:space="preserve"> </w:t>
            </w:r>
            <w:r>
              <w:rPr>
                <w:sz w:val="18"/>
              </w:rPr>
              <w:t xml:space="preserve">(2025-12)</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6,7 % del ITCG</w:t>
            </w:r>
          </w:p>
        </w:tc>
        <w:tc>
          <w:p>
            <w:pPr>
              <w:pStyle w:val="Compact"/>
              <w:jc w:val="left"/>
            </w:pPr>
            <w:r>
              <w:rPr>
                <w:sz w:val="18"/>
              </w:rPr>
              <w:t xml:space="preserve">Cinturón Gestión</w:t>
            </w:r>
          </w:p>
        </w:tc>
      </w:tr>
    </w:tbl>
    <w:bookmarkStart w:id="150"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protocolo_antipiquetes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social y orden</w:t>
            </w:r>
          </w:p>
        </w:tc>
        <w:tc>
          <w:p>
            <w:pPr>
              <w:pStyle w:val="Compact"/>
              <w:jc w:val="left"/>
            </w:pPr>
            <w:r>
              <w:rPr>
                <w:bCs/>
                <w:b/>
                <w:sz w:val="18"/>
              </w:rPr>
              <w:t xml:space="preserve">UNIDAD DE MEDIDA</w:t>
            </w:r>
          </w:p>
        </w:tc>
        <w:tc>
          <w:p>
            <w:pPr>
              <w:pStyle w:val="Compact"/>
              <w:jc w:val="left"/>
            </w:pPr>
            <w:r>
              <w:rPr>
                <w:sz w:val="18"/>
              </w:rPr>
              <w:t xml:space="preserve">% de reducción de cortes por manifestación en CABA vs 2023 (IRPC)</w:t>
            </w:r>
          </w:p>
        </w:tc>
      </w:tr>
      <w:tr>
        <w:trPr>
          <w:cantSplit/>
        </w:trPr>
        <w:tc>
          <w:p>
            <w:pPr>
              <w:pStyle w:val="Compact"/>
              <w:jc w:val="left"/>
            </w:pPr>
            <w:r>
              <w:rPr>
                <w:bCs/>
                <w:b/>
                <w:sz w:val="18"/>
              </w:rPr>
              <w:t xml:space="preserve">SERIE DISPONIBLE</w:t>
            </w:r>
          </w:p>
        </w:tc>
        <w:tc>
          <w:p>
            <w:pPr>
              <w:pStyle w:val="Compact"/>
              <w:jc w:val="left"/>
            </w:pPr>
            <w:r>
              <w:rPr>
                <w:sz w:val="18"/>
              </w:rPr>
              <w:t xml:space="preserve">2024-01 → 2026-07 (31 puntos)</w:t>
            </w:r>
          </w:p>
        </w:tc>
        <w:tc>
          <w:p>
            <w:pPr>
              <w:pStyle w:val="Compact"/>
              <w:jc w:val="left"/>
            </w:pPr>
            <w:r>
              <w:rPr>
                <w:bCs/>
                <w:b/>
                <w:sz w:val="18"/>
              </w:rPr>
              <w:t xml:space="preserve">REZAGO DE PUBLICACIÓN</w:t>
            </w:r>
          </w:p>
        </w:tc>
        <w:tc>
          <w:p>
            <w:pPr>
              <w:pStyle w:val="Compact"/>
              <w:jc w:val="left"/>
            </w:pPr>
            <w:r>
              <w:rPr>
                <w:sz w:val="18"/>
              </w:rPr>
              <w:t xml:space="preserve">Hasta un año: los anclajes públicos de la fuente son por año cerrado.</w:t>
            </w:r>
          </w:p>
        </w:tc>
      </w:tr>
      <w:tr>
        <w:trPr>
          <w:cantSplit/>
        </w:trPr>
        <w:tc>
          <w:p>
            <w:pPr>
              <w:pStyle w:val="Compact"/>
              <w:jc w:val="left"/>
            </w:pPr>
            <w:r>
              <w:rPr>
                <w:bCs/>
                <w:b/>
                <w:sz w:val="18"/>
              </w:rPr>
              <w:t xml:space="preserve">PRODUCTOR DEL DATO</w:t>
            </w:r>
          </w:p>
        </w:tc>
        <w:tc>
          <w:p>
            <w:pPr>
              <w:pStyle w:val="Compact"/>
              <w:jc w:val="left"/>
            </w:pPr>
            <w:r>
              <w:rPr>
                <w:sz w:val="18"/>
              </w:rPr>
              <w:t xml:space="preserve">Diagnóstico Político (consultora; relevamiento diario de cortes sobre más de cien medios desde 2009)</w:t>
            </w:r>
          </w:p>
        </w:tc>
        <w:tc>
          <w:p>
            <w:pPr>
              <w:pStyle w:val="Compact"/>
              <w:jc w:val="left"/>
            </w:pPr>
            <w:r>
              <w:rPr>
                <w:bCs/>
                <w:b/>
                <w:sz w:val="18"/>
              </w:rPr>
              <w:t xml:space="preserve">OPERACIÓN ESTADÍSTICA</w:t>
            </w:r>
          </w:p>
        </w:tc>
        <w:tc>
          <w:p>
            <w:pPr>
              <w:pStyle w:val="Compact"/>
              <w:jc w:val="left"/>
            </w:pPr>
            <w:r>
              <w:rPr>
                <w:sz w:val="18"/>
              </w:rPr>
              <w:t xml:space="preserve">Reducción porcentual de los cortes por manifestación en CABA contra 2023, con los anclajes anuales públicos de la fuente (2023: 931 · 2024: 440 · 2025: 240)</w:t>
            </w:r>
          </w:p>
        </w:tc>
      </w:tr>
      <w:tr>
        <w:trPr>
          <w:cantSplit/>
        </w:trPr>
        <w:tc>
          <w:p>
            <w:pPr>
              <w:pStyle w:val="Compact"/>
              <w:jc w:val="left"/>
            </w:pPr>
            <w:r>
              <w:rPr>
                <w:bCs/>
                <w:b/>
                <w:sz w:val="18"/>
              </w:rPr>
              <w:t xml:space="preserve">MODO DE ACCESO</w:t>
            </w:r>
          </w:p>
        </w:tc>
        <w:tc>
          <w:p>
            <w:pPr>
              <w:pStyle w:val="Compact"/>
              <w:jc w:val="left"/>
            </w:pPr>
            <w:r>
              <w:rPr>
                <w:sz w:val="18"/>
              </w:rPr>
              <w:t xml:space="preserve">Automático sobre un registro curado: los anclajes anuales se cargan con su fuente pública; un detector revisa la página de la consultora y avisa cuando aparece un año nuevo.</w:t>
            </w:r>
          </w:p>
        </w:tc>
        <w:tc>
          <w:p>
            <w:pPr>
              <w:pStyle w:val="Compact"/>
              <w:jc w:val="left"/>
            </w:pPr>
            <w:r>
              <w:rPr>
                <w:bCs/>
                <w:b/>
                <w:sz w:val="18"/>
              </w:rPr>
              <w:t xml:space="preserve">ÚLTIMA ACTUALIZACIÓN</w:t>
            </w:r>
          </w:p>
        </w:tc>
        <w:tc>
          <w:p>
            <w:pPr>
              <w:pStyle w:val="Compact"/>
              <w:jc w:val="left"/>
            </w:pPr>
            <w:r>
              <w:rPr>
                <w:sz w:val="18"/>
              </w:rPr>
              <w:t xml:space="preserve">Dato a 2025-12 · informe generado el 2026-08-09</w:t>
            </w:r>
          </w:p>
        </w:tc>
      </w:tr>
    </w:tbl>
    <w:bookmarkEnd w:id="150"/>
    <w:bookmarkStart w:id="151" w:name="definición-qué-mide-y-por-qué-importa-13"/>
    <w:p>
      <w:pPr>
        <w:pStyle w:val="Heading2"/>
        <w:keepNext/>
      </w:pPr>
      <w:r>
        <w:t xml:space="preserve">Definición — qué mide y por qué importa</w:t>
      </w:r>
    </w:p>
    <w:p>
      <w:pPr>
        <w:pStyle w:val="FirstParagraph"/>
      </w:pPr>
      <w:r>
        <w:t xml:space="preserve">En qué porcentaje se redujeron los cortes de calle por manifestación en CABA respecto de 2023 (el distrito donde actúan las fuerzas federales y aplica el protocolo).</w:t>
      </w:r>
    </w:p>
    <w:p>
      <w:pPr>
        <w:pStyle w:val="BodyText"/>
      </w:pPr>
      <w:r>
        <w:t xml:space="preserve">Mide el restablecimiento del orden público que prometió el Gobierno, donde le es atribuible. Fuente: los monitoreos de Diagnóstico Político, cuya definición de piquete coincide con la de la Resolución 943/23.</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51"/>
    <w:bookmarkStart w:id="152" w:name="método-de-cómputo-13"/>
    <w:p>
      <w:pPr>
        <w:pStyle w:val="Heading2"/>
        <w:keepNext/>
      </w:pPr>
      <w:r>
        <w:t xml:space="preserve">Método de cómputo</w:t>
      </w:r>
    </w:p>
    <w:p>
      <w:pPr>
        <w:numPr>
          <w:ilvl w:val="0"/>
          <w:numId w:val="1057"/>
        </w:numPr>
        <w:pStyle w:val="Compact"/>
      </w:pPr>
      <w:r>
        <w:t xml:space="preserve">Reducción = (1 − cortes del último año cerrado / cortes de 2023) × 100.</w:t>
      </w:r>
    </w:p>
    <w:p>
      <w:pPr>
        <w:numPr>
          <w:ilvl w:val="0"/>
          <w:numId w:val="1057"/>
        </w:numPr>
        <w:pStyle w:val="Compact"/>
      </w:pPr>
      <w:r>
        <w:t xml:space="preserve">La definición de piquete de la fuente coincide con la del protocolo oficial (Resolución 943/23).</w:t>
      </w:r>
    </w:p>
    <w:bookmarkEnd w:id="152"/>
    <w:bookmarkStart w:id="153"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reducción de cortes por manifestación en CABA vs 2023 (IRPC))</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12,5 – 32,5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4,17 – 12,5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4,17</w:t>
            </w:r>
          </w:p>
        </w:tc>
        <w:tc>
          <w:tcPr>
            <w:shd w:val="clear" w:color="auto" w:fill="FEE2E2"/>
          </w:tcPr>
          <w:p>
            <w:pPr>
              <w:pStyle w:val="Compact"/>
              <w:jc w:val="center"/>
            </w:pPr>
            <w:r>
              <w:rPr>
                <w:b/>
                <w:sz w:val="18"/>
                <w:color w:val="7F1D1D"/>
              </w:rPr>
              <w:t xml:space="preserve">ROJO</w:t>
            </w:r>
          </w:p>
        </w:tc>
      </w:tr>
    </w:tbl>
    <w:bookmarkEnd w:id="153"/>
    <w:bookmarkStart w:id="154"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8"/>
        </w:numPr>
        <w:pStyle w:val="Compact"/>
      </w:pPr>
      <w:r>
        <w:t xml:space="preserve">240 cortes en CABA en 2025 vs 931 en 2023 (Diagnóstico Político; definición de piquete = Res. 943/23)</w:t>
      </w:r>
    </w:p>
    <w:bookmarkEnd w:id="154"/>
    <w:bookmarkStart w:id="155" w:name="color-vigente-y-por-qué-11"/>
    <w:p>
      <w:pPr>
        <w:pStyle w:val="Heading2"/>
        <w:keepNext/>
      </w:pPr>
      <w:r>
        <w:t xml:space="preserve">Color vigente y por qué</w:t>
      </w:r>
    </w:p>
    <w:p>
      <w:pPr>
        <w:pStyle w:val="FirstParagraph"/>
      </w:pPr>
      <w:r>
        <w:t xml:space="preserve">Dato vigente: 74,2 % de reducción de cortes por manifestación en CABA vs 2023 (IRPC) (2025-12).</w:t>
      </w:r>
    </w:p>
    <w:p>
      <w:pPr>
        <w:pStyle w:val="BodyText"/>
      </w:pPr>
      <w:r>
        <w:t xml:space="preserve">74,2 % de reducción de cortes por manifestación en CABA vs 2023 (IRPC) cae en el tramo que corresponde a Verde, a 41,7 del corte más cercano.</w:t>
      </w:r>
    </w:p>
    <w:p>
      <w:pPr>
        <w:pStyle w:val="BodyText"/>
      </w:pPr>
      <w:r>
        <w:rPr>
          <w:bCs/>
          <w:b/>
        </w:rPr>
        <w:t xml:space="preserve">Color vigente: VERDE</w:t>
      </w:r>
    </w:p>
    <w:p>
      <w:pPr>
        <w:pStyle w:val="BodyText"/>
      </w:pPr>
      <w:r>
        <w:t xml:space="preserve">Ponderación vigente en el ITCG: 6,7 % efectivo. El color es una lectura adicional — no reemplaza ni cambia esta ponderación.</w:t>
      </w:r>
    </w:p>
    <w:p>
      <w:pPr>
        <w:numPr>
          <w:ilvl w:val="0"/>
          <w:numId w:val="1059"/>
        </w:numPr>
        <w:pStyle w:val="Compact"/>
      </w:pPr>
      <w:r>
        <w:rPr>
          <w:bCs/>
          <w:b/>
        </w:rPr>
        <w:t xml:space="preserve">Participación en otros indicadores.</w:t>
      </w:r>
      <w:r>
        <w:t xml:space="preserve"> </w:t>
      </w:r>
      <w:r>
        <w:t xml:space="preserve">El seguimiento interno de eventos de protesta (ACLED) que mantiene el proyecto muestra que la protesta no desapareció — se reconvirtió a marchas sin corte; ese contraste informa la lectura de este indicador aunque ya no se publique como card propia.</w:t>
      </w:r>
    </w:p>
    <w:bookmarkEnd w:id="155"/>
    <w:bookmarkStart w:id="156" w:name="transparencia-limitaciones-declaradas-13"/>
    <w:p>
      <w:pPr>
        <w:pStyle w:val="Heading2"/>
        <w:keepNext/>
      </w:pPr>
      <w:r>
        <w:t xml:space="preserve">Transparencia — limitaciones declaradas</w:t>
      </w:r>
    </w:p>
    <w:p>
      <w:pPr>
        <w:numPr>
          <w:ilvl w:val="0"/>
          <w:numId w:val="1060"/>
        </w:numPr>
        <w:pStyle w:val="Compact"/>
      </w:pPr>
      <w:r>
        <w:t xml:space="preserve">Fuente privada sin microdatos abiertos: los anclajes se reconstruyen de cifras publicadas.</w:t>
      </w:r>
    </w:p>
    <w:p>
      <w:pPr>
        <w:numPr>
          <w:ilvl w:val="0"/>
          <w:numId w:val="1060"/>
        </w:numPr>
        <w:pStyle w:val="Compact"/>
      </w:pPr>
      <w:r>
        <w:t xml:space="preserve">Granularidad anual: el valor se arrastra todo el año hasta el anclaje siguiente.</w:t>
      </w:r>
    </w:p>
    <w:p>
      <w:pPr>
        <w:numPr>
          <w:ilvl w:val="0"/>
          <w:numId w:val="1060"/>
        </w:numPr>
        <w:pStyle w:val="Compact"/>
      </w:pPr>
      <w:r>
        <w:t xml:space="preserve">Estado judicial verificado: la nulidad de primera instancia fue revocada por la Cámara en lo Contencioso Administrativo Federal (marzo de 2026) — el protocolo es un acto válido y vigente.</w:t>
      </w:r>
    </w:p>
    <w:p>
      <w:pPr>
        <w:numPr>
          <w:ilvl w:val="0"/>
          <w:numId w:val="1060"/>
        </w:numPr>
        <w:pStyle w:val="Compact"/>
      </w:pPr>
      <w:r>
        <w:t xml:space="preserve">El registro histórico oficial de cortes del GCBA está fuera de servicio; el monitoreo propio de alertas de transporte acumula la serie que permitirá automatizar el dato.</w:t>
      </w:r>
    </w:p>
    <w:bookmarkEnd w:id="156"/>
    <w:bookmarkStart w:id="157" w:name="X71e32d4ef8852d7b89f89dfb87e3c31d8c54533"/>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Cae al valor de respaldo documentado; agotado eso, se mantiene el último valor disponible y los pesos se renormalizan.</w:t>
      </w:r>
    </w:p>
    <w:p>
      <w:pPr>
        <w:numPr>
          <w:ilvl w:val="0"/>
          <w:numId w:val="1061"/>
        </w:numPr>
      </w:pPr>
      <w:r>
        <w:rPr>
          <w:bCs/>
          <w:b/>
        </w:rPr>
        <w:t xml:space="preserve">Política de revisiones:</w:t>
      </w:r>
      <w:r>
        <w:t xml:space="preserve"> </w:t>
      </w:r>
      <w:r>
        <w:t xml:space="preserve">El registro se actualiza cuando la fuente publica el año nuevo (con aviso automático del detector).</w:t>
      </w:r>
    </w:p>
    <w:bookmarkEnd w:id="157"/>
    <w:bookmarkStart w:id="158" w:name="Xe97eb45c46db1c6f0b7a9d3dad61e7d604d0a09"/>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(55%, la foto 2024).</w:t>
      </w:r>
    </w:p>
    <w:p>
      <w:pPr>
        <w:pStyle w:val="BodyText"/>
      </w:pPr>
      <w:r>
        <w:rPr>
          <w:bCs/>
          <w:b/>
        </w:rPr>
        <w:t xml:space="preserve">2026-07-02</w:t>
      </w:r>
      <w:r>
        <w:t xml:space="preserve"> </w:t>
      </w:r>
      <w:r>
        <w:t xml:space="preserve">— Se crea el monitoreo propio de alertas de transporte como futura fuente automática.</w:t>
      </w:r>
    </w:p>
    <w:p>
      <w:pPr>
        <w:pStyle w:val="BodyText"/>
      </w:pPr>
      <w:r>
        <w:rPr>
          <w:bCs/>
          <w:b/>
        </w:rPr>
        <w:t xml:space="preserve">2026-07-03</w:t>
      </w:r>
      <w:r>
        <w:t xml:space="preserve"> </w:t>
      </w:r>
      <w:r>
        <w:t xml:space="preserve">— Automatizado con los anclajes anuales públicos de Diagnóstico Político; la corrección del año cerrado 2025 llevó el valor de 55% a 74,2%.</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58"/>
    <w:bookmarkEnd w:id="159"/>
    <w:bookmarkStart w:id="169" w:name="libertad-de-opción-en-salud"/>
    <w:p>
      <w:pPr>
        <w:pStyle w:val="Heading1"/>
        <w:keepNext/>
      </w:pPr>
      <w:r>
        <w:t xml:space="preserve">Libertad de opción en salud</w:t>
      </w:r>
    </w:p>
    <w:p>
      <w:pPr>
        <w:pStyle w:val="FirstParagraph"/>
      </w:pPr>
      <w:r>
        <w:t xml:space="preserve">Qué porcentaje de los usuarios de medicina prepaga tiene sus aportes derivados directo a la prepaga, inscripta como Agente del Seguro de Salud — el canal que creó el DNU 70/2023 al eliminar la triangulación obligatoria por una obra social.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31,8 % de usuarios de prepagas con aportes derivados directo (sin triangulación)</w:t>
            </w:r>
            <w:r>
              <w:rPr>
                <w:sz w:val="18"/>
              </w:rPr>
              <w:t xml:space="preserve"> </w:t>
            </w:r>
            <w:r>
              <w:rPr>
                <w:sz w:val="18"/>
              </w:rPr>
              <w:t xml:space="preserve">(2026-03)</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3,3 % del ITCG</w:t>
            </w:r>
          </w:p>
        </w:tc>
        <w:tc>
          <w:p>
            <w:pPr>
              <w:pStyle w:val="Compact"/>
              <w:jc w:val="left"/>
            </w:pPr>
            <w:r>
              <w:rPr>
                <w:sz w:val="18"/>
              </w:rPr>
              <w:t xml:space="preserve">Cinturón Gestión</w:t>
            </w:r>
          </w:p>
        </w:tc>
      </w:tr>
    </w:tbl>
    <w:bookmarkStart w:id="160"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libertad_opcion_salud</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social y orden</w:t>
            </w:r>
          </w:p>
        </w:tc>
        <w:tc>
          <w:p>
            <w:pPr>
              <w:pStyle w:val="Compact"/>
              <w:jc w:val="left"/>
            </w:pPr>
            <w:r>
              <w:rPr>
                <w:bCs/>
                <w:b/>
                <w:sz w:val="18"/>
              </w:rPr>
              <w:t xml:space="preserve">UNIDAD DE MEDIDA</w:t>
            </w:r>
          </w:p>
        </w:tc>
        <w:tc>
          <w:p>
            <w:pPr>
              <w:pStyle w:val="Compact"/>
              <w:jc w:val="left"/>
            </w:pPr>
            <w:r>
              <w:rPr>
                <w:sz w:val="18"/>
              </w:rPr>
              <w:t xml:space="preserve">% de usuarios de prepagas con aportes derivados directo (sin triangulación)</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2026-03 (28 puntos)</w:t>
            </w:r>
          </w:p>
        </w:tc>
        <w:tc>
          <w:p>
            <w:pPr>
              <w:pStyle w:val="Compact"/>
              <w:jc w:val="left"/>
            </w:pPr>
            <w:r>
              <w:rPr>
                <w:bCs/>
                <w:b/>
                <w:sz w:val="18"/>
              </w:rPr>
              <w:t xml:space="preserve">REZAGO DE PUBLICACIÓN</w:t>
            </w:r>
          </w:p>
        </w:tc>
        <w:tc>
          <w:p>
            <w:pPr>
              <w:pStyle w:val="Compact"/>
              <w:jc w:val="left"/>
            </w:pPr>
            <w:r>
              <w:rPr>
                <w:sz w:val="18"/>
              </w:rPr>
              <w:t xml:space="preserve">3-4 meses en el padrón principal; el denominador (usuarios de prepagas) corre con más rezago y se arrastra al último disponible.</w:t>
            </w:r>
          </w:p>
        </w:tc>
      </w:tr>
      <w:tr>
        <w:trPr>
          <w:cantSplit/>
        </w:trPr>
        <w:tc>
          <w:p>
            <w:pPr>
              <w:pStyle w:val="Compact"/>
              <w:jc w:val="left"/>
            </w:pPr>
            <w:r>
              <w:rPr>
                <w:bCs/>
                <w:b/>
                <w:sz w:val="18"/>
              </w:rPr>
              <w:t xml:space="preserve">PRODUCTOR DEL DATO</w:t>
            </w:r>
          </w:p>
        </w:tc>
        <w:tc>
          <w:p>
            <w:pPr>
              <w:pStyle w:val="Compact"/>
              <w:jc w:val="left"/>
            </w:pPr>
            <w:r>
              <w:rPr>
                <w:sz w:val="18"/>
              </w:rPr>
              <w:t xml:space="preserve">Superintendencia de Servicios de Salud</w:t>
            </w:r>
          </w:p>
        </w:tc>
        <w:tc>
          <w:p>
            <w:pPr>
              <w:pStyle w:val="Compact"/>
              <w:jc w:val="left"/>
            </w:pPr>
            <w:r>
              <w:rPr>
                <w:bCs/>
                <w:b/>
                <w:sz w:val="18"/>
              </w:rPr>
              <w:t xml:space="preserve">OPERACIÓN ESTADÍSTICA</w:t>
            </w:r>
          </w:p>
        </w:tc>
        <w:tc>
          <w:p>
            <w:pPr>
              <w:pStyle w:val="Compact"/>
              <w:jc w:val="left"/>
            </w:pPr>
            <w:r>
              <w:rPr>
                <w:sz w:val="18"/>
              </w:rPr>
              <w:t xml:space="preserve">Padrones oficiales: beneficiarios por Agente del Seguro de Salud (RNAS) y usuarios de entidades de medicina prepaga (RNEMP)</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las planillas oficiales; las prepagas inscriptas como Agentes del Seguro se identifican por su rango de código de registro (canal creado por el DNU 70/2023).</w:t>
            </w:r>
          </w:p>
        </w:tc>
        <w:tc>
          <w:p>
            <w:pPr>
              <w:pStyle w:val="Compact"/>
              <w:jc w:val="left"/>
            </w:pPr>
            <w:r>
              <w:rPr>
                <w:bCs/>
                <w:b/>
                <w:sz w:val="18"/>
              </w:rPr>
              <w:t xml:space="preserve">ÚLTIMA ACTUALIZACIÓN</w:t>
            </w:r>
          </w:p>
        </w:tc>
        <w:tc>
          <w:p>
            <w:pPr>
              <w:pStyle w:val="Compact"/>
              <w:jc w:val="left"/>
            </w:pPr>
            <w:r>
              <w:rPr>
                <w:sz w:val="18"/>
              </w:rPr>
              <w:t xml:space="preserve">Dato a 2026-03 · informe generado el 2026-08-09</w:t>
            </w:r>
          </w:p>
        </w:tc>
      </w:tr>
    </w:tbl>
    <w:bookmarkEnd w:id="160"/>
    <w:bookmarkStart w:id="161" w:name="definición-qué-mide-y-por-qué-importa-14"/>
    <w:p>
      <w:pPr>
        <w:pStyle w:val="Heading2"/>
        <w:keepNext/>
      </w:pPr>
      <w:r>
        <w:t xml:space="preserve">Definición — qué mide y por qué importa</w:t>
      </w:r>
    </w:p>
    <w:p>
      <w:pPr>
        <w:pStyle w:val="FirstParagraph"/>
      </w:pPr>
      <w:r>
        <w:t xml:space="preserve">Qué porcentaje de los usuarios de medicina prepaga tiene sus aportes derivados directo a la prepaga, inscripta como Agente del Seguro de Salud — el canal que creó el DNU 70/2023 al eliminar la triangulación obligatoria por una obra social.</w:t>
      </w:r>
    </w:p>
    <w:p>
      <w:pPr>
        <w:pStyle w:val="BodyText"/>
      </w:pPr>
      <w:r>
        <w:t xml:space="preserve">Mide la adopción real de la libre elección con los padrones oficiales de la SSS (RNAS y RNEMP): antes de la reforma este canal no existía; a marzo de 2026 lo usan 2,66 millones de personas en 59 prepagas inscriptas.</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61"/>
    <w:bookmarkStart w:id="162" w:name="método-de-cómputo-14"/>
    <w:p>
      <w:pPr>
        <w:pStyle w:val="Heading2"/>
        <w:keepNext/>
      </w:pPr>
      <w:r>
        <w:t xml:space="preserve">Método de cómputo</w:t>
      </w:r>
    </w:p>
    <w:p>
      <w:pPr>
        <w:numPr>
          <w:ilvl w:val="0"/>
          <w:numId w:val="1062"/>
        </w:numPr>
        <w:pStyle w:val="Compact"/>
      </w:pPr>
      <w:r>
        <w:t xml:space="preserve">Porcentaje = beneficiarios con aportes derivados directo a prepagas inscriptas / usuarios totales de prepagas.</w:t>
      </w:r>
    </w:p>
    <w:bookmarkEnd w:id="162"/>
    <w:bookmarkStart w:id="163"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usuarios de prepagas con aportes derivados directo (sin triangulación))</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20 – 36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13,33 – 20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13,33</w:t>
            </w:r>
          </w:p>
        </w:tc>
        <w:tc>
          <w:tcPr>
            <w:shd w:val="clear" w:color="auto" w:fill="FEE2E2"/>
          </w:tcPr>
          <w:p>
            <w:pPr>
              <w:pStyle w:val="Compact"/>
              <w:jc w:val="center"/>
            </w:pPr>
            <w:r>
              <w:rPr>
                <w:b/>
                <w:sz w:val="18"/>
                <w:color w:val="7F1D1D"/>
              </w:rPr>
              <w:t xml:space="preserve">ROJO</w:t>
            </w:r>
          </w:p>
        </w:tc>
      </w:tr>
    </w:tbl>
    <w:bookmarkEnd w:id="163"/>
    <w:bookmarkStart w:id="164"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3"/>
        </w:numPr>
        <w:pStyle w:val="Compact"/>
      </w:pPr>
      <w:r>
        <w:t xml:space="preserve">2.660.767 beneficiarios derivados directo a 59 prepagas inscriptas (03/2026) / 8.369.312 usuarios de prepagas (RNEMP 01/2026); canal inexistente pre-DNU 70/23</w:t>
      </w:r>
    </w:p>
    <w:bookmarkEnd w:id="164"/>
    <w:bookmarkStart w:id="165" w:name="color-vigente-y-por-qué-12"/>
    <w:p>
      <w:pPr>
        <w:pStyle w:val="Heading2"/>
        <w:keepNext/>
      </w:pPr>
      <w:r>
        <w:t xml:space="preserve">Color vigente y por qué</w:t>
      </w:r>
    </w:p>
    <w:p>
      <w:pPr>
        <w:pStyle w:val="FirstParagraph"/>
      </w:pPr>
      <w:r>
        <w:t xml:space="preserve">Dato vigente: 31,8 % de usuarios de prepagas con aportes derivados directo (sin triangulación) (2026-03).</w:t>
      </w:r>
    </w:p>
    <w:p>
      <w:pPr>
        <w:pStyle w:val="BodyText"/>
      </w:pPr>
      <w:r>
        <w:t xml:space="preserve">31,8 % de usuarios de prepagas con aportes derivados directo (sin triangulación) cae en el tramo que corresponde a Amarillo, a 4,2 del corte más cercano.</w:t>
      </w:r>
    </w:p>
    <w:p>
      <w:pPr>
        <w:pStyle w:val="BodyText"/>
      </w:pPr>
      <w:r>
        <w:rPr>
          <w:bCs/>
          <w:b/>
        </w:rPr>
        <w:t xml:space="preserve">Color vigente: AMARILLO</w:t>
      </w:r>
    </w:p>
    <w:p>
      <w:pPr>
        <w:pStyle w:val="BodyText"/>
      </w:pPr>
      <w:r>
        <w:t xml:space="preserve">Ponderación vigente en el ITCG: 3,3 % efectivo. El color es una lectura adicional — no reemplaza ni cambia esta ponderación.</w:t>
      </w:r>
    </w:p>
    <w:bookmarkEnd w:id="165"/>
    <w:bookmarkStart w:id="166" w:name="transparencia-limitaciones-declaradas-14"/>
    <w:p>
      <w:pPr>
        <w:pStyle w:val="Heading2"/>
        <w:keepNext/>
      </w:pPr>
      <w:r>
        <w:t xml:space="preserve">Transparencia — limitaciones declaradas</w:t>
      </w:r>
    </w:p>
    <w:p>
      <w:pPr>
        <w:numPr>
          <w:ilvl w:val="0"/>
          <w:numId w:val="1064"/>
        </w:numPr>
        <w:pStyle w:val="Compact"/>
      </w:pPr>
      <w:r>
        <w:t xml:space="preserve">Numerador y denominador salen de registros distintos con rezagos distintos, declarado en el dato.</w:t>
      </w:r>
    </w:p>
    <w:p>
      <w:pPr>
        <w:numPr>
          <w:ilvl w:val="0"/>
          <w:numId w:val="1064"/>
        </w:numPr>
        <w:pStyle w:val="Compact"/>
      </w:pPr>
      <w:r>
        <w:t xml:space="preserve">Mide la derivación directa de aportes, una parte de la «libertad de opción» — no toda la reforma del sistema.</w:t>
      </w:r>
    </w:p>
    <w:p>
      <w:pPr>
        <w:numPr>
          <w:ilvl w:val="0"/>
          <w:numId w:val="1064"/>
        </w:numPr>
        <w:pStyle w:val="Compact"/>
      </w:pPr>
      <w:r>
        <w:t xml:space="preserve">El contador histórico de traspasos del sitio oficial sigue fuera de servicio; este indicador lo reemplaza con otra semántica.</w:t>
      </w:r>
    </w:p>
    <w:bookmarkEnd w:id="166"/>
    <w:bookmarkStart w:id="167" w:name="X02964bd421b6ce1686f5e02f1f98c7c34b51012"/>
    <w:p>
      <w:pPr>
        <w:pStyle w:val="Heading2"/>
        <w:keepNext/>
      </w:pPr>
      <w:r>
        <w:t xml:space="preserve">Si falta el dato / Política de revisiones</w:t>
      </w:r>
    </w:p>
    <w:p>
      <w:pPr>
        <w:numPr>
          <w:ilvl w:val="0"/>
          <w:numId w:val="1065"/>
        </w:numPr>
      </w:pPr>
      <w:r>
        <w:rPr>
          <w:bCs/>
          <w:b/>
        </w:rPr>
        <w:t xml:space="preserve">Si falta el dato:</w:t>
      </w:r>
      <w:r>
        <w:t xml:space="preserve"> </w:t>
      </w:r>
      <w:r>
        <w:t xml:space="preserve">Cae al valor de respaldo documentado con fecha; agotado eso, se mantiene el último valor disponible y los pesos se renormalizan.</w:t>
      </w:r>
    </w:p>
    <w:p>
      <w:pPr>
        <w:numPr>
          <w:ilvl w:val="0"/>
          <w:numId w:val="1065"/>
        </w:numPr>
      </w:pPr>
      <w:r>
        <w:rPr>
          <w:bCs/>
          <w:b/>
        </w:rPr>
        <w:t xml:space="preserve">Política de revisiones:</w:t>
      </w:r>
      <w:r>
        <w:t xml:space="preserve"> </w:t>
      </w:r>
      <w:r>
        <w:t xml:space="preserve">Las planillas anuales se releen completas en cada actualización (la fuente puede revisar meses hacia atrás).</w:t>
      </w:r>
    </w:p>
    <w:bookmarkEnd w:id="167"/>
    <w:bookmarkStart w:id="168" w:name="Xfec2c1dec879a8614d6605057a6efcb2a0b1de1"/>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la fuente en línea estaba bloqueada.</w:t>
      </w:r>
    </w:p>
    <w:p>
      <w:pPr>
        <w:pStyle w:val="BodyText"/>
      </w:pPr>
      <w:r>
        <w:rPr>
          <w:bCs/>
          <w:b/>
        </w:rPr>
        <w:t xml:space="preserve">2026-07-02</w:t>
      </w:r>
      <w:r>
        <w:t xml:space="preserve"> </w:t>
      </w:r>
      <w:r>
        <w:t xml:space="preserve">— Automatizado con los padrones oficiales de beneficiarios y usuarios.</w:t>
      </w:r>
    </w:p>
    <w:bookmarkEnd w:id="168"/>
    <w:bookmarkEnd w:id="169"/>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Gestión</dc:title>
  <dc:creator>Fundación CIGOB</dc:creator>
  <cp:keywords/>
  <dcterms:created xsi:type="dcterms:W3CDTF">2026-08-09T18:27:37Z</dcterms:created>
  <dcterms:modified xsi:type="dcterms:W3CDTF">2026-08-09T18:27:37Z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