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BankLite — Evidencias de funcionamiento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Identity Service y Account Service — comunicación síncrona y asíncrona</w:t>
      </w:r>
    </w:p>
    <w:p>
      <w:pPr>
        <w:spacing w:after="360"/>
        <w:jc w:val="center"/>
      </w:pPr>
      <w:r>
        <w:rPr>
          <w:color w:val="777777"/>
          <w:sz w:val="22"/>
          <w:szCs w:val="22"/>
        </w:rPr>
        <w:t xml:space="preserve">Juan David Rhenals Florez — Arquitectura y Modelamiento de Software</w:t>
      </w:r>
    </w:p>
    <w:p>
      <w:pPr>
        <w:spacing w:after="160"/>
      </w:pPr>
      <w:r>
        <w:rPr>
          <w:sz w:val="22"/>
          <w:szCs w:val="22"/>
        </w:rPr>
        <w:t xml:space="preserve">Este documento reúne la evidencia de funcionamiento de los dos microservicios entregados: identity-service (registro de usuarios y verificación KYC) y account-service (apertura de cuentas). Se muestra el entorno local levantado con Docker, la publicación del repositorio en GitHub, y las pruebas de cada endpoint mediante la documentación interactiva (Swagger) que expone FastAPI.</w:t>
      </w:r>
    </w:p>
    <w:p>
      <w:pPr>
        <w:pStyle w:val="Heading2"/>
        <w:spacing w:after="120" w:before="360"/>
      </w:pPr>
      <w:r>
        <w:t xml:space="preserve">1. Entorno local levantado con Docker</w:t>
      </w:r>
    </w:p>
    <w:p>
      <w:pPr>
        <w:spacing w:after="160"/>
      </w:pPr>
      <w:r>
        <w:rPr>
          <w:sz w:val="22"/>
          <w:szCs w:val="22"/>
        </w:rPr>
        <w:t xml:space="preserve">Los cinco contenedores del proyecto corriendo simultáneamente: las dos bases de datos PostgreSQL (una por servicio), RabbitMQ, y los dos microservicios.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Docker Desktop mostrando los contenedores del proyecto en ejecución.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Salida de "docker compose ps": los cinco servicios en estado Up, con sus puertos mapeados (8001 identity-service, 8002 account-service, 5672/15672 RabbitMQ, 5433/5434 las bases de datos).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Logs en vivo del contenedor: se observa la conexión de account-service a RabbitMQ y el mensaje "Escuchando identity.verified en la cola account.identity-verified", confirmando que el consumidor asíncrono quedó activo.</w:t>
      </w:r>
    </w:p>
    <w:p>
      <w:pPr>
        <w:pStyle w:val="Heading2"/>
        <w:spacing w:after="120" w:before="360"/>
      </w:pPr>
      <w:r>
        <w:t xml:space="preserve">2. Repositorio publicado en GitHub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Repositorio banklite-microservicios creado en GitHub, listo para recibir el código fuente mediante commits incrementales.</w:t>
      </w:r>
    </w:p>
    <w:p>
      <w:pPr>
        <w:pStyle w:val="Heading2"/>
        <w:spacing w:after="120" w:before="360"/>
      </w:pPr>
      <w:r>
        <w:t xml:space="preserve">3. Identity Service — pruebas de endpoints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POST /users — registrar usuario (validación de entrada)</w:t>
      </w:r>
    </w:p>
    <w:p>
      <w:pPr>
        <w:spacing w:after="160"/>
      </w:pPr>
      <w:r>
        <w:rPr>
          <w:sz w:val="22"/>
          <w:szCs w:val="22"/>
        </w:rPr>
        <w:t xml:space="preserve">Primer intento con un correo mal formado (dos puntos seguidos). El servicio responde 422 y detalla el campo inválido, demostrando la validación de datos de entrada exigida.</w:t>
      </w:r>
    </w:p>
    <w:p>
      <w:pPr>
        <w:spacing w:before="120"/>
        <w:jc w:val="center"/>
      </w:pPr>
      <w:r>
        <w:drawing>
          <wp:inline distT="0" distB="0" distL="0" distR="0">
            <wp:extent cx="4381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Respuesta 422 Unprocessable Entity ante un correo electrónico inválido.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POST /users — registro exitoso</w:t>
      </w:r>
    </w:p>
    <w:p>
      <w:pPr>
        <w:spacing w:after="160"/>
      </w:pPr>
      <w:r>
        <w:rPr>
          <w:sz w:val="22"/>
          <w:szCs w:val="22"/>
        </w:rPr>
        <w:t xml:space="preserve">Con los datos corregidos, el servicio crea el usuario y responde 201, devolviendo su identificador (UUID) y estado inicial pending_verification.</w:t>
      </w:r>
    </w:p>
    <w:p>
      <w:pPr>
        <w:spacing w:before="120"/>
        <w:jc w:val="center"/>
      </w:pPr>
      <w:r>
        <w:drawing>
          <wp:inline distT="0" distB="0" distL="0" distR="0">
            <wp:extent cx="4381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Respuesta 201 Created con el usuario registrado.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POST /users/{id}/kyc — manejo de errores (404)</w:t>
      </w:r>
    </w:p>
    <w:p>
      <w:pPr>
        <w:spacing w:after="160"/>
      </w:pPr>
      <w:r>
        <w:rPr>
          <w:sz w:val="22"/>
          <w:szCs w:val="22"/>
        </w:rPr>
        <w:t xml:space="preserve">Al intentar verificar un identificador de usuario inexistente, el servicio responde 404 con un mensaje explícito, en lugar de fallar silenciosamente.</w:t>
      </w:r>
    </w:p>
    <w:p>
      <w:pPr>
        <w:spacing w:before="120"/>
        <w:jc w:val="center"/>
      </w:pPr>
      <w:r>
        <w:drawing>
          <wp:inline distT="0" distB="0" distL="0" distR="0">
            <wp:extent cx="43815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Respuesta 404 Not Found ante un user_id que no existe.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POST /users/{id}/kyc — verificación aprobada y publicación del evento</w:t>
      </w:r>
    </w:p>
    <w:p>
      <w:pPr>
        <w:spacing w:after="160"/>
      </w:pPr>
      <w:r>
        <w:rPr>
          <w:sz w:val="22"/>
          <w:szCs w:val="22"/>
        </w:rPr>
        <w:t xml:space="preserve">Con el usuario correcto, el proveedor KYC simulado aprueba la verificación: el estado del usuario pasa a verified y event_published queda en true, confirmando que el evento identity.verified se publicó y fue confirmado por RabbitMQ (publisher confirm).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Respuesta 200 con la verificación aprobada y el evento publicado.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Documentación completa del servicio</w:t>
      </w:r>
    </w:p>
    <w:p>
      <w:pPr>
        <w:spacing w:after="160"/>
      </w:pPr>
      <w:r>
        <w:rPr>
          <w:sz w:val="22"/>
          <w:szCs w:val="22"/>
        </w:rPr>
        <w:t xml:space="preserve">Vista general de todos los endpoints expuestos por identity-service, agrupados por responsabilidad (users, infra), generada automáticamente por FastAPI a partir del código.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Listado completo de endpoints de identity-service en Swagger UI.</w:t>
      </w:r>
    </w:p>
    <w:p>
      <w:pPr>
        <w:pStyle w:val="Heading2"/>
        <w:spacing w:after="120" w:before="360"/>
      </w:pPr>
      <w:r>
        <w:t xml:space="preserve">4. Account Service — comunicación asíncrona y síncrona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GET /verified-users — evidencia de la comunicación ASÍNCRONA</w:t>
      </w:r>
    </w:p>
    <w:p>
      <w:pPr>
        <w:spacing w:after="160"/>
      </w:pPr>
      <w:r>
        <w:rPr>
          <w:sz w:val="22"/>
          <w:szCs w:val="22"/>
        </w:rPr>
        <w:t xml:space="preserve">Esta tabla se alimenta exclusivamente del evento identity.verified consumido desde RabbitMQ. Que el usuario aparezca aquí, sin que account-service haya llamado directamente a identity-service, prueba que el mensaje viajó correctamente entre ambos microservicios a través del bus de eventos.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Proyección local en account-service, alimentada por el evento asíncrono.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POST /accounts — comunicación SÍNCRONA + reglas de negocio</w:t>
      </w:r>
    </w:p>
    <w:p>
      <w:pPr>
        <w:spacing w:after="160"/>
      </w:pPr>
      <w:r>
        <w:rPr>
          <w:sz w:val="22"/>
          <w:szCs w:val="22"/>
        </w:rPr>
        <w:t xml:space="preserve">Al abrir la cuenta, account-service consulta en tiempo real (REST síncrono) el estado del usuario en identity-service antes de crear cualquier registro. La respuesta confirma las tres piezas exigidas en una sola operación: validated_via indica la llamada síncrona realizada, event_projection_hit confirma que ya contaba con la información del evento asíncrono, y los límites (currency, daily_limit, monthly_limit) reflejan la regla regulatoria aplicada según el país del usuario (Colombia).</w:t>
      </w:r>
    </w:p>
    <w:p>
      <w:pPr>
        <w:spacing w:before="120"/>
        <w:jc w:val="center"/>
      </w:pPr>
      <w:r>
        <w:drawing>
          <wp:inline distT="0" distB="0" distL="0" distR="0">
            <wp:extent cx="5334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</w:pPr>
      <w:r>
        <w:rPr>
          <w:i/>
          <w:iCs/>
          <w:color w:val="555555"/>
          <w:sz w:val="20"/>
          <w:szCs w:val="20"/>
        </w:rPr>
        <w:t xml:space="preserve">Respuesta 201 con la cuenta creada, validada de forma síncrona y con los límites regulatorios de Colombia.</w:t>
      </w:r>
    </w:p>
    <w:p>
      <w:pPr>
        <w:pStyle w:val="Heading2"/>
        <w:spacing w:after="120" w:before="360"/>
      </w:pPr>
      <w:r>
        <w:t xml:space="preserve">5. Resumen de cobertura</w:t>
      </w:r>
    </w:p>
    <w:p>
      <w:pPr>
        <w:spacing w:after="160"/>
      </w:pPr>
      <w:r>
        <w:rPr>
          <w:sz w:val="22"/>
          <w:szCs w:val="22"/>
        </w:rPr>
        <w:t xml:space="preserve">Códigos HTTP demostrados: 200 (consulta y verificación exitosas), 201 (creación de usuario y cuenta), 404 (recurso inexistente), 422 (validación de entrada). Comunicación síncrona demostrada mediante la llamada REST de account-service a identity-service antes de abrir una cuenta. Comunicación asíncrona demostrada mediante la publicación y el consumo del evento identity.verified a través de RabbitMQ, con cola y exchange durables y confirmación de entrega.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d834b484a3c6be41a6e9258c297e69fda8f87a.png"/><Relationship Id="rId8" Type="http://schemas.openxmlformats.org/officeDocument/2006/relationships/image" Target="media/71eba19d15a15e5bcb38a7cf64998460472cc69e.png"/><Relationship Id="rId9" Type="http://schemas.openxmlformats.org/officeDocument/2006/relationships/image" Target="media/bd6e25bc37625c43aa6028d70e71b70383532d31.png"/><Relationship Id="rId10" Type="http://schemas.openxmlformats.org/officeDocument/2006/relationships/image" Target="media/c3a2287111ffbfcf74c96dca5d7316da30fa7a2f.png"/><Relationship Id="rId11" Type="http://schemas.openxmlformats.org/officeDocument/2006/relationships/image" Target="media/df8520f0b7259c9e6b8212fadb671029c74cee29.png"/><Relationship Id="rId12" Type="http://schemas.openxmlformats.org/officeDocument/2006/relationships/image" Target="media/44dcbd7905d51d8d50e81c4d7a6fe3f424ee8827.png"/><Relationship Id="rId13" Type="http://schemas.openxmlformats.org/officeDocument/2006/relationships/image" Target="media/31a91040b49e5d6e89a67aba98cafd6087afdd1d.png"/><Relationship Id="rId14" Type="http://schemas.openxmlformats.org/officeDocument/2006/relationships/image" Target="media/603317bd9713c8488f45e63102a5efb38c620db0.png"/><Relationship Id="rId15" Type="http://schemas.openxmlformats.org/officeDocument/2006/relationships/image" Target="media/25685281d27a3603dfa407f7e41abb7c76f707b5.png"/><Relationship Id="rId16" Type="http://schemas.openxmlformats.org/officeDocument/2006/relationships/image" Target="media/2b9eeae39f291abab582b1bdac601c7609b92682.png"/><Relationship Id="rId17" Type="http://schemas.openxmlformats.org/officeDocument/2006/relationships/image" Target="media/95b1f5fd61e1e9eab7fc541b7988409deda0376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2026-09-16T20:45:49.028Z</dcterms:created>
  <dcterms:modified xsi:type="dcterms:W3CDTF">2026-09-16T20:45:49.028Z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