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157B4" w14:textId="77777777" w:rsidR="00077701" w:rsidRDefault="003D39E7">
      <w:pPr>
        <w:spacing w:before="1200"/>
        <w:jc w:val="center"/>
      </w:pPr>
      <w:r>
        <w:rPr>
          <w:b/>
          <w:bCs/>
          <w:color w:val="39A900"/>
          <w:sz w:val="24"/>
          <w:szCs w:val="24"/>
        </w:rPr>
        <w:t>SERVICIO NACIONAL DE APRENDIZAJE · SENA</w:t>
      </w:r>
    </w:p>
    <w:p w14:paraId="2DCE74FA" w14:textId="77777777" w:rsidR="00077701" w:rsidRDefault="003D39E7">
      <w:pPr>
        <w:jc w:val="center"/>
      </w:pPr>
      <w:r>
        <w:rPr>
          <w:color w:val="444444"/>
          <w:sz w:val="20"/>
          <w:szCs w:val="20"/>
        </w:rPr>
        <w:t>Centro de Gestión de Mercados, Logística y Tecnologías de la Información · Bogotá D.C.</w:t>
      </w:r>
    </w:p>
    <w:p w14:paraId="646A5377" w14:textId="77777777" w:rsidR="00077701" w:rsidRDefault="003D39E7">
      <w:pPr>
        <w:spacing w:before="60"/>
        <w:jc w:val="center"/>
      </w:pPr>
      <w:r>
        <w:rPr>
          <w:color w:val="444444"/>
          <w:sz w:val="20"/>
          <w:szCs w:val="20"/>
        </w:rPr>
        <w:t>Tecnólogo en Análisis y Desarrollo de Software · Ficha 3311983</w:t>
      </w:r>
    </w:p>
    <w:p w14:paraId="5E10E25B" w14:textId="77777777" w:rsidR="00077701" w:rsidRDefault="003D39E7">
      <w:pPr>
        <w:spacing w:before="1800"/>
        <w:jc w:val="center"/>
      </w:pPr>
      <w:r>
        <w:rPr>
          <w:b/>
          <w:bCs/>
          <w:color w:val="444444"/>
          <w:sz w:val="22"/>
          <w:szCs w:val="22"/>
        </w:rPr>
        <w:t>DOCUMENTO 3</w:t>
      </w:r>
    </w:p>
    <w:p w14:paraId="48C8AD00" w14:textId="77777777" w:rsidR="00077701" w:rsidRDefault="003D39E7">
      <w:pPr>
        <w:spacing w:before="200"/>
        <w:jc w:val="center"/>
      </w:pPr>
      <w:r>
        <w:rPr>
          <w:b/>
          <w:bCs/>
          <w:color w:val="1E5C00"/>
          <w:sz w:val="48"/>
          <w:szCs w:val="48"/>
        </w:rPr>
        <w:t xml:space="preserve">Arquitectura y </w:t>
      </w:r>
      <w:proofErr w:type="spellStart"/>
      <w:r>
        <w:rPr>
          <w:b/>
          <w:bCs/>
          <w:color w:val="1E5C00"/>
          <w:sz w:val="48"/>
          <w:szCs w:val="48"/>
        </w:rPr>
        <w:t>Stack</w:t>
      </w:r>
      <w:proofErr w:type="spellEnd"/>
      <w:r>
        <w:rPr>
          <w:b/>
          <w:bCs/>
          <w:color w:val="1E5C00"/>
          <w:sz w:val="48"/>
          <w:szCs w:val="48"/>
        </w:rPr>
        <w:t xml:space="preserve"> Tecnológico</w:t>
      </w:r>
    </w:p>
    <w:p w14:paraId="55A1C113" w14:textId="77777777" w:rsidR="00077701" w:rsidRDefault="003D39E7">
      <w:pPr>
        <w:spacing w:before="240"/>
        <w:jc w:val="center"/>
      </w:pPr>
      <w:r>
        <w:rPr>
          <w:color w:val="212121"/>
          <w:sz w:val="26"/>
          <w:szCs w:val="26"/>
        </w:rPr>
        <w:t>Componentes, flujo de datos y justificación técnica</w:t>
      </w:r>
    </w:p>
    <w:p w14:paraId="3978DB35" w14:textId="77777777" w:rsidR="00077701" w:rsidRDefault="003D39E7">
      <w:pPr>
        <w:spacing w:before="1800"/>
        <w:jc w:val="center"/>
      </w:pPr>
      <w:proofErr w:type="spellStart"/>
      <w:r>
        <w:rPr>
          <w:b/>
          <w:bCs/>
          <w:i/>
          <w:iCs/>
          <w:color w:val="39A900"/>
          <w:sz w:val="24"/>
          <w:szCs w:val="24"/>
        </w:rPr>
        <w:t>AsistenciaApp</w:t>
      </w:r>
      <w:proofErr w:type="spellEnd"/>
    </w:p>
    <w:p w14:paraId="6C7E49E8" w14:textId="77777777" w:rsidR="00077701" w:rsidRDefault="003D39E7">
      <w:pPr>
        <w:jc w:val="center"/>
      </w:pPr>
      <w:r>
        <w:rPr>
          <w:i/>
          <w:iCs/>
          <w:color w:val="444444"/>
          <w:sz w:val="20"/>
          <w:szCs w:val="20"/>
        </w:rPr>
        <w:t>Sistema de control de asistencia con lector de huella digital</w:t>
      </w:r>
    </w:p>
    <w:p w14:paraId="43E63853" w14:textId="77777777" w:rsidR="00077701" w:rsidRDefault="003D39E7">
      <w:pPr>
        <w:spacing w:before="1400"/>
        <w:jc w:val="center"/>
      </w:pPr>
      <w:r>
        <w:rPr>
          <w:b/>
          <w:bCs/>
          <w:sz w:val="20"/>
          <w:szCs w:val="20"/>
        </w:rPr>
        <w:t>Equipo de desarrollo</w:t>
      </w:r>
    </w:p>
    <w:p w14:paraId="720BA97B" w14:textId="77777777" w:rsidR="00077701" w:rsidRDefault="003D39E7">
      <w:pPr>
        <w:jc w:val="center"/>
      </w:pPr>
      <w:r>
        <w:rPr>
          <w:sz w:val="20"/>
          <w:szCs w:val="20"/>
        </w:rPr>
        <w:t>Juan Sebastián Soto Moreno · Julieth Camila Peña Mahecha · Julián Felipe B</w:t>
      </w:r>
      <w:r>
        <w:rPr>
          <w:sz w:val="20"/>
          <w:szCs w:val="20"/>
        </w:rPr>
        <w:t xml:space="preserve">ecerra </w:t>
      </w:r>
      <w:proofErr w:type="spellStart"/>
      <w:r>
        <w:rPr>
          <w:sz w:val="20"/>
          <w:szCs w:val="20"/>
        </w:rPr>
        <w:t>Villalobo</w:t>
      </w:r>
      <w:proofErr w:type="spellEnd"/>
    </w:p>
    <w:p w14:paraId="4471D203" w14:textId="77777777" w:rsidR="00077701" w:rsidRDefault="003D39E7">
      <w:pPr>
        <w:jc w:val="center"/>
      </w:pPr>
      <w:r>
        <w:rPr>
          <w:sz w:val="20"/>
          <w:szCs w:val="20"/>
        </w:rPr>
        <w:t>Santiago Bermúdez Torres · Yordan Hernando Méndez Beltrán</w:t>
      </w:r>
    </w:p>
    <w:p w14:paraId="5D24E994" w14:textId="77777777" w:rsidR="00077701" w:rsidRDefault="003D39E7">
      <w:pPr>
        <w:spacing w:before="1000"/>
        <w:jc w:val="center"/>
      </w:pPr>
      <w:r>
        <w:rPr>
          <w:color w:val="444444"/>
          <w:sz w:val="20"/>
          <w:szCs w:val="20"/>
        </w:rPr>
        <w:t>Bogotá D.C. · 2026</w:t>
      </w:r>
    </w:p>
    <w:p w14:paraId="6C21B5BE" w14:textId="77777777" w:rsidR="00077701" w:rsidRDefault="003D39E7">
      <w:r>
        <w:br w:type="page"/>
      </w:r>
    </w:p>
    <w:p w14:paraId="64463833" w14:textId="77777777" w:rsidR="00077701" w:rsidRDefault="003D39E7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1. Introducción</w:t>
      </w:r>
    </w:p>
    <w:p w14:paraId="74E6F83B" w14:textId="77777777" w:rsidR="00077701" w:rsidRDefault="003D39E7">
      <w:pPr>
        <w:spacing w:after="140" w:line="300" w:lineRule="auto"/>
        <w:jc w:val="both"/>
      </w:pPr>
      <w:r>
        <w:rPr>
          <w:color w:val="212121"/>
        </w:rPr>
        <w:t xml:space="preserve">Este documento describe la arquitectura de componentes de </w:t>
      </w:r>
      <w:proofErr w:type="spellStart"/>
      <w:r>
        <w:rPr>
          <w:color w:val="212121"/>
        </w:rPr>
        <w:t>AsistenciaApp</w:t>
      </w:r>
      <w:proofErr w:type="spellEnd"/>
      <w:r>
        <w:rPr>
          <w:color w:val="212121"/>
        </w:rPr>
        <w:t xml:space="preserve">, el flujo de datos entre ellos —incluyendo el protocolo propietario del hardware biométrico real—, la justificación de cada tecnología empleada y el modelo entidad-relación de la base </w:t>
      </w:r>
      <w:r>
        <w:rPr>
          <w:color w:val="212121"/>
        </w:rPr>
        <w:t>de datos.</w:t>
      </w:r>
    </w:p>
    <w:p w14:paraId="5BCDEB5D" w14:textId="77777777" w:rsidR="00077701" w:rsidRDefault="003D39E7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2. Arquitectura de componentes</w:t>
      </w:r>
    </w:p>
    <w:p w14:paraId="05CB3969" w14:textId="77777777" w:rsidR="00077701" w:rsidRDefault="003D39E7">
      <w:pPr>
        <w:spacing w:after="140" w:line="300" w:lineRule="auto"/>
        <w:jc w:val="both"/>
      </w:pPr>
      <w:r>
        <w:rPr>
          <w:color w:val="212121"/>
        </w:rPr>
        <w:t xml:space="preserve">El sistema sigue una arquitectura de tres capas con un componente adicional de hardware biométrico. El </w:t>
      </w:r>
      <w:proofErr w:type="spellStart"/>
      <w:r>
        <w:rPr>
          <w:color w:val="212121"/>
        </w:rPr>
        <w:t>backend</w:t>
      </w:r>
      <w:proofErr w:type="spellEnd"/>
      <w:r>
        <w:rPr>
          <w:color w:val="212121"/>
        </w:rPr>
        <w:t xml:space="preserve"> (Node.js/Express) centraliza toda la lógica de negocio y expone dos superficies de entrada independiente</w:t>
      </w:r>
      <w:r>
        <w:rPr>
          <w:color w:val="212121"/>
        </w:rPr>
        <w:t xml:space="preserve">s para las marcaciones de asistencia: un contrato simple autenticado por clave de API, pensado para el lector simulado (/api/lector/*), y una implementación completa del protocolo propietario PUSH/ADMS de </w:t>
      </w:r>
      <w:proofErr w:type="spellStart"/>
      <w:r>
        <w:rPr>
          <w:color w:val="212121"/>
        </w:rPr>
        <w:t>ZKTeco</w:t>
      </w:r>
      <w:proofErr w:type="spellEnd"/>
      <w:r>
        <w:rPr>
          <w:color w:val="212121"/>
        </w:rPr>
        <w:t xml:space="preserve"> (/</w:t>
      </w:r>
      <w:proofErr w:type="spellStart"/>
      <w:r>
        <w:rPr>
          <w:color w:val="212121"/>
        </w:rPr>
        <w:t>iclock</w:t>
      </w:r>
      <w:proofErr w:type="spellEnd"/>
      <w:r>
        <w:rPr>
          <w:color w:val="212121"/>
        </w:rPr>
        <w:t xml:space="preserve">/*), usada por el lector biométrico </w:t>
      </w:r>
      <w:r>
        <w:rPr>
          <w:color w:val="212121"/>
        </w:rPr>
        <w:t>real. Ambas rutas terminan ejecutando la misma regla de negocio (verificar sesión activa, calcular tolerancia, insertar la asistencia sin duplicados y notificar en vivo), por lo que el resto del sistema es indiferente al origen físico de la marcación.</w:t>
      </w:r>
    </w:p>
    <w:p w14:paraId="606636D4" w14:textId="77777777" w:rsidR="00077701" w:rsidRDefault="003D39E7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8CF3CD7" wp14:editId="615DCEBB">
            <wp:extent cx="5762625" cy="6800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3A02" w14:textId="77777777" w:rsidR="00077701" w:rsidRDefault="003D39E7">
      <w:pPr>
        <w:spacing w:before="60"/>
        <w:jc w:val="center"/>
      </w:pPr>
      <w:r>
        <w:rPr>
          <w:i/>
          <w:iCs/>
          <w:color w:val="444444"/>
          <w:sz w:val="17"/>
          <w:szCs w:val="17"/>
        </w:rPr>
        <w:t>Figura 1. Componentes del sistema y flujo de datos entre ellos.</w:t>
      </w:r>
    </w:p>
    <w:p w14:paraId="09883426" w14:textId="77777777" w:rsidR="00077701" w:rsidRDefault="003D39E7">
      <w:pPr>
        <w:pStyle w:val="Ttulo2"/>
        <w:spacing w:before="280" w:after="120"/>
      </w:pPr>
      <w:r>
        <w:rPr>
          <w:color w:val="39A900"/>
        </w:rPr>
        <w:t>2.1 Flujo de la marcación de asistencia</w:t>
      </w:r>
    </w:p>
    <w:p w14:paraId="49454BFA" w14:textId="77777777" w:rsidR="00077701" w:rsidRDefault="003D39E7">
      <w:pPr>
        <w:spacing w:after="140" w:line="300" w:lineRule="auto"/>
        <w:jc w:val="both"/>
      </w:pPr>
      <w:r>
        <w:rPr>
          <w:color w:val="212121"/>
        </w:rPr>
        <w:t xml:space="preserve">Un lector, real o simulado, informa al </w:t>
      </w:r>
      <w:proofErr w:type="spellStart"/>
      <w:r>
        <w:rPr>
          <w:color w:val="212121"/>
        </w:rPr>
        <w:t>backend</w:t>
      </w:r>
      <w:proofErr w:type="spellEnd"/>
      <w:r>
        <w:rPr>
          <w:color w:val="212121"/>
        </w:rPr>
        <w:t xml:space="preserve"> que un aprendiz fue identificado. El </w:t>
      </w:r>
      <w:proofErr w:type="spellStart"/>
      <w:r>
        <w:rPr>
          <w:color w:val="212121"/>
        </w:rPr>
        <w:t>backend</w:t>
      </w:r>
      <w:proofErr w:type="spellEnd"/>
      <w:r>
        <w:rPr>
          <w:color w:val="212121"/>
        </w:rPr>
        <w:t xml:space="preserve"> valida contra PostgreSQL que exista una sesión de clase acti</w:t>
      </w:r>
      <w:r>
        <w:rPr>
          <w:color w:val="212121"/>
        </w:rPr>
        <w:t>va en el ambiente de ese lector, calcula el estado (presente o tardanza, según la tolerancia configurada) e inserta la asistencia. Inmediatamente, el servicio de tiempo real (</w:t>
      </w:r>
      <w:proofErr w:type="spellStart"/>
      <w:r>
        <w:rPr>
          <w:color w:val="212121"/>
        </w:rPr>
        <w:t>backend</w:t>
      </w:r>
      <w:proofErr w:type="spellEnd"/>
      <w:r>
        <w:rPr>
          <w:color w:val="212121"/>
        </w:rPr>
        <w:t>/</w:t>
      </w:r>
      <w:proofErr w:type="spellStart"/>
      <w:r>
        <w:rPr>
          <w:color w:val="212121"/>
        </w:rPr>
        <w:t>src</w:t>
      </w:r>
      <w:proofErr w:type="spellEnd"/>
      <w:r>
        <w:rPr>
          <w:color w:val="212121"/>
        </w:rPr>
        <w:t>/servicios/tiempoReal.js, sobre Socket.IO) emite el evento a la sala c</w:t>
      </w:r>
      <w:r>
        <w:rPr>
          <w:color w:val="212121"/>
        </w:rPr>
        <w:t xml:space="preserve">orrespondiente a esa sesión </w:t>
      </w:r>
      <w:r>
        <w:rPr>
          <w:color w:val="212121"/>
        </w:rPr>
        <w:lastRenderedPageBreak/>
        <w:t xml:space="preserve">de clase, y el </w:t>
      </w:r>
      <w:proofErr w:type="spellStart"/>
      <w:r>
        <w:rPr>
          <w:color w:val="212121"/>
        </w:rPr>
        <w:t>frontend</w:t>
      </w:r>
      <w:proofErr w:type="spellEnd"/>
      <w:r>
        <w:rPr>
          <w:color w:val="212121"/>
        </w:rPr>
        <w:t xml:space="preserve"> del instructor —conectado a esa misma sala— actualiza la fila del aprendiz sin recargar la página.</w:t>
      </w:r>
    </w:p>
    <w:p w14:paraId="02809C2D" w14:textId="77777777" w:rsidR="00077701" w:rsidRDefault="003D39E7">
      <w:pPr>
        <w:pStyle w:val="Ttulo2"/>
        <w:spacing w:before="280" w:after="120"/>
      </w:pPr>
      <w:r>
        <w:rPr>
          <w:color w:val="39A900"/>
        </w:rPr>
        <w:t>2.2 Autenticación y autorización</w:t>
      </w:r>
    </w:p>
    <w:p w14:paraId="1AF42279" w14:textId="77777777" w:rsidR="00077701" w:rsidRDefault="003D39E7">
      <w:pPr>
        <w:spacing w:after="140" w:line="300" w:lineRule="auto"/>
        <w:jc w:val="both"/>
      </w:pPr>
      <w:r>
        <w:rPr>
          <w:color w:val="212121"/>
        </w:rPr>
        <w:t>Todo acceso del usuario humano pasa por el middleware autenticar (verifi</w:t>
      </w:r>
      <w:r>
        <w:rPr>
          <w:color w:val="212121"/>
        </w:rPr>
        <w:t xml:space="preserve">ca el token JWT) y, en las rutas que lo requieren, por </w:t>
      </w:r>
      <w:proofErr w:type="gramStart"/>
      <w:r>
        <w:rPr>
          <w:color w:val="212121"/>
        </w:rPr>
        <w:t>autorizar(</w:t>
      </w:r>
      <w:proofErr w:type="gramEnd"/>
      <w:r>
        <w:rPr>
          <w:color w:val="212121"/>
        </w:rPr>
        <w:t>...roles) (verifica que el rol del usuario esté permitido). El acceso del dispositivo biométrico es independiente: el lector simulado se autentica con un serial y una clave de API por encabez</w:t>
      </w:r>
      <w:r>
        <w:rPr>
          <w:color w:val="212121"/>
        </w:rPr>
        <w:t>ado; el lector real se identifica únicamente por el serial que reporta el propio protocolo ADMS, ya que ese protocolo no contempla un encabezado de autenticación adicional.</w:t>
      </w:r>
    </w:p>
    <w:p w14:paraId="22DB314F" w14:textId="77777777" w:rsidR="00077701" w:rsidRDefault="003D39E7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 xml:space="preserve">3. Justificación del </w:t>
      </w:r>
      <w:proofErr w:type="spellStart"/>
      <w:r>
        <w:rPr>
          <w:color w:val="1E5C00"/>
        </w:rPr>
        <w:t>stack</w:t>
      </w:r>
      <w:proofErr w:type="spellEnd"/>
      <w:r>
        <w:rPr>
          <w:color w:val="1E5C00"/>
        </w:rPr>
        <w:t xml:space="preserve"> tecnológico</w:t>
      </w:r>
    </w:p>
    <w:tbl>
      <w:tblPr>
        <w:tblW w:w="98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5620"/>
      </w:tblGrid>
      <w:tr w:rsidR="00077701" w14:paraId="6CF4E7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F7AC4" w14:textId="77777777" w:rsidR="00077701" w:rsidRDefault="003D39E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2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58D97" w14:textId="77777777" w:rsidR="00077701" w:rsidRDefault="003D39E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56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5B246" w14:textId="77777777" w:rsidR="00077701" w:rsidRDefault="003D39E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en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AsistenciaApp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Jus</w:t>
            </w:r>
            <w:r>
              <w:rPr>
                <w:b/>
                <w:bCs/>
                <w:color w:val="FFFFFF"/>
                <w:sz w:val="19"/>
                <w:szCs w:val="19"/>
              </w:rPr>
              <w:t>tificación</w:t>
            </w:r>
          </w:p>
        </w:tc>
      </w:tr>
      <w:tr w:rsidR="00077701" w14:paraId="79EBE5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D31B6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8DA60" w14:textId="77777777" w:rsidR="00077701" w:rsidRDefault="003D39E7">
            <w:r>
              <w:rPr>
                <w:color w:val="212121"/>
                <w:sz w:val="19"/>
                <w:szCs w:val="19"/>
              </w:rPr>
              <w:t>Node.js 20 + Express 4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E64C0" w14:textId="77777777" w:rsidR="00077701" w:rsidRDefault="003D39E7">
            <w:r>
              <w:rPr>
                <w:color w:val="212121"/>
                <w:sz w:val="19"/>
                <w:szCs w:val="19"/>
              </w:rPr>
              <w:t xml:space="preserve">Mismo lenguaje (JavaScript) que el </w:t>
            </w:r>
            <w:proofErr w:type="spellStart"/>
            <w:r>
              <w:rPr>
                <w:color w:val="212121"/>
                <w:sz w:val="19"/>
                <w:szCs w:val="19"/>
              </w:rPr>
              <w:t>frontend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reduciendo la curva de aprendizaje del equipo; Express ofrece enrutamiento y middlewares maduros para construir el API REST sin un </w:t>
            </w:r>
            <w:proofErr w:type="spellStart"/>
            <w:r>
              <w:rPr>
                <w:color w:val="212121"/>
                <w:sz w:val="19"/>
                <w:szCs w:val="19"/>
              </w:rPr>
              <w:t>framework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pesado.</w:t>
            </w:r>
          </w:p>
        </w:tc>
      </w:tr>
      <w:tr w:rsidR="00077701" w14:paraId="13F815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A9219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3B236" w14:textId="77777777" w:rsidR="00077701" w:rsidRDefault="003D39E7">
            <w:r>
              <w:rPr>
                <w:color w:val="212121"/>
                <w:sz w:val="19"/>
                <w:szCs w:val="19"/>
              </w:rPr>
              <w:t xml:space="preserve">PostgreSQL 16 (driver </w:t>
            </w:r>
            <w:proofErr w:type="spellStart"/>
            <w:r>
              <w:rPr>
                <w:color w:val="212121"/>
                <w:sz w:val="19"/>
                <w:szCs w:val="19"/>
              </w:rPr>
              <w:t>pg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56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86F05" w14:textId="77777777" w:rsidR="00077701" w:rsidRDefault="003D39E7">
            <w:r>
              <w:rPr>
                <w:color w:val="212121"/>
                <w:sz w:val="19"/>
                <w:szCs w:val="19"/>
              </w:rPr>
              <w:t>Motor relacional gratuito con soporte nativo de restricciones CHECK, claves foráneas, índices parciales (usados para "una matrícula activa por aprendiz" y "un lector por ambiente") y tipo JSONB (usado en auditoría y búsquedas guardadas).</w:t>
            </w:r>
          </w:p>
        </w:tc>
      </w:tr>
      <w:tr w:rsidR="00077701" w14:paraId="17CF21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BB3A6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7C484" w14:textId="77777777" w:rsidR="00077701" w:rsidRDefault="003D39E7">
            <w:r>
              <w:rPr>
                <w:color w:val="212121"/>
                <w:sz w:val="19"/>
                <w:szCs w:val="19"/>
              </w:rPr>
              <w:t>Socket.IO 4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AD44B" w14:textId="77777777" w:rsidR="00077701" w:rsidRDefault="003D39E7">
            <w:r>
              <w:rPr>
                <w:color w:val="212121"/>
                <w:sz w:val="19"/>
                <w:szCs w:val="19"/>
              </w:rPr>
              <w:t xml:space="preserve">Comunicación en tiempo real sobre </w:t>
            </w:r>
            <w:proofErr w:type="spellStart"/>
            <w:r>
              <w:rPr>
                <w:color w:val="212121"/>
                <w:sz w:val="19"/>
                <w:szCs w:val="19"/>
              </w:rPr>
              <w:t>WebSocket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con reconexión automática y modelo de "salas" (una sala por sesión de clase); permite que la vista de supervisión del instructor (CU-14) se actualice sin recargar la página.</w:t>
            </w:r>
          </w:p>
        </w:tc>
      </w:tr>
      <w:tr w:rsidR="00077701" w14:paraId="6DB1CA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20274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4BC83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jsonwebtoken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12121"/>
                <w:sz w:val="19"/>
                <w:szCs w:val="19"/>
              </w:rPr>
              <w:t>bcryptjs</w:t>
            </w:r>
            <w:proofErr w:type="spellEnd"/>
          </w:p>
        </w:tc>
        <w:tc>
          <w:tcPr>
            <w:tcW w:w="56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0B30C" w14:textId="77777777" w:rsidR="00077701" w:rsidRDefault="003D39E7">
            <w:r>
              <w:rPr>
                <w:color w:val="212121"/>
                <w:sz w:val="19"/>
                <w:szCs w:val="19"/>
              </w:rPr>
              <w:t xml:space="preserve">Estándar de facto para autenticación de </w:t>
            </w:r>
            <w:proofErr w:type="spellStart"/>
            <w:r>
              <w:rPr>
                <w:color w:val="212121"/>
                <w:sz w:val="19"/>
                <w:szCs w:val="19"/>
              </w:rPr>
              <w:t>APIs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REST sin estado (JWT) y hash de contraseñas resistente a fuerza bruta (</w:t>
            </w:r>
            <w:proofErr w:type="spellStart"/>
            <w:r>
              <w:rPr>
                <w:color w:val="212121"/>
                <w:sz w:val="19"/>
                <w:szCs w:val="19"/>
              </w:rPr>
              <w:t>bcrypt</w:t>
            </w:r>
            <w:proofErr w:type="spellEnd"/>
            <w:r>
              <w:rPr>
                <w:color w:val="212121"/>
                <w:sz w:val="19"/>
                <w:szCs w:val="19"/>
              </w:rPr>
              <w:t>), en vez de un hash genérico como SHA-256.</w:t>
            </w:r>
          </w:p>
        </w:tc>
      </w:tr>
      <w:tr w:rsidR="00077701" w14:paraId="08D566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60546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5420B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crypto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(nativo de Node.js)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8440" w14:textId="77777777" w:rsidR="00077701" w:rsidRDefault="003D39E7">
            <w:r>
              <w:rPr>
                <w:color w:val="212121"/>
                <w:sz w:val="19"/>
                <w:szCs w:val="19"/>
              </w:rPr>
              <w:t>Implementa el cifrado AES-256-GCM de las plantillas biométricas: un cifrado autenticado que garantiza confidencialidad e integridad (etiqueta de autenticación) sin depender de una librería externa.</w:t>
            </w:r>
          </w:p>
        </w:tc>
      </w:tr>
      <w:tr w:rsidR="00077701" w14:paraId="0D2BCA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D7270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C2CBF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Nodemailer</w:t>
            </w:r>
            <w:proofErr w:type="spellEnd"/>
          </w:p>
        </w:tc>
        <w:tc>
          <w:tcPr>
            <w:tcW w:w="56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D712E" w14:textId="77777777" w:rsidR="00077701" w:rsidRDefault="003D39E7">
            <w:r>
              <w:rPr>
                <w:color w:val="212121"/>
                <w:sz w:val="19"/>
                <w:szCs w:val="19"/>
              </w:rPr>
              <w:t>Envío de correos reales por SMTP (justificaciones, credenciales, notificaciones); si no hay servidor SMTP configurado, imprime el correo en consola, útil en desarrollo y demostración.</w:t>
            </w:r>
          </w:p>
        </w:tc>
      </w:tr>
      <w:tr w:rsidR="00077701" w14:paraId="2731F6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D1351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AEAC8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React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18 + Vite 5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DEB21" w14:textId="77777777" w:rsidR="00077701" w:rsidRDefault="003D39E7">
            <w:r>
              <w:rPr>
                <w:color w:val="212121"/>
                <w:sz w:val="19"/>
                <w:szCs w:val="19"/>
              </w:rPr>
              <w:t xml:space="preserve">Vite ofrece arranque y recarga en caliente casi instantáneos frente a herramientas más pesadas; </w:t>
            </w:r>
            <w:proofErr w:type="spellStart"/>
            <w:r>
              <w:rPr>
                <w:color w:val="212121"/>
                <w:sz w:val="19"/>
                <w:szCs w:val="19"/>
              </w:rPr>
              <w:t>React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permite construir una SPA de 19 pantallas con estado local simple, adecuado al tamaño del proyecto.</w:t>
            </w:r>
          </w:p>
        </w:tc>
      </w:tr>
      <w:tr w:rsidR="00077701" w14:paraId="755BE0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41292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93751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React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Router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6</w:t>
            </w:r>
          </w:p>
        </w:tc>
        <w:tc>
          <w:tcPr>
            <w:tcW w:w="56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BF4D2" w14:textId="77777777" w:rsidR="00077701" w:rsidRDefault="003D39E7">
            <w:r>
              <w:rPr>
                <w:color w:val="212121"/>
                <w:sz w:val="19"/>
                <w:szCs w:val="19"/>
              </w:rPr>
              <w:t xml:space="preserve">Enrutamiento del lado del cliente con rutas protegidas por rol (componente Protegida en </w:t>
            </w:r>
            <w:proofErr w:type="spellStart"/>
            <w:r>
              <w:rPr>
                <w:color w:val="212121"/>
                <w:sz w:val="19"/>
                <w:szCs w:val="19"/>
              </w:rPr>
              <w:t>App.jsx</w:t>
            </w:r>
            <w:proofErr w:type="spellEnd"/>
            <w:r>
              <w:rPr>
                <w:color w:val="212121"/>
                <w:sz w:val="19"/>
                <w:szCs w:val="19"/>
              </w:rPr>
              <w:t>), sin recargar la página al navegar entre pantallas.</w:t>
            </w:r>
          </w:p>
        </w:tc>
      </w:tr>
      <w:tr w:rsidR="00077701" w14:paraId="428120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9A74B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3CBAD" w14:textId="77777777" w:rsidR="00077701" w:rsidRDefault="003D39E7">
            <w:r>
              <w:rPr>
                <w:color w:val="212121"/>
                <w:sz w:val="19"/>
                <w:szCs w:val="19"/>
              </w:rPr>
              <w:t>socket.io-</w:t>
            </w:r>
            <w:proofErr w:type="spellStart"/>
            <w:r>
              <w:rPr>
                <w:color w:val="212121"/>
                <w:sz w:val="19"/>
                <w:szCs w:val="19"/>
              </w:rPr>
              <w:t>client</w:t>
            </w:r>
            <w:proofErr w:type="spellEnd"/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9871D" w14:textId="77777777" w:rsidR="00077701" w:rsidRDefault="003D39E7">
            <w:r>
              <w:rPr>
                <w:color w:val="212121"/>
                <w:sz w:val="19"/>
                <w:szCs w:val="19"/>
              </w:rPr>
              <w:t xml:space="preserve">Consume los eventos en tiempo real del </w:t>
            </w:r>
            <w:proofErr w:type="spellStart"/>
            <w:r>
              <w:rPr>
                <w:color w:val="212121"/>
                <w:sz w:val="19"/>
                <w:szCs w:val="19"/>
              </w:rPr>
              <w:t>backend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(marcación, huella no reconocida) en la vista de sesión en vivo.</w:t>
            </w:r>
          </w:p>
        </w:tc>
      </w:tr>
      <w:tr w:rsidR="00077701" w14:paraId="2E83D0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B4FFB" w14:textId="77777777" w:rsidR="00077701" w:rsidRDefault="003D39E7">
            <w:proofErr w:type="spellStart"/>
            <w:r>
              <w:rPr>
                <w:color w:val="212121"/>
                <w:sz w:val="19"/>
                <w:szCs w:val="19"/>
              </w:rPr>
              <w:lastRenderedPageBreak/>
              <w:t>Frontend</w:t>
            </w:r>
            <w:proofErr w:type="spellEnd"/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84BE4" w14:textId="77777777" w:rsidR="00077701" w:rsidRDefault="003D39E7">
            <w:r>
              <w:rPr>
                <w:color w:val="212121"/>
                <w:sz w:val="19"/>
                <w:szCs w:val="19"/>
              </w:rPr>
              <w:t>xlsx (</w:t>
            </w:r>
            <w:proofErr w:type="spellStart"/>
            <w:r>
              <w:rPr>
                <w:color w:val="212121"/>
                <w:sz w:val="19"/>
                <w:szCs w:val="19"/>
              </w:rPr>
              <w:t>SheetJS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56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43F79" w14:textId="77777777" w:rsidR="00077701" w:rsidRDefault="003D39E7">
            <w:r>
              <w:rPr>
                <w:color w:val="212121"/>
                <w:sz w:val="19"/>
                <w:szCs w:val="19"/>
              </w:rPr>
              <w:t>Lee archivos Excel (.xlsx) directamente en el navegador para la carga masiva de aprendices, sin requerir un servicio de conversión en el servidor.</w:t>
            </w:r>
          </w:p>
        </w:tc>
      </w:tr>
      <w:tr w:rsidR="00077701" w14:paraId="6E5B8B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0C343" w14:textId="77777777" w:rsidR="00077701" w:rsidRDefault="003D39E7">
            <w:r>
              <w:rPr>
                <w:color w:val="212121"/>
                <w:sz w:val="19"/>
                <w:szCs w:val="19"/>
              </w:rPr>
              <w:t>Hardware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F9A97" w14:textId="77777777" w:rsidR="00077701" w:rsidRDefault="003D39E7">
            <w:r>
              <w:rPr>
                <w:color w:val="212121"/>
                <w:sz w:val="19"/>
                <w:szCs w:val="19"/>
              </w:rPr>
              <w:t xml:space="preserve">Protocolo </w:t>
            </w:r>
            <w:proofErr w:type="spellStart"/>
            <w:r>
              <w:rPr>
                <w:color w:val="212121"/>
                <w:sz w:val="19"/>
                <w:szCs w:val="19"/>
              </w:rPr>
              <w:t>ZKTeco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PUSH/ADMS</w:t>
            </w:r>
          </w:p>
        </w:tc>
        <w:tc>
          <w:tcPr>
            <w:tcW w:w="5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A3DA3" w14:textId="77777777" w:rsidR="00077701" w:rsidRDefault="003D39E7">
            <w:r>
              <w:rPr>
                <w:color w:val="212121"/>
                <w:sz w:val="19"/>
                <w:szCs w:val="19"/>
              </w:rPr>
              <w:t xml:space="preserve">Protocolo propietario ya soportado de fábrica por el lector biométrico </w:t>
            </w:r>
            <w:proofErr w:type="spellStart"/>
            <w:r>
              <w:rPr>
                <w:color w:val="212121"/>
                <w:sz w:val="19"/>
                <w:szCs w:val="19"/>
              </w:rPr>
              <w:t>ZKTeco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SenseFace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2A; el </w:t>
            </w:r>
            <w:proofErr w:type="spellStart"/>
            <w:r>
              <w:rPr>
                <w:color w:val="212121"/>
                <w:sz w:val="19"/>
                <w:szCs w:val="19"/>
              </w:rPr>
              <w:t>backend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implementa un adaptador propio (rutas/adms.js) que traduce ese protocolo a los mismos eventos internos que ya usaba el lector simulado, de modo que la ló</w:t>
            </w:r>
            <w:r>
              <w:rPr>
                <w:color w:val="212121"/>
                <w:sz w:val="19"/>
                <w:szCs w:val="19"/>
              </w:rPr>
              <w:t>gica de negocio de asistencia no cambia entre hardware simulado y real.</w:t>
            </w:r>
          </w:p>
        </w:tc>
      </w:tr>
      <w:tr w:rsidR="00077701" w14:paraId="514436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58B72" w14:textId="77777777" w:rsidR="00077701" w:rsidRDefault="003D39E7">
            <w:r>
              <w:rPr>
                <w:color w:val="212121"/>
                <w:sz w:val="19"/>
                <w:szCs w:val="19"/>
              </w:rPr>
              <w:t>Infraestructura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36B8E" w14:textId="77777777" w:rsidR="00077701" w:rsidRDefault="003D39E7">
            <w:r>
              <w:rPr>
                <w:color w:val="212121"/>
                <w:sz w:val="19"/>
                <w:szCs w:val="19"/>
              </w:rPr>
              <w:t xml:space="preserve">Docker </w:t>
            </w:r>
            <w:proofErr w:type="spellStart"/>
            <w:r>
              <w:rPr>
                <w:color w:val="212121"/>
                <w:sz w:val="19"/>
                <w:szCs w:val="19"/>
              </w:rPr>
              <w:t>Compose</w:t>
            </w:r>
            <w:proofErr w:type="spellEnd"/>
          </w:p>
        </w:tc>
        <w:tc>
          <w:tcPr>
            <w:tcW w:w="56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209F2" w14:textId="77777777" w:rsidR="00077701" w:rsidRDefault="003D39E7">
            <w:r>
              <w:rPr>
                <w:color w:val="212121"/>
                <w:sz w:val="19"/>
                <w:szCs w:val="19"/>
              </w:rPr>
              <w:t xml:space="preserve">Permite levantar base de datos, </w:t>
            </w:r>
            <w:proofErr w:type="spellStart"/>
            <w:r>
              <w:rPr>
                <w:color w:val="212121"/>
                <w:sz w:val="19"/>
                <w:szCs w:val="19"/>
              </w:rPr>
              <w:t>backend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212121"/>
                <w:sz w:val="19"/>
                <w:szCs w:val="19"/>
              </w:rPr>
              <w:t>frontend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(servido por </w:t>
            </w:r>
            <w:proofErr w:type="spellStart"/>
            <w:r>
              <w:rPr>
                <w:color w:val="212121"/>
                <w:sz w:val="19"/>
                <w:szCs w:val="19"/>
              </w:rPr>
              <w:t>Nginx</w:t>
            </w:r>
            <w:proofErr w:type="spellEnd"/>
            <w:r>
              <w:rPr>
                <w:color w:val="212121"/>
                <w:sz w:val="19"/>
                <w:szCs w:val="19"/>
              </w:rPr>
              <w:t>) con un único comando, de forma reproducible en cualquier máquina o proveedor de nube, sin instalar PostgreSQL de forma nativa.</w:t>
            </w:r>
          </w:p>
        </w:tc>
      </w:tr>
    </w:tbl>
    <w:p w14:paraId="40FEA350" w14:textId="77777777" w:rsidR="00077701" w:rsidRDefault="00077701">
      <w:pPr>
        <w:sectPr w:rsidR="00077701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3CC0344" w14:textId="77777777" w:rsidR="00077701" w:rsidRDefault="003D39E7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4. Modelo de datos</w:t>
      </w:r>
    </w:p>
    <w:p w14:paraId="44A5FAF4" w14:textId="77777777" w:rsidR="00077701" w:rsidRDefault="003D39E7">
      <w:pPr>
        <w:spacing w:after="140" w:line="300" w:lineRule="auto"/>
        <w:jc w:val="both"/>
      </w:pPr>
      <w:r>
        <w:rPr>
          <w:color w:val="212121"/>
        </w:rPr>
        <w:t>La base de datos cuenta con 19 tablas en PostgreSQL. Por claridad, el modelo se presenta en dos diagramas: el núcleo académico y de asistencia, y el de seguridad, biometría y comunicación. El detalle de columnas, tipos y restricciones de cada tabla se docu</w:t>
      </w:r>
      <w:r>
        <w:rPr>
          <w:color w:val="212121"/>
        </w:rPr>
        <w:t>menta en "Diccionario de Datos"; aquí se muestran únicamente las entidades y sus relaciones.</w:t>
      </w:r>
    </w:p>
    <w:p w14:paraId="2E9945C6" w14:textId="77777777" w:rsidR="00077701" w:rsidRDefault="003D39E7">
      <w:pPr>
        <w:pStyle w:val="Ttulo2"/>
        <w:spacing w:before="280" w:after="120"/>
      </w:pPr>
      <w:r>
        <w:rPr>
          <w:color w:val="39A900"/>
        </w:rPr>
        <w:t>4.1 Núcleo académico y de asistencia</w:t>
      </w:r>
    </w:p>
    <w:p w14:paraId="49167C52" w14:textId="77777777" w:rsidR="00077701" w:rsidRDefault="003D39E7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6D0D8D6" wp14:editId="751B8213">
            <wp:extent cx="8782050" cy="58769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22E3" w14:textId="77777777" w:rsidR="00077701" w:rsidRDefault="003D39E7">
      <w:pPr>
        <w:spacing w:before="60"/>
        <w:jc w:val="center"/>
      </w:pPr>
      <w:r>
        <w:rPr>
          <w:i/>
          <w:iCs/>
          <w:color w:val="444444"/>
          <w:sz w:val="17"/>
          <w:szCs w:val="17"/>
        </w:rPr>
        <w:t>Figura 2. Entidades y relaciones del núcleo académico y de asistencia (10 tablas).</w:t>
      </w:r>
    </w:p>
    <w:p w14:paraId="2CC35B26" w14:textId="77777777" w:rsidR="00077701" w:rsidRDefault="00077701">
      <w:pPr>
        <w:sectPr w:rsidR="00077701">
          <w:footerReference w:type="default" r:id="rId10"/>
          <w:pgSz w:w="15840" w:h="12240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5D8C7DDF" w14:textId="77777777" w:rsidR="00077701" w:rsidRDefault="003D39E7">
      <w:pPr>
        <w:pStyle w:val="Ttulo2"/>
        <w:spacing w:before="280" w:after="120"/>
      </w:pPr>
      <w:r>
        <w:rPr>
          <w:color w:val="39A900"/>
        </w:rPr>
        <w:lastRenderedPageBreak/>
        <w:t>4.2 Seguridad, biometría, comunicación y soporte</w:t>
      </w:r>
    </w:p>
    <w:p w14:paraId="71C5AF46" w14:textId="76706216" w:rsidR="00077701" w:rsidRDefault="003D39E7">
      <w:pPr>
        <w:spacing w:after="140" w:line="300" w:lineRule="auto"/>
        <w:jc w:val="both"/>
      </w:pPr>
      <w:r>
        <w:rPr>
          <w:color w:val="212121"/>
        </w:rPr>
        <w:t xml:space="preserve">Nótese que usuario y asistencia </w:t>
      </w:r>
      <w:r>
        <w:rPr>
          <w:color w:val="212121"/>
        </w:rPr>
        <w:t xml:space="preserve">se repiten aquí como referencia: son las mismas entidades del diagrama anterior, mostradas de nuevo para no cruzar líneas entre las dos figuras. </w:t>
      </w:r>
      <w:r w:rsidR="00096AA0">
        <w:rPr>
          <w:color w:val="212121"/>
        </w:rPr>
        <w:t>configuración</w:t>
      </w:r>
      <w:r>
        <w:rPr>
          <w:color w:val="212121"/>
        </w:rPr>
        <w:t xml:space="preserve"> es la única tabla sin llaves foráneas: almacena parámetros de negocio como pares clave-valor (</w:t>
      </w:r>
      <w:proofErr w:type="spellStart"/>
      <w:r>
        <w:rPr>
          <w:color w:val="212121"/>
        </w:rPr>
        <w:t>min</w:t>
      </w:r>
      <w:r>
        <w:rPr>
          <w:color w:val="212121"/>
        </w:rPr>
        <w:t>utos_tolerancia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porcentaje_minimo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horas_justificacion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nombre_institucion</w:t>
      </w:r>
      <w:proofErr w:type="spellEnd"/>
      <w:r>
        <w:rPr>
          <w:color w:val="212121"/>
        </w:rPr>
        <w:t>).</w:t>
      </w:r>
    </w:p>
    <w:p w14:paraId="47E1F369" w14:textId="77777777" w:rsidR="00077701" w:rsidRDefault="003D39E7">
      <w:pPr>
        <w:spacing w:before="160" w:after="80"/>
        <w:jc w:val="center"/>
      </w:pPr>
      <w:r>
        <w:rPr>
          <w:noProof/>
        </w:rPr>
        <w:drawing>
          <wp:inline distT="0" distB="0" distL="0" distR="0" wp14:anchorId="3B5A082A" wp14:editId="07F81771">
            <wp:extent cx="8782050" cy="20764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DB09" w14:textId="77777777" w:rsidR="00077701" w:rsidRDefault="003D39E7">
      <w:pPr>
        <w:spacing w:before="60"/>
        <w:jc w:val="center"/>
      </w:pPr>
      <w:r>
        <w:rPr>
          <w:i/>
          <w:iCs/>
          <w:color w:val="444444"/>
          <w:sz w:val="17"/>
          <w:szCs w:val="17"/>
        </w:rPr>
        <w:t>Figura 3. Entidades y relaciones de seguridad, biometría, comunicación y soporte (9 tablas).</w:t>
      </w:r>
    </w:p>
    <w:p w14:paraId="4036C495" w14:textId="77777777" w:rsidR="00077701" w:rsidRDefault="00077701">
      <w:pPr>
        <w:sectPr w:rsidR="00077701">
          <w:footerReference w:type="default" r:id="rId12"/>
          <w:pgSz w:w="15840" w:h="12240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10205994" w14:textId="77777777" w:rsidR="00077701" w:rsidRDefault="003D39E7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5. Despliegue</w:t>
      </w:r>
    </w:p>
    <w:p w14:paraId="44194740" w14:textId="77777777" w:rsidR="00077701" w:rsidRDefault="003D39E7">
      <w:pPr>
        <w:spacing w:after="140" w:line="300" w:lineRule="auto"/>
        <w:jc w:val="both"/>
      </w:pPr>
      <w:r>
        <w:rPr>
          <w:color w:val="212121"/>
        </w:rPr>
        <w:t xml:space="preserve">El sistema puede ejecutarse en tres modalidades sin cambios de código: local (Node.js y PostgreSQL nativos, útil para desarrollo), Docker </w:t>
      </w:r>
      <w:proofErr w:type="spellStart"/>
      <w:r>
        <w:rPr>
          <w:color w:val="212121"/>
        </w:rPr>
        <w:t>Compose</w:t>
      </w:r>
      <w:proofErr w:type="spellEnd"/>
      <w:r>
        <w:rPr>
          <w:color w:val="212121"/>
        </w:rPr>
        <w:t xml:space="preserve"> (base de datos, </w:t>
      </w:r>
      <w:proofErr w:type="spellStart"/>
      <w:r>
        <w:rPr>
          <w:color w:val="212121"/>
        </w:rPr>
        <w:t>backend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frontend</w:t>
      </w:r>
      <w:proofErr w:type="spellEnd"/>
      <w:r>
        <w:rPr>
          <w:color w:val="212121"/>
        </w:rPr>
        <w:t xml:space="preserve"> en contenedores separados, recomendado </w:t>
      </w:r>
      <w:r>
        <w:rPr>
          <w:color w:val="212121"/>
        </w:rPr>
        <w:t xml:space="preserve">para la sustentación) y nube gratuita (Render o </w:t>
      </w:r>
      <w:proofErr w:type="spellStart"/>
      <w:r>
        <w:rPr>
          <w:color w:val="212121"/>
        </w:rPr>
        <w:t>Railway</w:t>
      </w:r>
      <w:proofErr w:type="spellEnd"/>
      <w:r>
        <w:rPr>
          <w:color w:val="212121"/>
        </w:rPr>
        <w:t>). El procedimiento detallado de instalación, las variables de entorno requeridas y el proceso de siembra de datos de demostración se documentan en "Manual Técnico de Instalación y Despliegue".</w:t>
      </w:r>
    </w:p>
    <w:sectPr w:rsidR="00077701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20218" w14:textId="77777777" w:rsidR="003D39E7" w:rsidRDefault="003D39E7">
      <w:r>
        <w:separator/>
      </w:r>
    </w:p>
  </w:endnote>
  <w:endnote w:type="continuationSeparator" w:id="0">
    <w:p w14:paraId="41DBE391" w14:textId="77777777" w:rsidR="003D39E7" w:rsidRDefault="003D3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F514E" w14:textId="77777777" w:rsidR="00077701" w:rsidRDefault="003D39E7">
    <w:pPr>
      <w:jc w:val="center"/>
    </w:pPr>
    <w:proofErr w:type="spellStart"/>
    <w:r>
      <w:rPr>
        <w:color w:val="444444"/>
        <w:sz w:val="16"/>
        <w:szCs w:val="16"/>
      </w:rPr>
      <w:t>AsistenciaApp</w:t>
    </w:r>
    <w:proofErr w:type="spellEnd"/>
    <w:r>
      <w:rPr>
        <w:color w:val="444444"/>
        <w:sz w:val="16"/>
        <w:szCs w:val="16"/>
      </w:rPr>
      <w:t xml:space="preserve">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BA1141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BA1141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DC0FB" w14:textId="4547C25B" w:rsidR="00077701" w:rsidRDefault="003D39E7">
    <w:pPr>
      <w:jc w:val="center"/>
    </w:pPr>
    <w:proofErr w:type="spellStart"/>
    <w:r>
      <w:rPr>
        <w:color w:val="444444"/>
        <w:sz w:val="16"/>
        <w:szCs w:val="16"/>
      </w:rPr>
      <w:t>AsistenciaApp</w:t>
    </w:r>
    <w:proofErr w:type="spellEnd"/>
    <w:r>
      <w:rPr>
        <w:color w:val="444444"/>
        <w:sz w:val="16"/>
        <w:szCs w:val="16"/>
      </w:rPr>
      <w:t xml:space="preserve">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BA1141">
      <w:rPr>
        <w:noProof/>
        <w:color w:val="444444"/>
        <w:sz w:val="16"/>
        <w:szCs w:val="16"/>
      </w:rPr>
      <w:t>6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BA1141">
      <w:rPr>
        <w:noProof/>
        <w:color w:val="444444"/>
        <w:sz w:val="16"/>
        <w:szCs w:val="16"/>
      </w:rPr>
      <w:t>7</w:t>
    </w:r>
    <w:r>
      <w:rPr>
        <w:color w:val="444444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1C471" w14:textId="7F602BE1" w:rsidR="00077701" w:rsidRDefault="003D39E7">
    <w:pPr>
      <w:jc w:val="center"/>
    </w:pPr>
    <w:proofErr w:type="spellStart"/>
    <w:r>
      <w:rPr>
        <w:color w:val="444444"/>
        <w:sz w:val="16"/>
        <w:szCs w:val="16"/>
      </w:rPr>
      <w:t>AsistenciaApp</w:t>
    </w:r>
    <w:proofErr w:type="spellEnd"/>
    <w:r>
      <w:rPr>
        <w:color w:val="444444"/>
        <w:sz w:val="16"/>
        <w:szCs w:val="16"/>
      </w:rPr>
      <w:t xml:space="preserve">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BA1141">
      <w:rPr>
        <w:noProof/>
        <w:color w:val="444444"/>
        <w:sz w:val="16"/>
        <w:szCs w:val="16"/>
      </w:rPr>
      <w:t>8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BA1141">
      <w:rPr>
        <w:noProof/>
        <w:color w:val="444444"/>
        <w:sz w:val="16"/>
        <w:szCs w:val="16"/>
      </w:rPr>
      <w:t>9</w:t>
    </w:r>
    <w:r>
      <w:rPr>
        <w:color w:val="444444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76324" w14:textId="00C5369D" w:rsidR="00077701" w:rsidRDefault="003D39E7">
    <w:pPr>
      <w:jc w:val="center"/>
    </w:pPr>
    <w:proofErr w:type="spellStart"/>
    <w:r>
      <w:rPr>
        <w:color w:val="444444"/>
        <w:sz w:val="16"/>
        <w:szCs w:val="16"/>
      </w:rPr>
      <w:t>Asiste</w:t>
    </w:r>
    <w:r>
      <w:rPr>
        <w:color w:val="444444"/>
        <w:sz w:val="16"/>
        <w:szCs w:val="16"/>
      </w:rPr>
      <w:t>nciaApp</w:t>
    </w:r>
    <w:proofErr w:type="spellEnd"/>
    <w:r>
      <w:rPr>
        <w:color w:val="444444"/>
        <w:sz w:val="16"/>
        <w:szCs w:val="16"/>
      </w:rPr>
      <w:t xml:space="preserve">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BA1141">
      <w:rPr>
        <w:noProof/>
        <w:color w:val="444444"/>
        <w:sz w:val="16"/>
        <w:szCs w:val="16"/>
      </w:rPr>
      <w:t>9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BA1141">
      <w:rPr>
        <w:noProof/>
        <w:color w:val="444444"/>
        <w:sz w:val="16"/>
        <w:szCs w:val="16"/>
      </w:rPr>
      <w:t>9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617BE" w14:textId="77777777" w:rsidR="003D39E7" w:rsidRDefault="003D39E7">
      <w:r>
        <w:separator/>
      </w:r>
    </w:p>
  </w:footnote>
  <w:footnote w:type="continuationSeparator" w:id="0">
    <w:p w14:paraId="088775F7" w14:textId="77777777" w:rsidR="003D39E7" w:rsidRDefault="003D39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81831"/>
    <w:multiLevelType w:val="hybridMultilevel"/>
    <w:tmpl w:val="90FE0D06"/>
    <w:lvl w:ilvl="0" w:tplc="0E145670">
      <w:start w:val="1"/>
      <w:numFmt w:val="bullet"/>
      <w:lvlText w:val="•"/>
      <w:lvlJc w:val="left"/>
      <w:pPr>
        <w:ind w:left="460" w:hanging="260"/>
      </w:pPr>
    </w:lvl>
    <w:lvl w:ilvl="1" w:tplc="635C572A">
      <w:start w:val="1"/>
      <w:numFmt w:val="bullet"/>
      <w:lvlText w:val="◦"/>
      <w:lvlJc w:val="left"/>
      <w:pPr>
        <w:ind w:left="920" w:hanging="260"/>
      </w:pPr>
    </w:lvl>
    <w:lvl w:ilvl="2" w:tplc="6ED20020">
      <w:numFmt w:val="decimal"/>
      <w:lvlText w:val=""/>
      <w:lvlJc w:val="left"/>
    </w:lvl>
    <w:lvl w:ilvl="3" w:tplc="1842E2DE">
      <w:numFmt w:val="decimal"/>
      <w:lvlText w:val=""/>
      <w:lvlJc w:val="left"/>
    </w:lvl>
    <w:lvl w:ilvl="4" w:tplc="21E003F6">
      <w:numFmt w:val="decimal"/>
      <w:lvlText w:val=""/>
      <w:lvlJc w:val="left"/>
    </w:lvl>
    <w:lvl w:ilvl="5" w:tplc="6F744166">
      <w:numFmt w:val="decimal"/>
      <w:lvlText w:val=""/>
      <w:lvlJc w:val="left"/>
    </w:lvl>
    <w:lvl w:ilvl="6" w:tplc="3030E8DA">
      <w:numFmt w:val="decimal"/>
      <w:lvlText w:val=""/>
      <w:lvlJc w:val="left"/>
    </w:lvl>
    <w:lvl w:ilvl="7" w:tplc="8AD455BE">
      <w:numFmt w:val="decimal"/>
      <w:lvlText w:val=""/>
      <w:lvlJc w:val="left"/>
    </w:lvl>
    <w:lvl w:ilvl="8" w:tplc="F112CF3C">
      <w:numFmt w:val="decimal"/>
      <w:lvlText w:val=""/>
      <w:lvlJc w:val="left"/>
    </w:lvl>
  </w:abstractNum>
  <w:abstractNum w:abstractNumId="1" w15:restartNumberingAfterBreak="0">
    <w:nsid w:val="5D8172B5"/>
    <w:multiLevelType w:val="hybridMultilevel"/>
    <w:tmpl w:val="9242975E"/>
    <w:lvl w:ilvl="0" w:tplc="5FF49C28">
      <w:start w:val="1"/>
      <w:numFmt w:val="decimal"/>
      <w:lvlText w:val="%1."/>
      <w:lvlJc w:val="left"/>
      <w:pPr>
        <w:ind w:left="460" w:hanging="260"/>
      </w:pPr>
    </w:lvl>
    <w:lvl w:ilvl="1" w:tplc="48F427A0">
      <w:numFmt w:val="decimal"/>
      <w:lvlText w:val=""/>
      <w:lvlJc w:val="left"/>
    </w:lvl>
    <w:lvl w:ilvl="2" w:tplc="94341A16">
      <w:numFmt w:val="decimal"/>
      <w:lvlText w:val=""/>
      <w:lvlJc w:val="left"/>
    </w:lvl>
    <w:lvl w:ilvl="3" w:tplc="11FEB85C">
      <w:numFmt w:val="decimal"/>
      <w:lvlText w:val=""/>
      <w:lvlJc w:val="left"/>
    </w:lvl>
    <w:lvl w:ilvl="4" w:tplc="150A9EDE">
      <w:numFmt w:val="decimal"/>
      <w:lvlText w:val=""/>
      <w:lvlJc w:val="left"/>
    </w:lvl>
    <w:lvl w:ilvl="5" w:tplc="4A761CE4">
      <w:numFmt w:val="decimal"/>
      <w:lvlText w:val=""/>
      <w:lvlJc w:val="left"/>
    </w:lvl>
    <w:lvl w:ilvl="6" w:tplc="CF14D218">
      <w:numFmt w:val="decimal"/>
      <w:lvlText w:val=""/>
      <w:lvlJc w:val="left"/>
    </w:lvl>
    <w:lvl w:ilvl="7" w:tplc="941A4E64">
      <w:numFmt w:val="decimal"/>
      <w:lvlText w:val=""/>
      <w:lvlJc w:val="left"/>
    </w:lvl>
    <w:lvl w:ilvl="8" w:tplc="D812DF30">
      <w:numFmt w:val="decimal"/>
      <w:lvlText w:val=""/>
      <w:lvlJc w:val="left"/>
    </w:lvl>
  </w:abstractNum>
  <w:abstractNum w:abstractNumId="2" w15:restartNumberingAfterBreak="0">
    <w:nsid w:val="7D9B646F"/>
    <w:multiLevelType w:val="hybridMultilevel"/>
    <w:tmpl w:val="9EC69856"/>
    <w:lvl w:ilvl="0" w:tplc="81BA240C">
      <w:start w:val="1"/>
      <w:numFmt w:val="bullet"/>
      <w:lvlText w:val="●"/>
      <w:lvlJc w:val="left"/>
      <w:pPr>
        <w:ind w:left="720" w:hanging="360"/>
      </w:pPr>
    </w:lvl>
    <w:lvl w:ilvl="1" w:tplc="22FA26D4">
      <w:start w:val="1"/>
      <w:numFmt w:val="bullet"/>
      <w:lvlText w:val="○"/>
      <w:lvlJc w:val="left"/>
      <w:pPr>
        <w:ind w:left="1440" w:hanging="360"/>
      </w:pPr>
    </w:lvl>
    <w:lvl w:ilvl="2" w:tplc="E402B06E">
      <w:start w:val="1"/>
      <w:numFmt w:val="bullet"/>
      <w:lvlText w:val="■"/>
      <w:lvlJc w:val="left"/>
      <w:pPr>
        <w:ind w:left="2160" w:hanging="360"/>
      </w:pPr>
    </w:lvl>
    <w:lvl w:ilvl="3" w:tplc="EC923C5A">
      <w:start w:val="1"/>
      <w:numFmt w:val="bullet"/>
      <w:lvlText w:val="●"/>
      <w:lvlJc w:val="left"/>
      <w:pPr>
        <w:ind w:left="2880" w:hanging="360"/>
      </w:pPr>
    </w:lvl>
    <w:lvl w:ilvl="4" w:tplc="9FAE80E6">
      <w:start w:val="1"/>
      <w:numFmt w:val="bullet"/>
      <w:lvlText w:val="○"/>
      <w:lvlJc w:val="left"/>
      <w:pPr>
        <w:ind w:left="3600" w:hanging="360"/>
      </w:pPr>
    </w:lvl>
    <w:lvl w:ilvl="5" w:tplc="692C5C40">
      <w:start w:val="1"/>
      <w:numFmt w:val="bullet"/>
      <w:lvlText w:val="■"/>
      <w:lvlJc w:val="left"/>
      <w:pPr>
        <w:ind w:left="4320" w:hanging="360"/>
      </w:pPr>
    </w:lvl>
    <w:lvl w:ilvl="6" w:tplc="7BB0AE56">
      <w:start w:val="1"/>
      <w:numFmt w:val="bullet"/>
      <w:lvlText w:val="●"/>
      <w:lvlJc w:val="left"/>
      <w:pPr>
        <w:ind w:left="5040" w:hanging="360"/>
      </w:pPr>
    </w:lvl>
    <w:lvl w:ilvl="7" w:tplc="8E165A30">
      <w:start w:val="1"/>
      <w:numFmt w:val="bullet"/>
      <w:lvlText w:val="●"/>
      <w:lvlJc w:val="left"/>
      <w:pPr>
        <w:ind w:left="5760" w:hanging="360"/>
      </w:pPr>
    </w:lvl>
    <w:lvl w:ilvl="8" w:tplc="38D0D5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701"/>
    <w:rsid w:val="00077701"/>
    <w:rsid w:val="00096AA0"/>
    <w:rsid w:val="003D39E7"/>
    <w:rsid w:val="00BA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66D19"/>
  <w15:docId w15:val="{F48B5A18-0498-417F-B329-E90B1463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1085</Words>
  <Characters>5970</Characters>
  <Application>Microsoft Office Word</Application>
  <DocSecurity>0</DocSecurity>
  <Lines>49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soto</cp:lastModifiedBy>
  <cp:revision>3</cp:revision>
  <dcterms:created xsi:type="dcterms:W3CDTF">2026-09-01T02:10:00Z</dcterms:created>
  <dcterms:modified xsi:type="dcterms:W3CDTF">2026-09-01T02:13:00Z</dcterms:modified>
</cp:coreProperties>
</file>