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INFORME ESTRATÉGICO</w:t>
        <w:br/>
        <w:t>STS 458/2025 (ROJ STS 1292/2025) y defensa del demandado (Juan) en el procedimiento de Picassent</w:t>
      </w:r>
    </w:p>
    <w:p>
      <w:r>
        <w:rPr>
          <w:b/>
        </w:rPr>
        <w:t xml:space="preserve">Documento de trabajo interno. </w:t>
      </w:r>
      <w:r>
        <w:t xml:space="preserve">Objetivo: entender con precisión qué resuelve la STS 458/2025, qué NO resuelve, y cómo blindar tu defensa cuando la actora intente usarla como palanca. </w:t>
      </w:r>
      <w:r>
        <w:t>Incluye: resumen técnico de la STS, particularidades del caso del TS, desemejanzas con tu asunto, argumentos de defensa, guiones para sala, y checklist de pruebas/tareas.</w:t>
      </w:r>
    </w:p>
    <w:p/>
    <w:p>
      <w:r>
        <w:rPr>
          <w:b/>
          <w:sz w:val="28"/>
        </w:rPr>
        <w:t>0) Datos de entrada (tu caso) – fijados por ti</w:t>
      </w:r>
    </w:p>
    <w:p>
      <w:pPr>
        <w:pStyle w:val="ListBullet"/>
      </w:pPr>
      <w:r>
        <w:t>Ruptura/fin convivencia: agosto 2022 (separación de hecho definitiva).</w:t>
      </w:r>
    </w:p>
    <w:p>
      <w:pPr>
        <w:pStyle w:val="ListBullet"/>
      </w:pPr>
      <w:r>
        <w:t>Desde agosto 2022 hasta octubre 2023: pagos al 50% (mitad cada uno).</w:t>
      </w:r>
    </w:p>
    <w:p>
      <w:pPr>
        <w:pStyle w:val="ListBullet"/>
      </w:pPr>
      <w:r>
        <w:t>Desde octubre 2023: la actora deja de pagar; tú vas cubriendo lo que puedes.</w:t>
      </w:r>
    </w:p>
    <w:p>
      <w:pPr>
        <w:pStyle w:val="ListBullet"/>
      </w:pPr>
      <w:r>
        <w:t>Situación actual: se adeuda aproximadamente 1 año de cuotas al banco (límite antes de ejecución/embargo).</w:t>
      </w:r>
    </w:p>
    <w:p>
      <w:pPr>
        <w:pStyle w:val="ListBullet"/>
      </w:pPr>
      <w:r>
        <w:t>Préstamo/hipoteca: subrogación 18/06/2009 (Barclays→CaixaBank) de un préstamo inicial 22/08/2006 (Kutxa) destinado a compra de parcelas + construcción de chalet (Montroy/Godelleta). Tu vivienda privativa funciona como garantía hipotecaria, no como destino financiado.</w:t>
      </w:r>
    </w:p>
    <w:p/>
    <w:p>
      <w:r>
        <w:rPr>
          <w:b/>
          <w:sz w:val="28"/>
        </w:rPr>
        <w:t>1) Qué es exactamente la STS 458/2025 (ROJ STS 1292/2025)</w:t>
      </w:r>
    </w:p>
    <w:p>
      <w:pPr>
        <w:pStyle w:val="ListBullet"/>
      </w:pPr>
      <w:r>
        <w:t>Órgano: Tribunal Supremo, Sala 1ª (Civil).</w:t>
      </w:r>
    </w:p>
    <w:p>
      <w:pPr>
        <w:pStyle w:val="ListBullet"/>
      </w:pPr>
      <w:r>
        <w:t>Fecha: 24/03/2025.</w:t>
      </w:r>
    </w:p>
    <w:p>
      <w:pPr>
        <w:pStyle w:val="ListBullet"/>
      </w:pPr>
      <w:r>
        <w:t>Procedimiento: recurso de casación en liquidación de régimen de separación de bienes (formación de inventario).</w:t>
      </w:r>
    </w:p>
    <w:p>
      <w:pPr>
        <w:pStyle w:val="ListBullet"/>
      </w:pPr>
      <w:r>
        <w:t>Tema nuclear: dies a quo (inicio) de la prescripción de la acción de reembolso/repetición por cuotas hipotecarias pagadas «de más» por un cónyuge.</w:t>
      </w:r>
    </w:p>
    <w:p>
      <w:r>
        <w:rPr>
          <w:b/>
          <w:sz w:val="24"/>
        </w:rPr>
        <w:t>1.1) Hechos probados relevantes en la STS</w:t>
      </w:r>
    </w:p>
    <w:p>
      <w:r>
        <w:t>En el caso del TS, ambos cónyuges compran una vivienda al 50% (mitades indivisas) y suscriben un préstamo hipotecario para financiarla. En la liquidación del régimen (separación de bienes), la actora reclama un crédito por haber pagado cuotas hipotecarias que correspondían al demandado.</w:t>
      </w:r>
    </w:p>
    <w:p>
      <w:pPr>
        <w:pStyle w:val="ListBullet"/>
      </w:pPr>
      <w:r>
        <w:t>En casación queda limitada la controversia a prescripción: el TS inadmite el motivo relativo a valoración de prueba (pago exclusivo) y solo entra en el dies a quo.</w:t>
      </w:r>
    </w:p>
    <w:p>
      <w:pPr>
        <w:pStyle w:val="ListBullet"/>
      </w:pPr>
      <w:r>
        <w:t>El demandado defendía que la prescripción debía computarse desde cada pago; la actora y la AP sostienen que desde la ruptura/disolución.</w:t>
      </w:r>
    </w:p>
    <w:p>
      <w:r>
        <w:rPr>
          <w:b/>
          <w:sz w:val="24"/>
        </w:rPr>
        <w:t>1.2) Qué se pidió y qué resolvieron las instancias</w:t>
      </w:r>
    </w:p>
    <w:p>
      <w:pPr>
        <w:pStyle w:val="ListBullet"/>
      </w:pPr>
      <w:r>
        <w:t>1ª instancia: reconoce un crédito muy inferior (≈ 3.696,65 €) por cuotas e IBI.</w:t>
      </w:r>
    </w:p>
    <w:p>
      <w:pPr>
        <w:pStyle w:val="ListBullet"/>
      </w:pPr>
      <w:r>
        <w:t>2ª instancia (AP Valencia Sección 10ª): revoca y fija crédito ≈ 22.797,56 €.</w:t>
      </w:r>
    </w:p>
    <w:p>
      <w:pPr>
        <w:pStyle w:val="ListBullet"/>
      </w:pPr>
      <w:r>
        <w:t>Casación (TS): desestima el recurso y confirma a la AP; impone costas del recurso al recurrente.</w:t>
      </w:r>
    </w:p>
    <w:p>
      <w:r>
        <w:rPr>
          <w:b/>
          <w:sz w:val="24"/>
        </w:rPr>
        <w:t>1.3) Doctrina clave: dies a quo de la prescripción en reembolso entre cónyuges</w:t>
      </w:r>
    </w:p>
    <w:p>
      <w:r>
        <w:t>La STS establece que, en reclamaciones de reembolso entre cónyuges/convivientes por pagos de cuotas hipotecarias, no es razonable exigir reclamación o interrupción de prescripción durante la convivencia. Por ello, el inicio del plazo (5 años del art. 1964.2 CC) se computa desde la disolución del matrimonio o desde la separación de hecho definitiva, no desde cada pago mensual.</w:t>
      </w:r>
    </w:p>
    <w:p>
      <w:pPr>
        <w:pStyle w:val="ListBullet"/>
      </w:pPr>
      <w:r>
        <w:t>En convivencia: marco de ayuda mutua/gestión conjunta; no se espera litigación interna mensual.</w:t>
      </w:r>
    </w:p>
    <w:p>
      <w:pPr>
        <w:pStyle w:val="ListBullet"/>
      </w:pPr>
      <w:r>
        <w:t>Ruptura definitiva: momento en que el crédito ‘se hace exigible con sentido’; ahí arranca el plazo.</w:t>
      </w:r>
    </w:p>
    <w:p>
      <w:r>
        <w:rPr>
          <w:b/>
          <w:sz w:val="24"/>
        </w:rPr>
        <w:t>1.4) Qué NO decide la STS (y esto es donde tú te defiendes)</w:t>
      </w:r>
    </w:p>
    <w:p>
      <w:pPr>
        <w:pStyle w:val="ListBullet"/>
      </w:pPr>
      <w:r>
        <w:t>NO crea la regla ‘cuenta nómina = pago privativo’.</w:t>
      </w:r>
    </w:p>
    <w:p>
      <w:pPr>
        <w:pStyle w:val="ListBullet"/>
      </w:pPr>
      <w:r>
        <w:t>NO exime a quien reclama de probar: pago efectivo, cuantía exacta, exceso respecto de la contribución del otro y ausencia de pacto/compensación.</w:t>
      </w:r>
    </w:p>
    <w:p>
      <w:pPr>
        <w:pStyle w:val="ListBullet"/>
      </w:pPr>
      <w:r>
        <w:t>NO convierte un préstamo común en ‘hipoteca de vivienda privativa’ por el hecho de que un bien privativo sea garantía.</w:t>
      </w:r>
    </w:p>
    <w:p/>
    <w:p>
      <w:r>
        <w:rPr>
          <w:b/>
          <w:sz w:val="28"/>
        </w:rPr>
        <w:t>2) Particularidades del caso TS (por qué allí funcionó y cómo evitar extrapolación automática)</w:t>
      </w:r>
    </w:p>
    <w:p>
      <w:r>
        <w:rPr>
          <w:b/>
          <w:sz w:val="24"/>
        </w:rPr>
        <w:t>2.1) La casación del TS entra solo en prescripción</w:t>
      </w:r>
    </w:p>
    <w:p>
      <w:pPr>
        <w:pStyle w:val="ListBullet"/>
      </w:pPr>
      <w:r>
        <w:t>El TS no reabre hechos: inadmite el motivo de valoración de prueba sobre pago exclusivo.</w:t>
      </w:r>
    </w:p>
    <w:p>
      <w:pPr>
        <w:pStyle w:val="ListBullet"/>
      </w:pPr>
      <w:r>
        <w:t>Así, la STS 458/2025 es una sentencia de ‘marco temporal’ (dies a quo), no una sentencia que te obligue a aceptar el relato contable de la actora en tu pleito.</w:t>
      </w:r>
    </w:p>
    <w:p>
      <w:r>
        <w:rPr>
          <w:b/>
          <w:sz w:val="24"/>
        </w:rPr>
        <w:t>2.2) El patrón real: prescripción vs. prueba del exceso</w:t>
      </w:r>
    </w:p>
    <w:p>
      <w:r>
        <w:t>Estos pleitos se ganan o se pierden por dos llaves: (a) prescripción; (b) prueba del pago exclusivo/en exceso y del origen de fondos. La STS 458/2025 refuerza (a) para el reclamante, pero no regala (b).</w:t>
      </w:r>
    </w:p>
    <w:p/>
    <w:p>
      <w:r>
        <w:rPr>
          <w:b/>
          <w:sz w:val="28"/>
        </w:rPr>
        <w:t>3) Tu caso vs STS 458/2025: desemejanzas ‘aprovechables’</w:t>
      </w:r>
    </w:p>
    <w:p>
      <w:r>
        <w:rPr>
          <w:b/>
          <w:sz w:val="24"/>
        </w:rPr>
        <w:t>3.1) Encuadre discutible en tu demanda: ‘hipoteca de tu casa privativa’</w:t>
      </w:r>
    </w:p>
    <w:p>
      <w:r>
        <w:t>En tu procedimiento, la actora califica el préstamo como «préstamo hipotecario de la vivienda privativa del demandado» y sostiene que 2009–2018 la cuenta 0906 se nutrió «únicamente» de su nómina, por lo que pagó íntegramente las cuotas.</w:t>
      </w:r>
    </w:p>
    <w:p>
      <w:pPr>
        <w:pStyle w:val="ListBullet"/>
      </w:pPr>
      <w:r>
        <w:t>Tu posición: el préstamo 2009 es subrogación del 2006 para comprar parcelas y construir el chalet (bienes comunes). Tu vivienda privativa es garantía aportada por ti.</w:t>
      </w:r>
    </w:p>
    <w:p>
      <w:pPr>
        <w:pStyle w:val="ListBullet"/>
      </w:pPr>
      <w:r>
        <w:t>Esto reubica el caso: no es ‘ella pagando tu casa’; es una obligación solidaria financiando bienes comunes cuya adjudicación al 50% pretende.</w:t>
      </w:r>
    </w:p>
    <w:p>
      <w:r>
        <w:rPr>
          <w:b/>
          <w:sz w:val="24"/>
        </w:rPr>
        <w:t>3.2) Sistema económico doméstico de ‘dos cuentas conjuntas’ (tu antídoto probatorio)</w:t>
      </w:r>
    </w:p>
    <w:p>
      <w:r>
        <w:t>Tú describes un sistema de dos cuentas conjuntas: BBVA para gastos ordinarios (con tu nómina) y Barclays/Caixa para cuotas hipotecarias (con su nómina), con ingresos/transferencias/ventanilla de distintos orígenes. Esto invalida atribuir el pago por el mero hecho de entrar su nómina.</w:t>
      </w:r>
    </w:p>
    <w:p>
      <w:pPr>
        <w:pStyle w:val="ListBullet"/>
      </w:pPr>
      <w:r>
        <w:t>Prueba dura: recibos del banco receptor de transferencias donde constas como ordenante.</w:t>
      </w:r>
    </w:p>
    <w:p>
      <w:pPr>
        <w:pStyle w:val="ListBullet"/>
      </w:pPr>
      <w:r>
        <w:t>Plan de reconstrucción: trazabilidad por cronología e importes desde la cuenta origen (aunque hoy no esté accesible en app).</w:t>
      </w:r>
    </w:p>
    <w:p>
      <w:r>
        <w:rPr>
          <w:b/>
          <w:sz w:val="24"/>
        </w:rPr>
        <w:t>3.3) Hecho post-ruptura que te favorece: 50/50 hasta 10/2023 y luego impago de ella</w:t>
      </w:r>
    </w:p>
    <w:p>
      <w:pPr>
        <w:pStyle w:val="ListBullet"/>
      </w:pPr>
      <w:r>
        <w:t>Refuerza credibilidad: si aceptó 50/50 hasta 10/2023, su relato de unilateralidad histórica es menos verosímil.</w:t>
      </w:r>
    </w:p>
    <w:p>
      <w:pPr>
        <w:pStyle w:val="ListBullet"/>
      </w:pPr>
      <w:r>
        <w:t>Refuerza mala fe actual: desde 10/2023 ella rompe equilibrio y te expone a ejecución con tu vivienda como garantía.</w:t>
      </w:r>
    </w:p>
    <w:p/>
    <w:p>
      <w:r>
        <w:rPr>
          <w:b/>
          <w:sz w:val="28"/>
        </w:rPr>
        <w:t>4) Cómo te intentarán usar la STS 458/2025 (y cómo neutralizarlo)</w:t>
      </w:r>
    </w:p>
    <w:p>
      <w:r>
        <w:rPr>
          <w:b/>
          <w:sz w:val="24"/>
        </w:rPr>
        <w:t>4.1) Movimiento típico</w:t>
      </w:r>
    </w:p>
    <w:p>
      <w:pPr>
        <w:pStyle w:val="ListBullet"/>
      </w:pPr>
      <w:r>
        <w:t>Usar 458/2025 para salvar 2009–2018: ‘no prescribe hasta ruptura’.</w:t>
      </w:r>
    </w:p>
    <w:p>
      <w:pPr>
        <w:pStyle w:val="ListBullet"/>
      </w:pPr>
      <w:r>
        <w:t>Venderla como si el TS dijera ‘cuenta nómina = pago privativo’.</w:t>
      </w:r>
    </w:p>
    <w:p>
      <w:pPr>
        <w:pStyle w:val="ListBullet"/>
      </w:pPr>
      <w:r>
        <w:t>Insistir en ‘hipoteca de tu casa’ para sesgo del juzgador.</w:t>
      </w:r>
    </w:p>
    <w:p>
      <w:r>
        <w:rPr>
          <w:b/>
          <w:sz w:val="24"/>
        </w:rPr>
        <w:t>4.2) Respuesta corta para sala – versión ‘martillo’</w:t>
      </w:r>
    </w:p>
    <w:p>
      <w:r>
        <w:rPr>
          <w:b/>
        </w:rPr>
        <w:t>“Señoría: la STS 458/2025 solo fija el dies a quo de la prescripción; no acredita que la actora pagara en exceso con fondos privativos. Aquí hay dos cuentas conjuntas, aportaciones cruzadas y transferencias del demandado acreditadas por recibos de la entidad receptora. Además, el préstamo es solidario y destinado a bienes comunes; mi vivienda privativa es solo garantía. No cabe construir un crédito unilateral por el mero canal bancario.”</w:t>
      </w:r>
    </w:p>
    <w:p>
      <w:r>
        <w:rPr>
          <w:b/>
          <w:sz w:val="24"/>
        </w:rPr>
        <w:t>4.3) Defensa por bloques (operativa)</w:t>
      </w:r>
    </w:p>
    <w:p>
      <w:pPr>
        <w:pStyle w:val="ListNumber"/>
      </w:pPr>
      <w:r>
        <w:t>Bloque A – Marco del préstamo: demostrar que NO es ‘hipoteca de mi casa’, sino préstamo solidario para bienes comunes; mi vivienda es garantía aportada por mí.</w:t>
      </w:r>
    </w:p>
    <w:p>
      <w:pPr>
        <w:pStyle w:val="ListNumber"/>
      </w:pPr>
      <w:r>
        <w:t>Bloque B – Origen de fondos: destruir ‘solo nómina’; probar ingresos/transferencias del demandado a 0906 y existencia de doble cuenta conjunta.</w:t>
      </w:r>
    </w:p>
    <w:p>
      <w:pPr>
        <w:pStyle w:val="ListNumber"/>
      </w:pPr>
      <w:r>
        <w:t>Bloque C – Cuantificación: exigir trazabilidad completa, detectar errores y excluir partidas no probadas o basadas en capturas parciales.</w:t>
      </w:r>
    </w:p>
    <w:p>
      <w:pPr>
        <w:pStyle w:val="ListNumber"/>
      </w:pPr>
      <w:r>
        <w:t>Bloque D – Hechos post-ruptura: acreditar 50/50 hasta 10/2023, impago posterior y riesgo de ejecución; plantear créditos cruzados/compensaciones.</w:t>
      </w:r>
    </w:p>
    <w:p/>
    <w:p>
      <w:r>
        <w:rPr>
          <w:b/>
          <w:sz w:val="28"/>
        </w:rPr>
        <w:t>5) Argumentos de defensa ‘con criterio aplastante’ (lista operativa)</w:t>
      </w:r>
    </w:p>
    <w:p>
      <w:r>
        <w:rPr>
          <w:b/>
          <w:sz w:val="24"/>
        </w:rPr>
        <w:t>5.1) Error de premisa: destino del préstamo y solidaridad</w:t>
      </w:r>
    </w:p>
    <w:p>
      <w:pPr>
        <w:pStyle w:val="ListBullet"/>
      </w:pPr>
      <w:r>
        <w:t>El préstamo financia parcelas + obra/chalet; tu vivienda es garantía, no destino. Esto desmonta ‘pagaba tu casa’.</w:t>
      </w:r>
    </w:p>
    <w:p>
      <w:pPr>
        <w:pStyle w:val="ListBullet"/>
      </w:pPr>
      <w:r>
        <w:t>Incoherencia relevante: tu contestación afirma que la actora reconoció ante AEAT el destino del préstamo (si aportas el documento, mejor).</w:t>
      </w:r>
    </w:p>
    <w:p>
      <w:pPr>
        <w:pStyle w:val="ListBullet"/>
      </w:pPr>
      <w:r>
        <w:t>Si pretende 50% de los bienes financiados, no puede presentarse como única financiadora sin prueba exhaustiva.</w:t>
      </w:r>
    </w:p>
    <w:p>
      <w:r>
        <w:rPr>
          <w:b/>
          <w:sz w:val="24"/>
        </w:rPr>
        <w:t>5.2) Prueba dura: recibos del banco receptor (ordenante Juan)</w:t>
      </w:r>
    </w:p>
    <w:p>
      <w:pPr>
        <w:pStyle w:val="ListBullet"/>
      </w:pPr>
      <w:r>
        <w:t>Aportar justificantes del banco receptor con: ordenante, IBAN origen, fecha, importe, concepto.</w:t>
      </w:r>
    </w:p>
    <w:p>
      <w:pPr>
        <w:pStyle w:val="ListBullet"/>
      </w:pPr>
      <w:r>
        <w:t>Con pocos recibos sólidos ya cae el absolutismo ‘únicamente nómina’ y se fuerza el análisis real (aportes cruzados).</w:t>
      </w:r>
    </w:p>
    <w:p>
      <w:r>
        <w:rPr>
          <w:b/>
          <w:sz w:val="24"/>
        </w:rPr>
        <w:t>5.3) Reconstrucción por cronología/importe</w:t>
      </w:r>
    </w:p>
    <w:p>
      <w:pPr>
        <w:pStyle w:val="ListBullet"/>
      </w:pPr>
      <w:r>
        <w:t>Matriz de trabajo: cargos hipoteca + abonos relevantes en 0906 + transferencias identificables.</w:t>
      </w:r>
    </w:p>
    <w:p>
      <w:pPr>
        <w:pStyle w:val="ListBullet"/>
      </w:pPr>
      <w:r>
        <w:t>Etiquetado de certeza: ALTA/MEDIA/BAJA.</w:t>
      </w:r>
    </w:p>
    <w:p>
      <w:pPr>
        <w:pStyle w:val="ListBullet"/>
      </w:pPr>
      <w:r>
        <w:t>Objetivo mínimo: demostrar pluralidad de aportaciones y contribución relevante del demandado.</w:t>
      </w:r>
    </w:p>
    <w:p>
      <w:r>
        <w:rPr>
          <w:b/>
          <w:sz w:val="24"/>
        </w:rPr>
        <w:t>5.4) Sistema de doble cuenta = contribución global, no ‘cuenta pagadora’</w:t>
      </w:r>
    </w:p>
    <w:p>
      <w:pPr>
        <w:pStyle w:val="ListBullet"/>
      </w:pPr>
      <w:r>
        <w:t>Si tú cubrías gasto ordinario desde BBVA (alimentación, suministros, etc.), no es técnicamente correcto aislar hipoteca para afirmar ‘exceso’ sin excluir compensación por otros gastos.</w:t>
      </w:r>
    </w:p>
    <w:p>
      <w:pPr>
        <w:pStyle w:val="ListBullet"/>
      </w:pPr>
      <w:r>
        <w:t>Tu tesis no es ‘contabilidad de tickets’; es destruir la premisa de unilateralidad y exigir prueba completa para hablar de exceso.</w:t>
      </w:r>
    </w:p>
    <w:p>
      <w:r>
        <w:rPr>
          <w:b/>
          <w:sz w:val="24"/>
        </w:rPr>
        <w:t>5.5) Post-ruptura: coherencia 50/50 e impago posterior</w:t>
      </w:r>
    </w:p>
    <w:p>
      <w:pPr>
        <w:pStyle w:val="ListBullet"/>
      </w:pPr>
      <w:r>
        <w:t>08/2022–10/2023 al 50% = prueba conductual de reparto aceptado.</w:t>
      </w:r>
    </w:p>
    <w:p>
      <w:pPr>
        <w:pStyle w:val="ListBullet"/>
      </w:pPr>
      <w:r>
        <w:t>Impago desde 10/2023 = mala fe + crédito cruzado a tu favor + riesgo real para tu vivienda.</w:t>
      </w:r>
    </w:p>
    <w:p/>
    <w:p>
      <w:r>
        <w:rPr>
          <w:b/>
          <w:sz w:val="28"/>
        </w:rPr>
        <w:t>6) Plan de actuación (deberes) – checklist priorizado</w:t>
      </w:r>
    </w:p>
    <w:p>
      <w:r>
        <w:rPr>
          <w:b/>
          <w:sz w:val="24"/>
        </w:rPr>
        <w:t>6.1) Prioridad 0 – romper ‘solo nómina’</w:t>
      </w:r>
    </w:p>
    <w:p>
      <w:pPr>
        <w:pStyle w:val="ListNumber"/>
      </w:pPr>
      <w:r>
        <w:t>Reunir TODOS los recibos/justificantes donde constes como ordenante (entidad receptora).</w:t>
      </w:r>
    </w:p>
    <w:p>
      <w:pPr>
        <w:pStyle w:val="ListNumber"/>
      </w:pPr>
      <w:r>
        <w:t>Ordenar por año, numerar, y volcar a tabla: fecha, importe, origen, destino, concepto.</w:t>
      </w:r>
    </w:p>
    <w:p>
      <w:pPr>
        <w:pStyle w:val="ListNumber"/>
      </w:pPr>
      <w:r>
        <w:t>Anexarlos como bloque probatorio: ‘ORDENANTE JUAN’.</w:t>
      </w:r>
    </w:p>
    <w:p>
      <w:r>
        <w:rPr>
          <w:b/>
          <w:sz w:val="24"/>
        </w:rPr>
        <w:t>6.2) Prioridad 1 – reconstrucción 2009–2018</w:t>
      </w:r>
    </w:p>
    <w:p>
      <w:pPr>
        <w:pStyle w:val="ListNumber"/>
      </w:pPr>
      <w:r>
        <w:t>Listar cuotas mensuales hipotecarias 2009–2018 (fecha e importe).</w:t>
      </w:r>
    </w:p>
    <w:p>
      <w:pPr>
        <w:pStyle w:val="ListNumber"/>
      </w:pPr>
      <w:r>
        <w:t>Listar abonos no nómina en 0906 (transferencias, ingresos, ventanilla).</w:t>
      </w:r>
    </w:p>
    <w:p>
      <w:pPr>
        <w:pStyle w:val="ListNumber"/>
      </w:pPr>
      <w:r>
        <w:t>Hacer matches fecha±2 días + importe exacto con documentación antigua que puedas recuperar.</w:t>
      </w:r>
    </w:p>
    <w:p>
      <w:pPr>
        <w:pStyle w:val="ListNumber"/>
      </w:pPr>
      <w:r>
        <w:t>Etiquetar certeza y preparar un ‘Cuadro Resumen’ para el juez.</w:t>
      </w:r>
    </w:p>
    <w:p>
      <w:r>
        <w:rPr>
          <w:b/>
          <w:sz w:val="24"/>
        </w:rPr>
        <w:t>6.3) Prioridad 2 – destino del préstamo</w:t>
      </w:r>
    </w:p>
    <w:p>
      <w:pPr>
        <w:pStyle w:val="ListNumber"/>
      </w:pPr>
      <w:r>
        <w:t>Aportar escritura 2006 (Kutxa 310.000) y subrogación 2009 (Barclays 296.154,62).</w:t>
      </w:r>
    </w:p>
    <w:p>
      <w:pPr>
        <w:pStyle w:val="ListNumber"/>
      </w:pPr>
      <w:r>
        <w:t>Aportar documentación de compra parcelas/obra y notas simples.</w:t>
      </w:r>
    </w:p>
    <w:p>
      <w:pPr>
        <w:pStyle w:val="ListNumber"/>
      </w:pPr>
      <w:r>
        <w:t>Aportar documento AEAT donde conste el destino del préstamo (si está en tu documentación).</w:t>
      </w:r>
    </w:p>
    <w:p>
      <w:r>
        <w:rPr>
          <w:b/>
          <w:sz w:val="24"/>
        </w:rPr>
        <w:t>6.4) Prioridad 3 – tramo 08/2022–hoy</w:t>
      </w:r>
    </w:p>
    <w:p>
      <w:pPr>
        <w:pStyle w:val="ListNumber"/>
      </w:pPr>
      <w:r>
        <w:t>Cuadro pagos 08/2022–10/2023 (50/50).</w:t>
      </w:r>
    </w:p>
    <w:p>
      <w:pPr>
        <w:pStyle w:val="ListNumber"/>
      </w:pPr>
      <w:r>
        <w:t>Cuadro impagos desde 10/2023, saldo deudor, y evidencia de mora/riesgo.</w:t>
      </w:r>
    </w:p>
    <w:p>
      <w:pPr>
        <w:pStyle w:val="ListNumber"/>
      </w:pPr>
      <w:r>
        <w:t>Si puedes: certificado bancario de deuda y situación de impago.</w:t>
      </w:r>
    </w:p>
    <w:p/>
    <w:p>
      <w:r>
        <w:rPr>
          <w:b/>
          <w:sz w:val="28"/>
        </w:rPr>
        <w:t>7) Guiones listos para usar (Audiencia Previa / vista)</w:t>
      </w:r>
    </w:p>
    <w:p>
      <w:r>
        <w:rPr>
          <w:b/>
          <w:sz w:val="24"/>
        </w:rPr>
        <w:t>7.1) Guion de 60 segundos (tesis)</w:t>
      </w:r>
    </w:p>
    <w:p>
      <w:r>
        <w:t>1) La STS 458/2025 regula solo el dies a quo; 2) aquí lo decisivo es la prueba del supuesto ‘pago en exceso’; 3) el préstamo es solidario y su destino son bienes comunes; 4) la cuenta 0906 no se nutrió únicamente de la nómina de la actora; 5) existen transferencias del demandado acreditadas por recibos de la entidad receptora y un sistema de doble cuenta; 6) tras la ruptura, reparto 50/50 hasta 10/2023 e impago posterior de ella.</w:t>
      </w:r>
    </w:p>
    <w:p>
      <w:r>
        <w:rPr>
          <w:b/>
          <w:sz w:val="24"/>
        </w:rPr>
        <w:t>7.2) Preguntas clave de contrainterrogatorio</w:t>
      </w:r>
    </w:p>
    <w:p>
      <w:pPr>
        <w:pStyle w:val="ListBullet"/>
      </w:pPr>
      <w:r>
        <w:t>¿Reconoce que la cuenta 0906 era de titularidad conjunta?</w:t>
      </w:r>
    </w:p>
    <w:p>
      <w:pPr>
        <w:pStyle w:val="ListBullet"/>
      </w:pPr>
      <w:r>
        <w:t>¿Reconoce que existía una cuenta conjunta BBVA donde se ingresaba la nómina del demandado?</w:t>
      </w:r>
    </w:p>
    <w:p>
      <w:pPr>
        <w:pStyle w:val="ListBullet"/>
      </w:pPr>
      <w:r>
        <w:t>¿Por qué afirma ‘únicamente nómina’ si existen ingresos/transferencias/ventanilla?</w:t>
      </w:r>
    </w:p>
    <w:p>
      <w:pPr>
        <w:pStyle w:val="ListBullet"/>
      </w:pPr>
      <w:r>
        <w:t>¿Reconoce que 08/2022–10/2023 se pagó al 50%?</w:t>
      </w:r>
    </w:p>
    <w:p>
      <w:pPr>
        <w:pStyle w:val="ListBullet"/>
      </w:pPr>
      <w:r>
        <w:t>¿Reconoce que desde 10/2023 dejó de pagar su parte?</w:t>
      </w:r>
    </w:p>
    <w:p>
      <w:pPr>
        <w:pStyle w:val="ListBullet"/>
      </w:pPr>
      <w:r>
        <w:t>¿Reconoce que el préstamo 2009 es subrogación del 2006 destinado a parcelas/obra?</w:t>
      </w:r>
    </w:p>
    <w:p/>
    <w:p>
      <w:r>
        <w:rPr>
          <w:b/>
          <w:sz w:val="28"/>
        </w:rPr>
        <w:t>8) Conclusión estratégica</w:t>
      </w:r>
    </w:p>
    <w:p>
      <w:r>
        <w:t>La STS 458/2025 te perjudica solo si el pleito se queda en prescripción «pago a pago». Tu defensa ganadora es factual: destruir ‘solo nómina’, reubicar el préstamo como obligación solidaria para bienes comunes, y exigir trazabilidad real. Con receptoras como ordenante + reconstrucción por cronología/importe, puedes neutralizar el uso abusivo de la STS y reducir/derribar el crédito pretendido.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