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1B7A" w14:textId="77777777" w:rsidR="005E7438" w:rsidRDefault="0064470A">
      <w:pPr>
        <w:pBdr>
          <w:top w:val="single" w:sz="4" w:space="1" w:color="000000"/>
          <w:left w:val="single" w:sz="4" w:space="4" w:color="000000"/>
          <w:bottom w:val="single" w:sz="4" w:space="1" w:color="000000"/>
          <w:right w:val="single" w:sz="4" w:space="4" w:color="000000"/>
        </w:pBdr>
        <w:jc w:val="center"/>
        <w:rPr>
          <w:rFonts w:ascii="Tahoma" w:hAnsi="Tahoma" w:cs="Tahoma"/>
          <w:b/>
          <w:sz w:val="20"/>
          <w:szCs w:val="20"/>
        </w:rPr>
      </w:pPr>
      <w:r>
        <w:rPr>
          <w:rFonts w:ascii="Tahoma" w:hAnsi="Tahoma" w:cs="Tahoma"/>
          <w:b/>
          <w:sz w:val="20"/>
          <w:szCs w:val="20"/>
        </w:rPr>
        <w:t>ACTA DE REUNIÓN</w:t>
      </w:r>
    </w:p>
    <w:p w14:paraId="0C760086" w14:textId="77777777" w:rsidR="005E7438" w:rsidRDefault="005E7438">
      <w:pPr>
        <w:jc w:val="center"/>
        <w:rPr>
          <w:rFonts w:ascii="Tahoma" w:hAnsi="Tahoma" w:cs="Tahoma"/>
          <w:b/>
          <w:sz w:val="20"/>
          <w:szCs w:val="20"/>
        </w:rPr>
      </w:pPr>
    </w:p>
    <w:p w14:paraId="25FEC90E" w14:textId="214C412A"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Fecha: </w:t>
      </w:r>
      <w:r w:rsidR="00AC23B9">
        <w:rPr>
          <w:rFonts w:ascii="Tahoma" w:hAnsi="Tahoma" w:cs="Tahoma"/>
          <w:b/>
          <w:sz w:val="20"/>
          <w:szCs w:val="20"/>
        </w:rPr>
        <w:t>26</w:t>
      </w:r>
      <w:r>
        <w:rPr>
          <w:rFonts w:ascii="Tahoma" w:hAnsi="Tahoma" w:cs="Tahoma"/>
          <w:b/>
          <w:sz w:val="20"/>
          <w:szCs w:val="20"/>
        </w:rPr>
        <w:t>/03/2026</w:t>
      </w:r>
    </w:p>
    <w:p w14:paraId="3A73F6A7" w14:textId="77777777"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Lugar: Oficina de Bienestar Universitario, área de psicología. </w:t>
      </w:r>
      <w:proofErr w:type="spellStart"/>
      <w:r>
        <w:rPr>
          <w:rFonts w:ascii="Tahoma" w:hAnsi="Tahoma" w:cs="Tahoma"/>
          <w:b/>
          <w:sz w:val="20"/>
          <w:szCs w:val="20"/>
        </w:rPr>
        <w:t>UdeC</w:t>
      </w:r>
      <w:proofErr w:type="spellEnd"/>
      <w:r>
        <w:rPr>
          <w:rFonts w:ascii="Tahoma" w:hAnsi="Tahoma" w:cs="Tahoma"/>
          <w:b/>
          <w:sz w:val="20"/>
          <w:szCs w:val="20"/>
        </w:rPr>
        <w:t xml:space="preserve"> sede piedra Bolívar</w:t>
      </w:r>
    </w:p>
    <w:p w14:paraId="0DCA32F9" w14:textId="037B5954"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Hora de Inicio: </w:t>
      </w:r>
      <w:r w:rsidR="00AC23B9">
        <w:rPr>
          <w:rFonts w:ascii="Tahoma" w:hAnsi="Tahoma" w:cs="Tahoma"/>
          <w:b/>
          <w:sz w:val="20"/>
          <w:szCs w:val="20"/>
        </w:rPr>
        <w:t>2</w:t>
      </w:r>
      <w:r>
        <w:rPr>
          <w:rFonts w:ascii="Tahoma" w:hAnsi="Tahoma" w:cs="Tahoma"/>
          <w:b/>
          <w:sz w:val="20"/>
          <w:szCs w:val="20"/>
        </w:rPr>
        <w:t>:</w:t>
      </w:r>
      <w:r w:rsidR="00AC23B9">
        <w:rPr>
          <w:rFonts w:ascii="Tahoma" w:hAnsi="Tahoma" w:cs="Tahoma"/>
          <w:b/>
          <w:sz w:val="20"/>
          <w:szCs w:val="20"/>
        </w:rPr>
        <w:t>0</w:t>
      </w:r>
      <w:r>
        <w:rPr>
          <w:rFonts w:ascii="Tahoma" w:hAnsi="Tahoma" w:cs="Tahoma"/>
          <w:b/>
          <w:sz w:val="20"/>
          <w:szCs w:val="20"/>
        </w:rPr>
        <w:t xml:space="preserve">0 </w:t>
      </w:r>
      <w:r w:rsidR="00AC23B9">
        <w:rPr>
          <w:rFonts w:ascii="Tahoma" w:hAnsi="Tahoma" w:cs="Tahoma"/>
          <w:b/>
          <w:sz w:val="20"/>
          <w:szCs w:val="20"/>
        </w:rPr>
        <w:t>pm</w:t>
      </w:r>
    </w:p>
    <w:p w14:paraId="211226D1" w14:textId="36B64F74" w:rsidR="005E7438" w:rsidRDefault="0064470A">
      <w:pPr>
        <w:pBdr>
          <w:top w:val="single" w:sz="6" w:space="1" w:color="000000"/>
          <w:left w:val="single" w:sz="6" w:space="0" w:color="000000"/>
          <w:bottom w:val="single" w:sz="6" w:space="1" w:color="000000"/>
          <w:right w:val="single" w:sz="6" w:space="1" w:color="000000"/>
        </w:pBdr>
        <w:rPr>
          <w:rFonts w:ascii="Tahoma" w:hAnsi="Tahoma" w:cs="Tahoma"/>
          <w:sz w:val="20"/>
          <w:szCs w:val="20"/>
        </w:rPr>
      </w:pPr>
      <w:r>
        <w:rPr>
          <w:rFonts w:ascii="Tahoma" w:hAnsi="Tahoma" w:cs="Tahoma"/>
          <w:b/>
          <w:sz w:val="20"/>
          <w:szCs w:val="20"/>
        </w:rPr>
        <w:t xml:space="preserve">Hora de Finalización: </w:t>
      </w:r>
      <w:r w:rsidR="00AC23B9">
        <w:rPr>
          <w:rFonts w:ascii="Tahoma" w:hAnsi="Tahoma" w:cs="Tahoma"/>
          <w:b/>
          <w:sz w:val="20"/>
          <w:szCs w:val="20"/>
        </w:rPr>
        <w:t>2</w:t>
      </w:r>
      <w:r>
        <w:rPr>
          <w:rFonts w:ascii="Tahoma" w:hAnsi="Tahoma" w:cs="Tahoma"/>
          <w:b/>
          <w:sz w:val="20"/>
          <w:szCs w:val="20"/>
        </w:rPr>
        <w:t>:</w:t>
      </w:r>
      <w:r w:rsidR="00AC23B9">
        <w:rPr>
          <w:rFonts w:ascii="Tahoma" w:hAnsi="Tahoma" w:cs="Tahoma"/>
          <w:b/>
          <w:sz w:val="20"/>
          <w:szCs w:val="20"/>
        </w:rPr>
        <w:t>4</w:t>
      </w:r>
      <w:r>
        <w:rPr>
          <w:rFonts w:ascii="Tahoma" w:hAnsi="Tahoma" w:cs="Tahoma"/>
          <w:b/>
          <w:sz w:val="20"/>
          <w:szCs w:val="20"/>
        </w:rPr>
        <w:t xml:space="preserve">0 </w:t>
      </w:r>
      <w:r w:rsidR="00AC23B9">
        <w:rPr>
          <w:rFonts w:ascii="Tahoma" w:hAnsi="Tahoma" w:cs="Tahoma"/>
          <w:b/>
          <w:sz w:val="20"/>
          <w:szCs w:val="20"/>
        </w:rPr>
        <w:t>pm</w:t>
      </w:r>
    </w:p>
    <w:p w14:paraId="5067E7C8" w14:textId="77777777" w:rsidR="005E7438" w:rsidRDefault="0064470A">
      <w:pPr>
        <w:pBdr>
          <w:top w:val="single" w:sz="4" w:space="1" w:color="000000"/>
          <w:left w:val="single" w:sz="4" w:space="0" w:color="000000"/>
          <w:bottom w:val="single" w:sz="4" w:space="1" w:color="000000"/>
          <w:right w:val="single" w:sz="4" w:space="2" w:color="000000"/>
        </w:pBdr>
        <w:rPr>
          <w:rFonts w:ascii="Tahoma" w:hAnsi="Tahoma" w:cs="Tahoma"/>
          <w:sz w:val="20"/>
          <w:szCs w:val="20"/>
        </w:rPr>
      </w:pPr>
      <w:r>
        <w:rPr>
          <w:rFonts w:ascii="Tahoma" w:hAnsi="Tahoma" w:cs="Tahoma"/>
          <w:b/>
          <w:sz w:val="20"/>
          <w:szCs w:val="20"/>
        </w:rPr>
        <w:t>Preparó:</w:t>
      </w:r>
      <w:r>
        <w:rPr>
          <w:rFonts w:ascii="Tahoma" w:hAnsi="Tahoma" w:cs="Tahoma"/>
          <w:sz w:val="20"/>
          <w:szCs w:val="20"/>
        </w:rPr>
        <w:t xml:space="preserve"> Steven Pacheco, Samuel Movilla, Juan Diego Bello</w:t>
      </w:r>
    </w:p>
    <w:p w14:paraId="3D33C4EA" w14:textId="77777777" w:rsidR="005E7438" w:rsidRDefault="005E7438">
      <w:pPr>
        <w:jc w:val="center"/>
        <w:rPr>
          <w:rFonts w:ascii="Tahoma" w:hAnsi="Tahoma" w:cs="Tahoma"/>
          <w:b/>
          <w:sz w:val="20"/>
          <w:szCs w:val="20"/>
        </w:rPr>
      </w:pPr>
    </w:p>
    <w:tbl>
      <w:tblPr>
        <w:tblW w:w="9964" w:type="dxa"/>
        <w:tblLayout w:type="fixed"/>
        <w:tblLook w:val="04A0" w:firstRow="1" w:lastRow="0" w:firstColumn="1" w:lastColumn="0" w:noHBand="0" w:noVBand="1"/>
      </w:tblPr>
      <w:tblGrid>
        <w:gridCol w:w="555"/>
        <w:gridCol w:w="3862"/>
        <w:gridCol w:w="4432"/>
        <w:gridCol w:w="560"/>
        <w:gridCol w:w="555"/>
      </w:tblGrid>
      <w:tr w:rsidR="005E7438" w14:paraId="5E6B2B27" w14:textId="77777777">
        <w:tc>
          <w:tcPr>
            <w:tcW w:w="8849" w:type="dxa"/>
            <w:gridSpan w:val="3"/>
            <w:tcBorders>
              <w:top w:val="single" w:sz="4" w:space="0" w:color="000000"/>
              <w:left w:val="single" w:sz="4" w:space="0" w:color="000000"/>
              <w:bottom w:val="single" w:sz="4" w:space="0" w:color="000000"/>
              <w:right w:val="single" w:sz="4" w:space="0" w:color="000000"/>
            </w:tcBorders>
          </w:tcPr>
          <w:p w14:paraId="06161602" w14:textId="77777777" w:rsidR="005E7438" w:rsidRDefault="0064470A">
            <w:pPr>
              <w:jc w:val="center"/>
              <w:rPr>
                <w:rFonts w:ascii="Tahoma" w:hAnsi="Tahoma" w:cs="Tahoma"/>
                <w:b/>
                <w:sz w:val="20"/>
                <w:szCs w:val="20"/>
              </w:rPr>
            </w:pPr>
            <w:r>
              <w:rPr>
                <w:rFonts w:ascii="Tahoma" w:hAnsi="Tahoma" w:cs="Tahoma"/>
                <w:b/>
                <w:sz w:val="20"/>
                <w:szCs w:val="20"/>
              </w:rPr>
              <w:t>Asistentes</w:t>
            </w:r>
          </w:p>
        </w:tc>
        <w:tc>
          <w:tcPr>
            <w:tcW w:w="1115" w:type="dxa"/>
            <w:gridSpan w:val="2"/>
            <w:tcBorders>
              <w:top w:val="single" w:sz="4" w:space="0" w:color="000000"/>
              <w:left w:val="single" w:sz="4" w:space="0" w:color="000000"/>
              <w:bottom w:val="single" w:sz="4" w:space="0" w:color="000000"/>
              <w:right w:val="single" w:sz="4" w:space="0" w:color="000000"/>
            </w:tcBorders>
          </w:tcPr>
          <w:p w14:paraId="18570BC4" w14:textId="77777777" w:rsidR="005E7438" w:rsidRDefault="0064470A">
            <w:pPr>
              <w:jc w:val="center"/>
              <w:rPr>
                <w:rFonts w:ascii="Tahoma" w:hAnsi="Tahoma" w:cs="Tahoma"/>
                <w:b/>
                <w:sz w:val="20"/>
                <w:szCs w:val="20"/>
              </w:rPr>
            </w:pPr>
            <w:r>
              <w:rPr>
                <w:rFonts w:ascii="Tahoma" w:hAnsi="Tahoma" w:cs="Tahoma"/>
                <w:b/>
                <w:sz w:val="20"/>
                <w:szCs w:val="20"/>
              </w:rPr>
              <w:t>Asistió</w:t>
            </w:r>
          </w:p>
        </w:tc>
      </w:tr>
      <w:tr w:rsidR="005E7438" w14:paraId="319D36B3" w14:textId="77777777">
        <w:tc>
          <w:tcPr>
            <w:tcW w:w="555" w:type="dxa"/>
            <w:tcBorders>
              <w:top w:val="single" w:sz="4" w:space="0" w:color="000000"/>
              <w:left w:val="single" w:sz="4" w:space="0" w:color="000000"/>
              <w:bottom w:val="single" w:sz="4" w:space="0" w:color="000000"/>
              <w:right w:val="single" w:sz="4" w:space="0" w:color="000000"/>
            </w:tcBorders>
          </w:tcPr>
          <w:p w14:paraId="506365E9" w14:textId="77777777" w:rsidR="005E7438" w:rsidRDefault="0064470A">
            <w:pPr>
              <w:jc w:val="center"/>
              <w:rPr>
                <w:rFonts w:ascii="Tahoma" w:hAnsi="Tahoma" w:cs="Tahoma"/>
                <w:b/>
                <w:sz w:val="20"/>
                <w:szCs w:val="20"/>
              </w:rPr>
            </w:pPr>
            <w:r>
              <w:rPr>
                <w:rFonts w:ascii="Tahoma" w:hAnsi="Tahoma" w:cs="Tahoma"/>
                <w:b/>
                <w:sz w:val="20"/>
                <w:szCs w:val="20"/>
              </w:rPr>
              <w:t>No.</w:t>
            </w:r>
          </w:p>
        </w:tc>
        <w:tc>
          <w:tcPr>
            <w:tcW w:w="3862" w:type="dxa"/>
            <w:tcBorders>
              <w:top w:val="single" w:sz="4" w:space="0" w:color="000000"/>
              <w:left w:val="single" w:sz="4" w:space="0" w:color="000000"/>
              <w:bottom w:val="single" w:sz="4" w:space="0" w:color="000000"/>
              <w:right w:val="single" w:sz="4" w:space="0" w:color="000000"/>
            </w:tcBorders>
          </w:tcPr>
          <w:p w14:paraId="10498752" w14:textId="77777777" w:rsidR="005E7438" w:rsidRDefault="0064470A">
            <w:pPr>
              <w:jc w:val="center"/>
              <w:rPr>
                <w:rFonts w:ascii="Tahoma" w:hAnsi="Tahoma" w:cs="Tahoma"/>
                <w:b/>
                <w:sz w:val="20"/>
                <w:szCs w:val="20"/>
              </w:rPr>
            </w:pPr>
            <w:r>
              <w:rPr>
                <w:rFonts w:ascii="Tahoma" w:hAnsi="Tahoma" w:cs="Tahoma"/>
                <w:b/>
                <w:sz w:val="20"/>
                <w:szCs w:val="20"/>
              </w:rPr>
              <w:t>Cargo</w:t>
            </w:r>
          </w:p>
        </w:tc>
        <w:tc>
          <w:tcPr>
            <w:tcW w:w="4432" w:type="dxa"/>
            <w:tcBorders>
              <w:top w:val="single" w:sz="4" w:space="0" w:color="000000"/>
              <w:left w:val="single" w:sz="4" w:space="0" w:color="000000"/>
              <w:bottom w:val="single" w:sz="4" w:space="0" w:color="000000"/>
              <w:right w:val="single" w:sz="4" w:space="0" w:color="000000"/>
            </w:tcBorders>
          </w:tcPr>
          <w:p w14:paraId="6FD908F0" w14:textId="77777777" w:rsidR="005E7438" w:rsidRDefault="0064470A">
            <w:pPr>
              <w:jc w:val="center"/>
              <w:rPr>
                <w:rFonts w:ascii="Tahoma" w:hAnsi="Tahoma" w:cs="Tahoma"/>
                <w:b/>
                <w:sz w:val="20"/>
                <w:szCs w:val="20"/>
              </w:rPr>
            </w:pPr>
            <w:r>
              <w:rPr>
                <w:rFonts w:ascii="Tahoma" w:hAnsi="Tahoma" w:cs="Tahoma"/>
                <w:b/>
                <w:sz w:val="20"/>
                <w:szCs w:val="20"/>
              </w:rPr>
              <w:t>Nombre</w:t>
            </w:r>
          </w:p>
        </w:tc>
        <w:tc>
          <w:tcPr>
            <w:tcW w:w="560" w:type="dxa"/>
            <w:tcBorders>
              <w:top w:val="single" w:sz="4" w:space="0" w:color="000000"/>
              <w:left w:val="single" w:sz="4" w:space="0" w:color="000000"/>
              <w:bottom w:val="single" w:sz="4" w:space="0" w:color="000000"/>
              <w:right w:val="single" w:sz="4" w:space="0" w:color="000000"/>
            </w:tcBorders>
          </w:tcPr>
          <w:p w14:paraId="7438C935" w14:textId="77777777" w:rsidR="005E7438" w:rsidRDefault="0064470A">
            <w:pPr>
              <w:jc w:val="center"/>
              <w:rPr>
                <w:rFonts w:ascii="Tahoma" w:hAnsi="Tahoma" w:cs="Tahoma"/>
                <w:b/>
                <w:sz w:val="20"/>
                <w:szCs w:val="20"/>
              </w:rPr>
            </w:pPr>
            <w:r>
              <w:rPr>
                <w:rFonts w:ascii="Tahoma" w:hAnsi="Tahoma" w:cs="Tahoma"/>
                <w:b/>
                <w:sz w:val="20"/>
                <w:szCs w:val="20"/>
              </w:rPr>
              <w:t>Si</w:t>
            </w:r>
          </w:p>
        </w:tc>
        <w:tc>
          <w:tcPr>
            <w:tcW w:w="555" w:type="dxa"/>
            <w:tcBorders>
              <w:top w:val="single" w:sz="4" w:space="0" w:color="000000"/>
              <w:left w:val="single" w:sz="4" w:space="0" w:color="000000"/>
              <w:bottom w:val="single" w:sz="4" w:space="0" w:color="000000"/>
              <w:right w:val="single" w:sz="4" w:space="0" w:color="000000"/>
            </w:tcBorders>
          </w:tcPr>
          <w:p w14:paraId="418BF75B" w14:textId="77777777" w:rsidR="005E7438" w:rsidRDefault="0064470A">
            <w:pPr>
              <w:jc w:val="center"/>
              <w:rPr>
                <w:rFonts w:ascii="Tahoma" w:hAnsi="Tahoma" w:cs="Tahoma"/>
                <w:b/>
                <w:sz w:val="20"/>
                <w:szCs w:val="20"/>
              </w:rPr>
            </w:pPr>
            <w:r>
              <w:rPr>
                <w:rFonts w:ascii="Tahoma" w:hAnsi="Tahoma" w:cs="Tahoma"/>
                <w:b/>
                <w:sz w:val="20"/>
                <w:szCs w:val="20"/>
              </w:rPr>
              <w:t>No</w:t>
            </w:r>
          </w:p>
        </w:tc>
      </w:tr>
      <w:tr w:rsidR="005E7438" w14:paraId="6616AB83"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7748464B" w14:textId="77777777" w:rsidR="005E7438" w:rsidRDefault="0064470A">
            <w:pPr>
              <w:jc w:val="center"/>
              <w:rPr>
                <w:rFonts w:ascii="Tahoma" w:hAnsi="Tahoma" w:cs="Tahoma"/>
                <w:sz w:val="20"/>
                <w:szCs w:val="20"/>
              </w:rPr>
            </w:pPr>
            <w:r>
              <w:rPr>
                <w:rFonts w:ascii="Tahoma" w:hAnsi="Tahoma" w:cs="Tahoma"/>
                <w:sz w:val="20"/>
                <w:szCs w:val="20"/>
              </w:rPr>
              <w:t>1</w:t>
            </w:r>
          </w:p>
        </w:tc>
        <w:tc>
          <w:tcPr>
            <w:tcW w:w="3862" w:type="dxa"/>
            <w:tcBorders>
              <w:top w:val="single" w:sz="4" w:space="0" w:color="000000"/>
              <w:left w:val="single" w:sz="4" w:space="0" w:color="000000"/>
              <w:bottom w:val="single" w:sz="4" w:space="0" w:color="000000"/>
              <w:right w:val="single" w:sz="4" w:space="0" w:color="000000"/>
            </w:tcBorders>
            <w:vAlign w:val="center"/>
          </w:tcPr>
          <w:p w14:paraId="2ABDA036" w14:textId="77777777" w:rsidR="005E7438" w:rsidRDefault="0064470A">
            <w:pPr>
              <w:rPr>
                <w:rFonts w:ascii="Tahoma" w:hAnsi="Tahoma" w:cs="Tahoma"/>
                <w:sz w:val="20"/>
                <w:szCs w:val="20"/>
                <w:lang w:val="es-ES"/>
              </w:rPr>
            </w:pPr>
            <w:r>
              <w:rPr>
                <w:rFonts w:ascii="Tahoma" w:hAnsi="Tahoma" w:cs="Tahoma"/>
                <w:sz w:val="20"/>
                <w:szCs w:val="20"/>
                <w:lang w:val="es-ES"/>
              </w:rPr>
              <w:t>Jefe del departamento de psicología de la sede</w:t>
            </w:r>
          </w:p>
        </w:tc>
        <w:tc>
          <w:tcPr>
            <w:tcW w:w="4432" w:type="dxa"/>
            <w:tcBorders>
              <w:top w:val="single" w:sz="4" w:space="0" w:color="000000"/>
              <w:left w:val="single" w:sz="4" w:space="0" w:color="000000"/>
              <w:bottom w:val="single" w:sz="4" w:space="0" w:color="000000"/>
              <w:right w:val="single" w:sz="4" w:space="0" w:color="000000"/>
            </w:tcBorders>
            <w:vAlign w:val="center"/>
          </w:tcPr>
          <w:p w14:paraId="47B7FFEC" w14:textId="77777777" w:rsidR="005E7438" w:rsidRDefault="0064470A">
            <w:pPr>
              <w:rPr>
                <w:rFonts w:ascii="Tahoma" w:hAnsi="Tahoma" w:cs="Tahoma"/>
                <w:b/>
                <w:sz w:val="20"/>
                <w:szCs w:val="20"/>
              </w:rPr>
            </w:pPr>
            <w:r>
              <w:rPr>
                <w:rFonts w:ascii="Tahoma" w:hAnsi="Tahoma" w:cs="Tahoma"/>
                <w:b/>
                <w:sz w:val="20"/>
                <w:szCs w:val="20"/>
              </w:rPr>
              <w:t>Tatiana Milena Cedrón Martínez</w:t>
            </w:r>
          </w:p>
        </w:tc>
        <w:tc>
          <w:tcPr>
            <w:tcW w:w="560" w:type="dxa"/>
            <w:tcBorders>
              <w:top w:val="single" w:sz="4" w:space="0" w:color="000000"/>
              <w:left w:val="single" w:sz="4" w:space="0" w:color="000000"/>
              <w:bottom w:val="single" w:sz="4" w:space="0" w:color="000000"/>
              <w:right w:val="single" w:sz="4" w:space="0" w:color="000000"/>
            </w:tcBorders>
            <w:vAlign w:val="center"/>
          </w:tcPr>
          <w:p w14:paraId="78E1E56F" w14:textId="77777777" w:rsidR="005E7438" w:rsidRDefault="0064470A">
            <w:pPr>
              <w:jc w:val="center"/>
              <w:rPr>
                <w:rFonts w:ascii="Tahoma" w:hAnsi="Tahoma" w:cs="Tahoma"/>
                <w:b/>
                <w:sz w:val="20"/>
                <w:szCs w:val="20"/>
              </w:rPr>
            </w:pPr>
            <w:r>
              <w:rPr>
                <w:rFonts w:ascii="Tahoma" w:hAnsi="Tahoma" w:cs="Tahoma"/>
                <w:b/>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0D2BD853" w14:textId="77777777" w:rsidR="005E7438" w:rsidRDefault="005E7438">
            <w:pPr>
              <w:rPr>
                <w:rFonts w:ascii="Tahoma" w:hAnsi="Tahoma" w:cs="Tahoma"/>
                <w:sz w:val="20"/>
                <w:szCs w:val="20"/>
              </w:rPr>
            </w:pPr>
          </w:p>
        </w:tc>
      </w:tr>
      <w:tr w:rsidR="005E7438" w14:paraId="164F2BDE"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0EBEA5BF" w14:textId="77777777" w:rsidR="005E7438" w:rsidRDefault="005E7438">
            <w:pPr>
              <w:jc w:val="center"/>
              <w:rPr>
                <w:rFonts w:ascii="Tahoma" w:hAnsi="Tahoma" w:cs="Tahoma"/>
                <w:sz w:val="20"/>
                <w:szCs w:val="20"/>
              </w:rPr>
            </w:pPr>
          </w:p>
        </w:tc>
        <w:tc>
          <w:tcPr>
            <w:tcW w:w="3862" w:type="dxa"/>
            <w:tcBorders>
              <w:top w:val="single" w:sz="4" w:space="0" w:color="000000"/>
              <w:left w:val="single" w:sz="4" w:space="0" w:color="000000"/>
              <w:bottom w:val="single" w:sz="4" w:space="0" w:color="000000"/>
              <w:right w:val="single" w:sz="4" w:space="0" w:color="000000"/>
            </w:tcBorders>
            <w:vAlign w:val="center"/>
          </w:tcPr>
          <w:p w14:paraId="42E94C1B" w14:textId="77777777" w:rsidR="005E7438" w:rsidRDefault="0064470A">
            <w:pPr>
              <w:rPr>
                <w:rFonts w:ascii="Tahoma" w:hAnsi="Tahoma" w:cs="Tahoma"/>
                <w:sz w:val="20"/>
                <w:szCs w:val="20"/>
              </w:rPr>
            </w:pPr>
            <w:r>
              <w:rPr>
                <w:rFonts w:ascii="Tahoma" w:hAnsi="Tahoma" w:cs="Tahoma"/>
                <w:sz w:val="20"/>
                <w:szCs w:val="20"/>
              </w:rPr>
              <w:t>Estudiante – Entrevistador 1</w:t>
            </w:r>
          </w:p>
        </w:tc>
        <w:tc>
          <w:tcPr>
            <w:tcW w:w="4432" w:type="dxa"/>
            <w:tcBorders>
              <w:top w:val="single" w:sz="4" w:space="0" w:color="000000"/>
              <w:left w:val="single" w:sz="4" w:space="0" w:color="000000"/>
              <w:bottom w:val="single" w:sz="4" w:space="0" w:color="000000"/>
              <w:right w:val="single" w:sz="4" w:space="0" w:color="000000"/>
            </w:tcBorders>
            <w:vAlign w:val="center"/>
          </w:tcPr>
          <w:p w14:paraId="0B1978BC" w14:textId="77777777" w:rsidR="005E7438" w:rsidRDefault="0064470A">
            <w:pPr>
              <w:rPr>
                <w:rFonts w:ascii="Tahoma" w:hAnsi="Tahoma" w:cs="Tahoma"/>
                <w:b/>
                <w:sz w:val="20"/>
                <w:szCs w:val="20"/>
                <w:lang w:val="es-ES"/>
              </w:rPr>
            </w:pPr>
            <w:r>
              <w:rPr>
                <w:rFonts w:ascii="Tahoma" w:hAnsi="Tahoma" w:cs="Tahoma"/>
                <w:b/>
                <w:sz w:val="20"/>
                <w:szCs w:val="20"/>
                <w:lang w:val="es-ES"/>
              </w:rPr>
              <w:t>Juan Diego Bello Santiago</w:t>
            </w:r>
          </w:p>
        </w:tc>
        <w:tc>
          <w:tcPr>
            <w:tcW w:w="560" w:type="dxa"/>
            <w:tcBorders>
              <w:top w:val="single" w:sz="4" w:space="0" w:color="000000"/>
              <w:left w:val="single" w:sz="4" w:space="0" w:color="000000"/>
              <w:bottom w:val="single" w:sz="4" w:space="0" w:color="000000"/>
              <w:right w:val="single" w:sz="4" w:space="0" w:color="000000"/>
            </w:tcBorders>
            <w:vAlign w:val="center"/>
          </w:tcPr>
          <w:p w14:paraId="6B397E5D" w14:textId="77777777" w:rsidR="005E7438" w:rsidRDefault="0064470A">
            <w:pPr>
              <w:jc w:val="center"/>
              <w:rPr>
                <w:rFonts w:ascii="Tahoma" w:hAnsi="Tahoma" w:cs="Tahoma"/>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17B1AD39" w14:textId="77777777" w:rsidR="005E7438" w:rsidRDefault="005E7438">
            <w:pPr>
              <w:jc w:val="center"/>
              <w:rPr>
                <w:rFonts w:ascii="Tahoma" w:hAnsi="Tahoma" w:cs="Tahoma"/>
                <w:b/>
                <w:sz w:val="20"/>
                <w:szCs w:val="20"/>
              </w:rPr>
            </w:pPr>
          </w:p>
        </w:tc>
      </w:tr>
      <w:tr w:rsidR="005E7438" w14:paraId="5178F6AB"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7652940D" w14:textId="77777777" w:rsidR="005E7438" w:rsidRDefault="0064470A">
            <w:pPr>
              <w:jc w:val="center"/>
              <w:rPr>
                <w:rFonts w:ascii="Tahoma" w:hAnsi="Tahoma" w:cs="Tahoma"/>
                <w:sz w:val="20"/>
                <w:szCs w:val="20"/>
              </w:rPr>
            </w:pPr>
            <w:r>
              <w:rPr>
                <w:rFonts w:ascii="Tahoma" w:hAnsi="Tahoma" w:cs="Tahoma"/>
                <w:sz w:val="20"/>
                <w:szCs w:val="20"/>
              </w:rPr>
              <w:t>2</w:t>
            </w:r>
          </w:p>
        </w:tc>
        <w:tc>
          <w:tcPr>
            <w:tcW w:w="3862" w:type="dxa"/>
            <w:tcBorders>
              <w:top w:val="single" w:sz="4" w:space="0" w:color="000000"/>
              <w:left w:val="single" w:sz="4" w:space="0" w:color="000000"/>
              <w:bottom w:val="single" w:sz="4" w:space="0" w:color="000000"/>
              <w:right w:val="single" w:sz="4" w:space="0" w:color="000000"/>
            </w:tcBorders>
            <w:vAlign w:val="center"/>
          </w:tcPr>
          <w:p w14:paraId="59069D99" w14:textId="77777777" w:rsidR="005E7438" w:rsidRDefault="0064470A">
            <w:pPr>
              <w:rPr>
                <w:rFonts w:ascii="Tahoma" w:hAnsi="Tahoma" w:cs="Tahoma"/>
                <w:sz w:val="20"/>
                <w:szCs w:val="20"/>
              </w:rPr>
            </w:pPr>
            <w:r>
              <w:rPr>
                <w:rFonts w:ascii="Tahoma" w:hAnsi="Tahoma" w:cs="Tahoma"/>
                <w:sz w:val="20"/>
                <w:szCs w:val="20"/>
              </w:rPr>
              <w:t>Estudiante – Entrevistador 2</w:t>
            </w:r>
          </w:p>
        </w:tc>
        <w:tc>
          <w:tcPr>
            <w:tcW w:w="4432" w:type="dxa"/>
            <w:tcBorders>
              <w:top w:val="single" w:sz="4" w:space="0" w:color="000000"/>
              <w:left w:val="single" w:sz="4" w:space="0" w:color="000000"/>
              <w:bottom w:val="single" w:sz="4" w:space="0" w:color="000000"/>
              <w:right w:val="single" w:sz="4" w:space="0" w:color="000000"/>
            </w:tcBorders>
            <w:vAlign w:val="center"/>
          </w:tcPr>
          <w:p w14:paraId="6DD8DF8E" w14:textId="77777777" w:rsidR="005E7438" w:rsidRDefault="0064470A">
            <w:pPr>
              <w:rPr>
                <w:rFonts w:ascii="Tahoma" w:hAnsi="Tahoma" w:cs="Tahoma"/>
                <w:b/>
                <w:sz w:val="20"/>
                <w:szCs w:val="20"/>
              </w:rPr>
            </w:pPr>
            <w:r>
              <w:rPr>
                <w:rFonts w:ascii="Tahoma" w:hAnsi="Tahoma" w:cs="Tahoma"/>
                <w:b/>
                <w:sz w:val="20"/>
                <w:szCs w:val="20"/>
              </w:rPr>
              <w:t>Steven Joel Pacheco Mendoza</w:t>
            </w:r>
          </w:p>
        </w:tc>
        <w:tc>
          <w:tcPr>
            <w:tcW w:w="560" w:type="dxa"/>
            <w:tcBorders>
              <w:top w:val="single" w:sz="4" w:space="0" w:color="000000"/>
              <w:left w:val="single" w:sz="4" w:space="0" w:color="000000"/>
              <w:bottom w:val="single" w:sz="4" w:space="0" w:color="000000"/>
              <w:right w:val="single" w:sz="4" w:space="0" w:color="000000"/>
            </w:tcBorders>
            <w:vAlign w:val="center"/>
          </w:tcPr>
          <w:p w14:paraId="340536C9" w14:textId="77777777" w:rsidR="005E7438" w:rsidRDefault="0064470A">
            <w:pPr>
              <w:jc w:val="center"/>
              <w:rPr>
                <w:rFonts w:ascii="Tahoma" w:hAnsi="Tahoma" w:cs="Tahoma"/>
                <w:b/>
                <w:bCs/>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47137B96" w14:textId="77777777" w:rsidR="005E7438" w:rsidRDefault="005E7438">
            <w:pPr>
              <w:jc w:val="center"/>
              <w:rPr>
                <w:rFonts w:ascii="Tahoma" w:hAnsi="Tahoma" w:cs="Tahoma"/>
                <w:b/>
                <w:sz w:val="20"/>
                <w:szCs w:val="20"/>
              </w:rPr>
            </w:pPr>
          </w:p>
        </w:tc>
      </w:tr>
      <w:tr w:rsidR="005E7438" w14:paraId="1815FB56" w14:textId="77777777">
        <w:trPr>
          <w:trHeight w:val="397"/>
        </w:trPr>
        <w:tc>
          <w:tcPr>
            <w:tcW w:w="555" w:type="dxa"/>
            <w:tcBorders>
              <w:top w:val="single" w:sz="4" w:space="0" w:color="000000"/>
              <w:left w:val="single" w:sz="4" w:space="0" w:color="000000"/>
              <w:bottom w:val="single" w:sz="4" w:space="0" w:color="000000"/>
              <w:right w:val="single" w:sz="4" w:space="0" w:color="000000"/>
            </w:tcBorders>
            <w:vAlign w:val="center"/>
          </w:tcPr>
          <w:p w14:paraId="289BDB69" w14:textId="77777777" w:rsidR="005E7438" w:rsidRDefault="005E7438">
            <w:pPr>
              <w:jc w:val="center"/>
              <w:rPr>
                <w:rFonts w:ascii="Tahoma" w:hAnsi="Tahoma" w:cs="Tahoma"/>
                <w:sz w:val="20"/>
                <w:szCs w:val="20"/>
              </w:rPr>
            </w:pPr>
          </w:p>
        </w:tc>
        <w:tc>
          <w:tcPr>
            <w:tcW w:w="3862" w:type="dxa"/>
            <w:tcBorders>
              <w:top w:val="single" w:sz="4" w:space="0" w:color="000000"/>
              <w:left w:val="single" w:sz="4" w:space="0" w:color="000000"/>
              <w:bottom w:val="single" w:sz="4" w:space="0" w:color="000000"/>
              <w:right w:val="single" w:sz="4" w:space="0" w:color="000000"/>
            </w:tcBorders>
            <w:vAlign w:val="center"/>
          </w:tcPr>
          <w:p w14:paraId="7E3D0416" w14:textId="77777777" w:rsidR="005E7438" w:rsidRDefault="0064470A">
            <w:pPr>
              <w:rPr>
                <w:rFonts w:ascii="Tahoma" w:hAnsi="Tahoma" w:cs="Tahoma"/>
                <w:sz w:val="20"/>
                <w:szCs w:val="20"/>
              </w:rPr>
            </w:pPr>
            <w:r>
              <w:rPr>
                <w:rFonts w:ascii="Tahoma" w:hAnsi="Tahoma" w:cs="Tahoma"/>
                <w:sz w:val="20"/>
                <w:szCs w:val="20"/>
              </w:rPr>
              <w:t>Estudiante – Digitador</w:t>
            </w:r>
          </w:p>
        </w:tc>
        <w:tc>
          <w:tcPr>
            <w:tcW w:w="4432" w:type="dxa"/>
            <w:tcBorders>
              <w:top w:val="single" w:sz="4" w:space="0" w:color="000000"/>
              <w:left w:val="single" w:sz="4" w:space="0" w:color="000000"/>
              <w:bottom w:val="single" w:sz="4" w:space="0" w:color="000000"/>
              <w:right w:val="single" w:sz="4" w:space="0" w:color="000000"/>
            </w:tcBorders>
            <w:vAlign w:val="center"/>
          </w:tcPr>
          <w:p w14:paraId="05D2C1FF" w14:textId="77777777" w:rsidR="005E7438" w:rsidRDefault="0064470A">
            <w:pPr>
              <w:rPr>
                <w:rFonts w:ascii="Tahoma" w:hAnsi="Tahoma" w:cs="Tahoma"/>
                <w:b/>
                <w:sz w:val="20"/>
                <w:szCs w:val="20"/>
                <w:lang w:val="es-ES"/>
              </w:rPr>
            </w:pPr>
            <w:r>
              <w:rPr>
                <w:rFonts w:ascii="Tahoma" w:hAnsi="Tahoma" w:cs="Tahoma"/>
                <w:b/>
                <w:sz w:val="20"/>
                <w:szCs w:val="20"/>
                <w:lang w:val="es-ES"/>
              </w:rPr>
              <w:t>Samuel Enrique Movilla Mercado</w:t>
            </w:r>
          </w:p>
        </w:tc>
        <w:tc>
          <w:tcPr>
            <w:tcW w:w="560" w:type="dxa"/>
            <w:tcBorders>
              <w:top w:val="single" w:sz="4" w:space="0" w:color="000000"/>
              <w:left w:val="single" w:sz="4" w:space="0" w:color="000000"/>
              <w:bottom w:val="single" w:sz="4" w:space="0" w:color="000000"/>
              <w:right w:val="single" w:sz="4" w:space="0" w:color="000000"/>
            </w:tcBorders>
            <w:vAlign w:val="center"/>
          </w:tcPr>
          <w:p w14:paraId="01690CD0" w14:textId="77777777" w:rsidR="005E7438" w:rsidRDefault="0064470A">
            <w:pPr>
              <w:jc w:val="center"/>
              <w:rPr>
                <w:rFonts w:ascii="Tahoma" w:hAnsi="Tahoma" w:cs="Tahoma"/>
                <w:b/>
                <w:bCs/>
                <w:sz w:val="20"/>
                <w:szCs w:val="20"/>
              </w:rPr>
            </w:pPr>
            <w:r>
              <w:rPr>
                <w:rFonts w:ascii="Tahoma" w:hAnsi="Tahoma" w:cs="Tahoma"/>
                <w:b/>
                <w:bCs/>
                <w:sz w:val="20"/>
                <w:szCs w:val="20"/>
              </w:rPr>
              <w:t>X</w:t>
            </w:r>
          </w:p>
        </w:tc>
        <w:tc>
          <w:tcPr>
            <w:tcW w:w="555" w:type="dxa"/>
            <w:tcBorders>
              <w:top w:val="single" w:sz="4" w:space="0" w:color="000000"/>
              <w:left w:val="single" w:sz="4" w:space="0" w:color="000000"/>
              <w:bottom w:val="single" w:sz="4" w:space="0" w:color="000000"/>
              <w:right w:val="single" w:sz="4" w:space="0" w:color="000000"/>
            </w:tcBorders>
            <w:vAlign w:val="center"/>
          </w:tcPr>
          <w:p w14:paraId="361D2B61" w14:textId="77777777" w:rsidR="005E7438" w:rsidRDefault="005E7438">
            <w:pPr>
              <w:jc w:val="center"/>
              <w:rPr>
                <w:rFonts w:ascii="Tahoma" w:hAnsi="Tahoma" w:cs="Tahoma"/>
                <w:b/>
                <w:sz w:val="20"/>
                <w:szCs w:val="20"/>
              </w:rPr>
            </w:pPr>
          </w:p>
        </w:tc>
      </w:tr>
    </w:tbl>
    <w:p w14:paraId="1E57E20B" w14:textId="77777777" w:rsidR="005E7438" w:rsidRDefault="005E7438">
      <w:pPr>
        <w:jc w:val="center"/>
        <w:rPr>
          <w:rFonts w:ascii="Tahoma" w:hAnsi="Tahoma" w:cs="Tahoma"/>
          <w:b/>
          <w:sz w:val="20"/>
          <w:szCs w:val="20"/>
        </w:rPr>
      </w:pPr>
    </w:p>
    <w:tbl>
      <w:tblPr>
        <w:tblW w:w="10286" w:type="dxa"/>
        <w:tblLayout w:type="fixed"/>
        <w:tblCellMar>
          <w:left w:w="70" w:type="dxa"/>
          <w:right w:w="70" w:type="dxa"/>
        </w:tblCellMar>
        <w:tblLook w:val="0000" w:firstRow="0" w:lastRow="0" w:firstColumn="0" w:lastColumn="0" w:noHBand="0" w:noVBand="0"/>
      </w:tblPr>
      <w:tblGrid>
        <w:gridCol w:w="10286"/>
      </w:tblGrid>
      <w:tr w:rsidR="005E7438" w14:paraId="65F7FD03" w14:textId="77777777">
        <w:trPr>
          <w:trHeight w:val="457"/>
        </w:trPr>
        <w:tc>
          <w:tcPr>
            <w:tcW w:w="10286" w:type="dxa"/>
            <w:tcBorders>
              <w:top w:val="single" w:sz="6" w:space="0" w:color="000000"/>
              <w:left w:val="single" w:sz="6" w:space="0" w:color="000000"/>
              <w:bottom w:val="single" w:sz="6" w:space="0" w:color="000000"/>
              <w:right w:val="single" w:sz="6" w:space="0" w:color="000000"/>
            </w:tcBorders>
          </w:tcPr>
          <w:p w14:paraId="78DAA3A3" w14:textId="77777777" w:rsidR="00AC23B9" w:rsidRPr="00AC23B9" w:rsidRDefault="0064470A" w:rsidP="00AC23B9">
            <w:pPr>
              <w:spacing w:before="80" w:after="80"/>
              <w:jc w:val="both"/>
              <w:rPr>
                <w:rFonts w:ascii="Tahoma" w:hAnsi="Tahoma" w:cs="Tahoma"/>
              </w:rPr>
            </w:pPr>
            <w:r>
              <w:rPr>
                <w:rFonts w:ascii="Tahoma" w:hAnsi="Tahoma" w:cs="Tahoma"/>
                <w:b/>
                <w:sz w:val="20"/>
                <w:szCs w:val="20"/>
              </w:rPr>
              <w:t>OBJETIVOS:</w:t>
            </w:r>
            <w:r>
              <w:rPr>
                <w:color w:val="000000"/>
              </w:rPr>
              <w:t xml:space="preserve"> </w:t>
            </w:r>
            <w:r w:rsidR="00AC23B9" w:rsidRPr="00AC23B9">
              <w:rPr>
                <w:rFonts w:ascii="Tahoma" w:eastAsia="Arial" w:hAnsi="Tahoma" w:cs="Tahoma"/>
                <w:color w:val="000000"/>
                <w:sz w:val="20"/>
                <w:szCs w:val="20"/>
              </w:rPr>
              <w:t xml:space="preserve">Profundizar en los procesos de negocio del área de Psicología de Bienestar Universitario con el fin de modelarlos como diagramas de actividades dentro del modelo de negocio del sistema </w:t>
            </w:r>
            <w:proofErr w:type="spellStart"/>
            <w:r w:rsidR="00AC23B9" w:rsidRPr="00AC23B9">
              <w:rPr>
                <w:rFonts w:ascii="Tahoma" w:eastAsia="Arial" w:hAnsi="Tahoma" w:cs="Tahoma"/>
                <w:color w:val="000000"/>
                <w:sz w:val="20"/>
                <w:szCs w:val="20"/>
              </w:rPr>
              <w:t>MindBridge</w:t>
            </w:r>
            <w:proofErr w:type="spellEnd"/>
            <w:r w:rsidR="00AC23B9" w:rsidRPr="00AC23B9">
              <w:rPr>
                <w:rFonts w:ascii="Tahoma" w:eastAsia="Arial" w:hAnsi="Tahoma" w:cs="Tahoma"/>
                <w:color w:val="000000"/>
                <w:sz w:val="20"/>
                <w:szCs w:val="20"/>
              </w:rPr>
              <w:t>. De manera específica, la sesión buscó:</w:t>
            </w:r>
          </w:p>
          <w:p w14:paraId="76C48A1D" w14:textId="77777777" w:rsidR="00AC23B9" w:rsidRPr="00AC23B9" w:rsidRDefault="00AC23B9" w:rsidP="00AC23B9">
            <w:pPr>
              <w:rPr>
                <w:rFonts w:ascii="Tahoma" w:hAnsi="Tahoma" w:cs="Tahoma"/>
              </w:rPr>
            </w:pPr>
          </w:p>
          <w:p w14:paraId="6CF37BEF"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Identificar el flujo completo de atención desde el contacto inicial hasta el cierre del caso, describiendo cada etapa procedimental y sus condiciones de entrada y salida.</w:t>
            </w:r>
          </w:p>
          <w:p w14:paraId="53E67456"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 xml:space="preserve">Comprender la gestión comparada de remisiones (por docentes o directivos a través de </w:t>
            </w: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 frente a las solicitudes de asesoría directas del estudiante, estableciendo las diferencias y puntos de convergencia entre ambos flujos.</w:t>
            </w:r>
          </w:p>
          <w:p w14:paraId="4B09F277"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 xml:space="preserve">Conocer el rol de las herramientas </w:t>
            </w: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 xml:space="preserve"> y Google Calendar en el agendamiento de citas, el registro de intervenciones y el seguimiento longitudinal de los casos.</w:t>
            </w:r>
          </w:p>
          <w:p w14:paraId="765F663C" w14:textId="77777777" w:rsidR="00C9588F" w:rsidRPr="00C9588F"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Entender los criterios de valoración del estado del estudiante durante la sesión y el protocolo aplicado cuando se determina la necesidad de remisión externa a la EPS, así como la continuidad del seguimiento institucional posterior a dicha remisión.</w:t>
            </w:r>
          </w:p>
          <w:p w14:paraId="2C8784A2" w14:textId="31C1E448" w:rsidR="005E7438" w:rsidRPr="00C9588F" w:rsidRDefault="00AC23B9" w:rsidP="00AC23B9">
            <w:pPr>
              <w:pStyle w:val="Prrafodelista"/>
              <w:numPr>
                <w:ilvl w:val="0"/>
                <w:numId w:val="5"/>
              </w:numPr>
              <w:suppressAutoHyphens w:val="0"/>
              <w:spacing w:before="40" w:after="40"/>
              <w:jc w:val="both"/>
              <w:rPr>
                <w:rFonts w:ascii="Tahoma" w:hAnsi="Tahoma" w:cs="Tahoma"/>
              </w:rPr>
            </w:pPr>
            <w:r w:rsidRPr="00C9588F">
              <w:rPr>
                <w:rFonts w:ascii="Tahoma" w:eastAsia="Arial" w:hAnsi="Tahoma" w:cs="Tahoma"/>
                <w:sz w:val="20"/>
                <w:szCs w:val="20"/>
              </w:rPr>
              <w:t>Identificar las actividades de prevención proactiva (talleres, campañas) y el mecanismo de gestión de alertas tempranas generadas por el sistema de caracterización.</w:t>
            </w:r>
          </w:p>
        </w:tc>
      </w:tr>
      <w:tr w:rsidR="005E7438" w14:paraId="4DA8E107" w14:textId="77777777">
        <w:trPr>
          <w:trHeight w:val="815"/>
        </w:trPr>
        <w:tc>
          <w:tcPr>
            <w:tcW w:w="10286" w:type="dxa"/>
            <w:tcBorders>
              <w:top w:val="single" w:sz="6" w:space="0" w:color="000000"/>
              <w:left w:val="single" w:sz="6" w:space="0" w:color="000000"/>
              <w:bottom w:val="single" w:sz="6" w:space="0" w:color="000000"/>
              <w:right w:val="single" w:sz="6" w:space="0" w:color="000000"/>
            </w:tcBorders>
            <w:vAlign w:val="center"/>
          </w:tcPr>
          <w:p w14:paraId="75B244D6" w14:textId="77777777" w:rsidR="005E7438" w:rsidRDefault="005E7438">
            <w:pPr>
              <w:rPr>
                <w:rFonts w:ascii="Tahoma" w:hAnsi="Tahoma" w:cs="Tahoma"/>
                <w:b/>
                <w:sz w:val="20"/>
                <w:szCs w:val="20"/>
              </w:rPr>
            </w:pPr>
          </w:p>
          <w:p w14:paraId="5307C365" w14:textId="77777777" w:rsidR="005E7438" w:rsidRDefault="0064470A">
            <w:pPr>
              <w:rPr>
                <w:rFonts w:ascii="Tahoma" w:hAnsi="Tahoma" w:cs="Tahoma"/>
                <w:b/>
                <w:sz w:val="20"/>
                <w:szCs w:val="20"/>
              </w:rPr>
            </w:pPr>
            <w:r>
              <w:rPr>
                <w:rFonts w:ascii="Tahoma" w:hAnsi="Tahoma" w:cs="Tahoma"/>
                <w:b/>
                <w:sz w:val="20"/>
                <w:szCs w:val="20"/>
              </w:rPr>
              <w:t>ORDEN DEL DÍA</w:t>
            </w:r>
          </w:p>
          <w:p w14:paraId="6BDFEB0E" w14:textId="77777777" w:rsidR="005E7438" w:rsidRDefault="0064470A">
            <w:pPr>
              <w:rPr>
                <w:rFonts w:ascii="Tahoma" w:hAnsi="Tahoma" w:cs="Tahoma"/>
                <w:bCs/>
                <w:sz w:val="20"/>
                <w:szCs w:val="20"/>
              </w:rPr>
            </w:pPr>
            <w:r>
              <w:rPr>
                <w:rFonts w:ascii="Tahoma" w:hAnsi="Tahoma" w:cs="Tahoma"/>
                <w:bCs/>
                <w:sz w:val="20"/>
                <w:szCs w:val="20"/>
              </w:rPr>
              <w:t>Para llevar a cabo la reunión se concretaron los siguientes puntos:</w:t>
            </w:r>
          </w:p>
          <w:p w14:paraId="4A9FD6DA"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Presentación del equipo y de los objetivos de la segunda fase de levantamiento de información.</w:t>
            </w:r>
          </w:p>
          <w:p w14:paraId="7102382B"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Preguntas sobre el flujo procedimental completo: solicitud, agendamiento, encuadre y sesiones de seguimiento.</w:t>
            </w:r>
          </w:p>
          <w:p w14:paraId="7D31B4B1"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Discusión sobre el protocolo de remisión externa (EPS) y continuidad del seguimiento institucional.</w:t>
            </w:r>
          </w:p>
          <w:p w14:paraId="76EDD9DE" w14:textId="77777777" w:rsidR="00AC23B9" w:rsidRPr="00AC23B9" w:rsidRDefault="00AC23B9" w:rsidP="00AC23B9">
            <w:pPr>
              <w:pStyle w:val="Prrafodelista"/>
              <w:numPr>
                <w:ilvl w:val="0"/>
                <w:numId w:val="6"/>
              </w:numPr>
              <w:suppressAutoHyphens w:val="0"/>
              <w:spacing w:before="40" w:after="40"/>
              <w:jc w:val="both"/>
              <w:rPr>
                <w:rFonts w:ascii="Tahoma" w:hAnsi="Tahoma" w:cs="Tahoma"/>
              </w:rPr>
            </w:pPr>
            <w:r w:rsidRPr="00AC23B9">
              <w:rPr>
                <w:rFonts w:ascii="Tahoma" w:eastAsia="Arial" w:hAnsi="Tahoma" w:cs="Tahoma"/>
                <w:sz w:val="20"/>
                <w:szCs w:val="20"/>
              </w:rPr>
              <w:t xml:space="preserve">Revisión de actividades de prevención proactiva y gestión de alertas tempranas generadas por </w:t>
            </w: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w:t>
            </w:r>
          </w:p>
          <w:p w14:paraId="1DCC0553" w14:textId="77777777" w:rsidR="00AC23B9" w:rsidRDefault="00AC23B9" w:rsidP="00AC23B9">
            <w:pPr>
              <w:pStyle w:val="Prrafodelista"/>
              <w:numPr>
                <w:ilvl w:val="0"/>
                <w:numId w:val="6"/>
              </w:numPr>
              <w:suppressAutoHyphens w:val="0"/>
              <w:spacing w:before="40" w:after="40"/>
              <w:jc w:val="both"/>
            </w:pPr>
            <w:r>
              <w:rPr>
                <w:rFonts w:ascii="Arial" w:eastAsia="Arial" w:hAnsi="Arial" w:cs="Arial"/>
                <w:sz w:val="20"/>
                <w:szCs w:val="20"/>
              </w:rPr>
              <w:t>Cierre y compromisos.</w:t>
            </w:r>
          </w:p>
          <w:p w14:paraId="36C8BA89" w14:textId="77777777" w:rsidR="005E7438" w:rsidRDefault="005E7438">
            <w:pPr>
              <w:rPr>
                <w:rFonts w:ascii="Tahoma" w:hAnsi="Tahoma" w:cs="Tahoma"/>
                <w:b/>
                <w:sz w:val="20"/>
                <w:szCs w:val="20"/>
              </w:rPr>
            </w:pPr>
          </w:p>
        </w:tc>
      </w:tr>
      <w:tr w:rsidR="005E7438" w14:paraId="0CD2ABDF" w14:textId="77777777">
        <w:trPr>
          <w:trHeight w:val="133"/>
        </w:trPr>
        <w:tc>
          <w:tcPr>
            <w:tcW w:w="10286" w:type="dxa"/>
            <w:tcBorders>
              <w:top w:val="single" w:sz="6" w:space="0" w:color="000000"/>
              <w:left w:val="single" w:sz="6" w:space="0" w:color="000000"/>
              <w:bottom w:val="single" w:sz="6" w:space="0" w:color="000000"/>
              <w:right w:val="single" w:sz="6" w:space="0" w:color="000000"/>
            </w:tcBorders>
            <w:vAlign w:val="center"/>
          </w:tcPr>
          <w:p w14:paraId="6C165037" w14:textId="59B3CB7F"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lastRenderedPageBreak/>
              <w:t>Tras la apertura de la sesión y la presentación de los objetivos, la profesional Tatiana Milena Cedrón Martínez procedió a describir en detalle los procesos operativos del área de psicología, tomando como punto de partida el procedimiento formal de Asesoría y Consultoría disponible en la página institucional de la Universidad de Cartagena. A continuación, se sintetizan los hallazgos por eje temático.</w:t>
            </w:r>
          </w:p>
          <w:p w14:paraId="2F1048B7" w14:textId="77777777" w:rsidR="00AC23B9" w:rsidRPr="00AC23B9" w:rsidRDefault="00AC23B9" w:rsidP="00AC23B9">
            <w:pPr>
              <w:rPr>
                <w:rFonts w:ascii="Tahoma" w:hAnsi="Tahoma" w:cs="Tahoma"/>
                <w:sz w:val="20"/>
                <w:szCs w:val="20"/>
              </w:rPr>
            </w:pPr>
          </w:p>
          <w:p w14:paraId="1EC25C57"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Proceso de Solicitud de Asesoría y Canales de Entrada</w:t>
            </w:r>
          </w:p>
          <w:p w14:paraId="215D3080" w14:textId="519662B2"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El flujo de atención se origina por dos vías que convergen en el mismo procedimiento: la solicitud directa del estudiante a través del correo electrónico institucional, y la remisión formal por parte de un jefe de departamento, docente o directivo mediante el módulo de permanencia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En el caso de una remisión, el profesional de psicología queda notificado a través del mismo sistema; adicionalmente, el área envía un correo al estudiante remitido informándole la situación y la cita asignada, de modo que el estudiante llegue a la sesión con conocimiento de por qué fue contactado. Esta distinción </w:t>
            </w:r>
            <w:r>
              <w:rPr>
                <w:rFonts w:ascii="Tahoma" w:eastAsia="Arial" w:hAnsi="Tahoma" w:cs="Tahoma"/>
                <w:color w:val="000000"/>
                <w:sz w:val="20"/>
                <w:szCs w:val="20"/>
              </w:rPr>
              <w:t>(</w:t>
            </w:r>
            <w:r w:rsidRPr="00AC23B9">
              <w:rPr>
                <w:rFonts w:ascii="Tahoma" w:eastAsia="Arial" w:hAnsi="Tahoma" w:cs="Tahoma"/>
                <w:color w:val="000000"/>
                <w:sz w:val="20"/>
                <w:szCs w:val="20"/>
              </w:rPr>
              <w:t>quién origina el estímulo</w:t>
            </w:r>
            <w:r>
              <w:rPr>
                <w:rFonts w:ascii="Tahoma" w:eastAsia="Arial" w:hAnsi="Tahoma" w:cs="Tahoma"/>
                <w:color w:val="000000"/>
                <w:sz w:val="20"/>
                <w:szCs w:val="20"/>
              </w:rPr>
              <w:t>)</w:t>
            </w:r>
            <w:r w:rsidRPr="00AC23B9">
              <w:rPr>
                <w:rFonts w:ascii="Tahoma" w:eastAsia="Arial" w:hAnsi="Tahoma" w:cs="Tahoma"/>
                <w:color w:val="000000"/>
                <w:sz w:val="20"/>
                <w:szCs w:val="20"/>
              </w:rPr>
              <w:t xml:space="preserve"> es el único elemento diferenciador entre ambas vías: una vez ingresada la solicitud al sistema, el proceso subsiguiente es idéntico para ambos casos.</w:t>
            </w:r>
          </w:p>
          <w:p w14:paraId="0F1A6F80"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Respecto a cómo los docentes canalizan sus remisiones, la profesional precisó que existen dos modalidades: algunos docentes se dirigen al jefe de departamento, quien realiza la remisión formal a través de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otros docentes solicitan credenciales de acceso al módulo de permanencia para realizar las remisiones de forma directa. En todos los casos, la remisión queda registrada formalmente en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garantizando la trazabilidad del evento.</w:t>
            </w:r>
          </w:p>
          <w:p w14:paraId="0434428B" w14:textId="77777777" w:rsidR="00AC23B9" w:rsidRPr="00AC23B9" w:rsidRDefault="00AC23B9" w:rsidP="00AC23B9">
            <w:pPr>
              <w:rPr>
                <w:rFonts w:ascii="Tahoma" w:hAnsi="Tahoma" w:cs="Tahoma"/>
                <w:sz w:val="20"/>
                <w:szCs w:val="20"/>
              </w:rPr>
            </w:pPr>
          </w:p>
          <w:p w14:paraId="63E97515"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Agendamiento y Atención de Urgencias</w:t>
            </w:r>
          </w:p>
          <w:p w14:paraId="0E3D9560" w14:textId="317A9925"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Una vez recibida la solicitud, el psicólogo responsable agenda la cita en Google Calendar, herramienta que opera como apoyo al registro principal en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Los campus y centros tutoriales cuentan con psicólogos disponibles en una franja de atención continua de 7:00 a.m. a 10:00 p.m. En situaciones de urgencia </w:t>
            </w:r>
            <w:r>
              <w:rPr>
                <w:rFonts w:ascii="Tahoma" w:eastAsia="Arial" w:hAnsi="Tahoma" w:cs="Tahoma"/>
                <w:color w:val="000000"/>
                <w:sz w:val="20"/>
                <w:szCs w:val="20"/>
              </w:rPr>
              <w:t>(</w:t>
            </w:r>
            <w:r w:rsidRPr="00AC23B9">
              <w:rPr>
                <w:rFonts w:ascii="Tahoma" w:eastAsia="Arial" w:hAnsi="Tahoma" w:cs="Tahoma"/>
                <w:color w:val="000000"/>
                <w:sz w:val="20"/>
                <w:szCs w:val="20"/>
              </w:rPr>
              <w:t>estudiantes en crisis emocional, con ideación suicida o en estados de alta alteración</w:t>
            </w:r>
            <w:r>
              <w:rPr>
                <w:rFonts w:ascii="Tahoma" w:eastAsia="Arial" w:hAnsi="Tahoma" w:cs="Tahoma"/>
                <w:color w:val="000000"/>
                <w:sz w:val="20"/>
                <w:szCs w:val="20"/>
              </w:rPr>
              <w:t>)</w:t>
            </w:r>
            <w:r w:rsidRPr="00AC23B9">
              <w:rPr>
                <w:rFonts w:ascii="Tahoma" w:eastAsia="Arial" w:hAnsi="Tahoma" w:cs="Tahoma"/>
                <w:color w:val="000000"/>
                <w:sz w:val="20"/>
                <w:szCs w:val="20"/>
              </w:rPr>
              <w:t xml:space="preserve"> la atención se brinda de forma inmediata, prescindiendo del agendamiento previo. La profesional subrayó que estabilizar emocionalmente al estudiante antes de dejarlo salir del campus es una prioridad no negociable, dado el riesgo que implica que una crisis sin contención permanezca sin atención.</w:t>
            </w:r>
          </w:p>
          <w:p w14:paraId="6B98492E" w14:textId="77777777" w:rsidR="00AC23B9" w:rsidRPr="00AC23B9" w:rsidRDefault="00AC23B9" w:rsidP="00AC23B9">
            <w:pPr>
              <w:rPr>
                <w:rFonts w:ascii="Tahoma" w:hAnsi="Tahoma" w:cs="Tahoma"/>
                <w:sz w:val="20"/>
                <w:szCs w:val="20"/>
              </w:rPr>
            </w:pPr>
          </w:p>
          <w:p w14:paraId="4C3C6A96"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Sesión de Encuadre y Consentimiento Informado</w:t>
            </w:r>
          </w:p>
          <w:p w14:paraId="44D1E684"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La primera sesión con cualquier estudiante tiene carácter de encuadre. Antes o al inicio de ella, el profesional consulta el historial del estudiante en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para identificar alertas activas, intervenciones anteriores y el estado de diligenciamiento de la encuesta de caracterización. Si el estudiante no ha completado la encuesta, se le solicita hacerlo en ese momento mediante un enlace de acceso virtual; sin ella, no es posible establecer una línea base de factores de riesgo ni hacer trazabilidad posterior.</w:t>
            </w:r>
          </w:p>
          <w:p w14:paraId="4385309E" w14:textId="30886BE9"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El consentimiento informado (formato FO-BU-O13) se firma al inicio de la sesión formal, antes de proceder con la asesoría. Su firma es obligatoria cuando la intervención involucra datos de carácter confidencial o implica el tratamiento de información personal. Para acercamientos informales </w:t>
            </w:r>
            <w:r>
              <w:rPr>
                <w:rFonts w:ascii="Tahoma" w:eastAsia="Arial" w:hAnsi="Tahoma" w:cs="Tahoma"/>
                <w:color w:val="000000"/>
                <w:sz w:val="20"/>
                <w:szCs w:val="20"/>
              </w:rPr>
              <w:t>(</w:t>
            </w:r>
            <w:r w:rsidRPr="00AC23B9">
              <w:rPr>
                <w:rFonts w:ascii="Tahoma" w:eastAsia="Arial" w:hAnsi="Tahoma" w:cs="Tahoma"/>
                <w:color w:val="000000"/>
                <w:sz w:val="20"/>
                <w:szCs w:val="20"/>
              </w:rPr>
              <w:t>charlas breves o consultas puntuales sin seguimiento</w:t>
            </w:r>
            <w:r>
              <w:rPr>
                <w:rFonts w:ascii="Tahoma" w:eastAsia="Arial" w:hAnsi="Tahoma" w:cs="Tahoma"/>
                <w:color w:val="000000"/>
                <w:sz w:val="20"/>
                <w:szCs w:val="20"/>
              </w:rPr>
              <w:t>)</w:t>
            </w:r>
            <w:r w:rsidRPr="00AC23B9">
              <w:rPr>
                <w:rFonts w:ascii="Tahoma" w:eastAsia="Arial" w:hAnsi="Tahoma" w:cs="Tahoma"/>
                <w:color w:val="000000"/>
                <w:sz w:val="20"/>
                <w:szCs w:val="20"/>
              </w:rPr>
              <w:t xml:space="preserve"> el documento no es requerido. Si un estudiante rehúsa firmarlo, no puede abrirse un caso formal; sin embargo, queda constancia de que el estudiante declinó el acompañamiento y la puerta permanece abierta para futuras intervenciones.</w:t>
            </w:r>
          </w:p>
          <w:p w14:paraId="67A6EEFE" w14:textId="77777777" w:rsidR="00AC23B9" w:rsidRPr="00AC23B9" w:rsidRDefault="00AC23B9" w:rsidP="00AC23B9">
            <w:pPr>
              <w:rPr>
                <w:rFonts w:ascii="Tahoma" w:hAnsi="Tahoma" w:cs="Tahoma"/>
                <w:sz w:val="20"/>
                <w:szCs w:val="20"/>
              </w:rPr>
            </w:pPr>
          </w:p>
          <w:p w14:paraId="0A2B7F10"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 xml:space="preserve">Desarrollo de la Sesión de Asesoría y Registro en </w:t>
            </w:r>
            <w:proofErr w:type="spellStart"/>
            <w:r w:rsidRPr="00AC23B9">
              <w:rPr>
                <w:rFonts w:ascii="Tahoma" w:eastAsia="Arial" w:hAnsi="Tahoma" w:cs="Tahoma"/>
                <w:b/>
                <w:bCs/>
                <w:color w:val="000000"/>
                <w:sz w:val="20"/>
                <w:szCs w:val="20"/>
              </w:rPr>
              <w:t>Adviser</w:t>
            </w:r>
            <w:proofErr w:type="spellEnd"/>
          </w:p>
          <w:p w14:paraId="41B634CC"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La sesión de asesoría no sigue un protocolo rígido predefinido, sino que se conduce de forma flexible según las necesidades del estudiante. El eje central es la escucha activa: el estudiante manifiesta su malestar y, a partir de ello, el profesional ofrece orientación, técnicas de manejo emocional y recomendaciones. La profesional enfatizó </w:t>
            </w:r>
            <w:r w:rsidRPr="00AC23B9">
              <w:rPr>
                <w:rFonts w:ascii="Tahoma" w:eastAsia="Arial" w:hAnsi="Tahoma" w:cs="Tahoma"/>
                <w:color w:val="000000"/>
                <w:sz w:val="20"/>
                <w:szCs w:val="20"/>
              </w:rPr>
              <w:lastRenderedPageBreak/>
              <w:t>que el área presta asesoría psicológica y no intervención clínica, dado que Bienestar Universitario no es una EPS ni está habilitado como dispositivo de salud.</w:t>
            </w:r>
          </w:p>
          <w:p w14:paraId="0614417E"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La valoración del estado del estudiante durante la sesión se realiza con base en la observación directa y el diálogo, sin el uso de instrumentos estandarizados de tamizaje en esta etapa inicial. Al finalizar la sesión, el profesional registra en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el motivo de la intervención (seleccionado de una lista de categorías), la fecha, la hora y las observaciones derivadas de la atención.</w:t>
            </w:r>
          </w:p>
          <w:p w14:paraId="522127E9" w14:textId="77777777" w:rsidR="00AC23B9" w:rsidRPr="00AC23B9" w:rsidRDefault="00AC23B9" w:rsidP="00AC23B9">
            <w:pPr>
              <w:rPr>
                <w:rFonts w:ascii="Tahoma" w:hAnsi="Tahoma" w:cs="Tahoma"/>
                <w:sz w:val="20"/>
                <w:szCs w:val="20"/>
              </w:rPr>
            </w:pPr>
          </w:p>
          <w:p w14:paraId="5D04E4C4"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Gestión de Sesiones de Seguimiento</w:t>
            </w:r>
          </w:p>
          <w:p w14:paraId="1FC92C37" w14:textId="487D746E"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El seguimiento es responsabilidad del profesional y se programa con una frecuencia típica semanal o quincenal, ajustada según la complejidad del caso. La agenda de seguimiento se gestiona en Google Calendar y se refleja en los registros de </w:t>
            </w: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Si un estudiante requiere atención urgente fuera de su cita programada </w:t>
            </w:r>
            <w:r>
              <w:rPr>
                <w:rFonts w:ascii="Tahoma" w:eastAsia="Arial" w:hAnsi="Tahoma" w:cs="Tahoma"/>
                <w:color w:val="000000"/>
                <w:sz w:val="20"/>
                <w:szCs w:val="20"/>
              </w:rPr>
              <w:t>(</w:t>
            </w:r>
            <w:r w:rsidRPr="00AC23B9">
              <w:rPr>
                <w:rFonts w:ascii="Tahoma" w:eastAsia="Arial" w:hAnsi="Tahoma" w:cs="Tahoma"/>
                <w:color w:val="000000"/>
                <w:sz w:val="20"/>
                <w:szCs w:val="20"/>
              </w:rPr>
              <w:t>por ejemplo, ante una crisis sobreviniente</w:t>
            </w:r>
            <w:r>
              <w:rPr>
                <w:rFonts w:ascii="Tahoma" w:eastAsia="Arial" w:hAnsi="Tahoma" w:cs="Tahoma"/>
                <w:color w:val="000000"/>
                <w:sz w:val="20"/>
                <w:szCs w:val="20"/>
              </w:rPr>
              <w:t>)</w:t>
            </w:r>
            <w:r w:rsidRPr="00AC23B9">
              <w:rPr>
                <w:rFonts w:ascii="Tahoma" w:eastAsia="Arial" w:hAnsi="Tahoma" w:cs="Tahoma"/>
                <w:color w:val="000000"/>
                <w:sz w:val="20"/>
                <w:szCs w:val="20"/>
              </w:rPr>
              <w:t xml:space="preserve"> puede ser atendido de inmediato siempre que esté dentro del horario de atención. Cuando la modalidad es virtual, rige un tiempo máximo de sesión establecido institucionalmente.</w:t>
            </w:r>
          </w:p>
          <w:p w14:paraId="03B1FADF" w14:textId="77777777" w:rsidR="00AC23B9" w:rsidRPr="00AC23B9" w:rsidRDefault="00AC23B9" w:rsidP="00AC23B9">
            <w:pPr>
              <w:rPr>
                <w:rFonts w:ascii="Tahoma" w:hAnsi="Tahoma" w:cs="Tahoma"/>
                <w:sz w:val="20"/>
                <w:szCs w:val="20"/>
              </w:rPr>
            </w:pPr>
          </w:p>
          <w:p w14:paraId="5DF1FC06"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Remisión a EPS</w:t>
            </w:r>
          </w:p>
          <w:p w14:paraId="275E692B" w14:textId="279CF20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 xml:space="preserve">Cuando el profesional identifica síntomas que superan el alcance de la asesoría institucional </w:t>
            </w:r>
            <w:r>
              <w:rPr>
                <w:rFonts w:ascii="Tahoma" w:eastAsia="Arial" w:hAnsi="Tahoma" w:cs="Tahoma"/>
                <w:color w:val="000000"/>
                <w:sz w:val="20"/>
                <w:szCs w:val="20"/>
              </w:rPr>
              <w:t>(</w:t>
            </w:r>
            <w:r w:rsidRPr="00AC23B9">
              <w:rPr>
                <w:rFonts w:ascii="Tahoma" w:eastAsia="Arial" w:hAnsi="Tahoma" w:cs="Tahoma"/>
                <w:color w:val="000000"/>
                <w:sz w:val="20"/>
                <w:szCs w:val="20"/>
              </w:rPr>
              <w:t>indicadores de depresión clínica, ansiedad severa, ideación suicida o intentos previos</w:t>
            </w:r>
            <w:r>
              <w:rPr>
                <w:rFonts w:ascii="Tahoma" w:eastAsia="Arial" w:hAnsi="Tahoma" w:cs="Tahoma"/>
                <w:color w:val="000000"/>
                <w:sz w:val="20"/>
                <w:szCs w:val="20"/>
              </w:rPr>
              <w:t>)</w:t>
            </w:r>
            <w:r w:rsidRPr="00AC23B9">
              <w:rPr>
                <w:rFonts w:ascii="Tahoma" w:eastAsia="Arial" w:hAnsi="Tahoma" w:cs="Tahoma"/>
                <w:color w:val="000000"/>
                <w:sz w:val="20"/>
                <w:szCs w:val="20"/>
              </w:rPr>
              <w:t>, se emite un formato de remisión a la EPS del estudiante. La profesional aclaró que esta remisión no constituye una orden médica imperativa, sino una recomendación formal documentada: el área no puede obligar al estudiante a asistir, aunque sí insiste en la importancia de hacerlo dada la gravedad detectada. El acompañamiento institucional desde Bienestar continúa en paralelo, pero el seguimiento del proceso en la EPS depende de lo que el propio estudiante decida compartir, ya que el área de psicología no tiene acceso al historial clínico externo.</w:t>
            </w:r>
          </w:p>
          <w:p w14:paraId="6BF55B2E" w14:textId="77777777" w:rsidR="00AC23B9" w:rsidRPr="00AC23B9" w:rsidRDefault="00AC23B9" w:rsidP="00AC23B9">
            <w:pPr>
              <w:rPr>
                <w:rFonts w:ascii="Tahoma" w:hAnsi="Tahoma" w:cs="Tahoma"/>
                <w:sz w:val="20"/>
                <w:szCs w:val="20"/>
              </w:rPr>
            </w:pPr>
          </w:p>
          <w:p w14:paraId="3EB7D545"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Alertas Tempranas y Gestión de Falsos Positivos</w:t>
            </w:r>
          </w:p>
          <w:p w14:paraId="2D7D7EBA" w14:textId="5A108B06" w:rsidR="00AC23B9" w:rsidRPr="00AC23B9" w:rsidRDefault="00AC23B9" w:rsidP="00AC23B9">
            <w:pPr>
              <w:spacing w:before="80" w:after="80"/>
              <w:jc w:val="both"/>
              <w:rPr>
                <w:rFonts w:ascii="Tahoma" w:hAnsi="Tahoma" w:cs="Tahoma"/>
                <w:sz w:val="20"/>
                <w:szCs w:val="20"/>
              </w:rPr>
            </w:pPr>
            <w:proofErr w:type="spellStart"/>
            <w:r w:rsidRPr="00AC23B9">
              <w:rPr>
                <w:rFonts w:ascii="Tahoma" w:eastAsia="Arial" w:hAnsi="Tahoma" w:cs="Tahoma"/>
                <w:color w:val="000000"/>
                <w:sz w:val="20"/>
                <w:szCs w:val="20"/>
              </w:rPr>
              <w:t>Adviser</w:t>
            </w:r>
            <w:proofErr w:type="spellEnd"/>
            <w:r w:rsidRPr="00AC23B9">
              <w:rPr>
                <w:rFonts w:ascii="Tahoma" w:eastAsia="Arial" w:hAnsi="Tahoma" w:cs="Tahoma"/>
                <w:color w:val="000000"/>
                <w:sz w:val="20"/>
                <w:szCs w:val="20"/>
              </w:rPr>
              <w:t xml:space="preserve"> genera alertas a partir de los datos recogidos en la encuesta de caracterización, especialmente durante el primer semestre. Cuando un estudiante presenta alertas activas sin haber solicitado atención, el área le envía un correo de invitación para acercarse al servicio de asesoría. Este paso sirve además para verificar si las alertas corresponden a un riesgo real o son producto de datos incorrectos ingresados en la encuesta </w:t>
            </w:r>
            <w:r>
              <w:rPr>
                <w:rFonts w:ascii="Tahoma" w:eastAsia="Arial" w:hAnsi="Tahoma" w:cs="Tahoma"/>
                <w:color w:val="000000"/>
                <w:sz w:val="20"/>
                <w:szCs w:val="20"/>
              </w:rPr>
              <w:t>[</w:t>
            </w:r>
            <w:r w:rsidRPr="00AC23B9">
              <w:rPr>
                <w:rFonts w:ascii="Tahoma" w:eastAsia="Arial" w:hAnsi="Tahoma" w:cs="Tahoma"/>
                <w:color w:val="000000"/>
                <w:sz w:val="20"/>
                <w:szCs w:val="20"/>
              </w:rPr>
              <w:t xml:space="preserve">un fenómeno documentado que </w:t>
            </w:r>
            <w:r>
              <w:rPr>
                <w:rFonts w:ascii="Tahoma" w:eastAsia="Arial" w:hAnsi="Tahoma" w:cs="Tahoma"/>
                <w:color w:val="000000"/>
                <w:sz w:val="20"/>
                <w:szCs w:val="20"/>
              </w:rPr>
              <w:t>se denominan como</w:t>
            </w:r>
            <w:r w:rsidRPr="00AC23B9">
              <w:rPr>
                <w:rFonts w:ascii="Tahoma" w:eastAsia="Arial" w:hAnsi="Tahoma" w:cs="Tahoma"/>
                <w:color w:val="000000"/>
                <w:sz w:val="20"/>
                <w:szCs w:val="20"/>
              </w:rPr>
              <w:t xml:space="preserve"> "falsos positivos"</w:t>
            </w:r>
            <w:r>
              <w:rPr>
                <w:rFonts w:ascii="Tahoma" w:eastAsia="Arial" w:hAnsi="Tahoma" w:cs="Tahoma"/>
                <w:color w:val="000000"/>
                <w:sz w:val="20"/>
                <w:szCs w:val="20"/>
              </w:rPr>
              <w:t>]</w:t>
            </w:r>
            <w:r w:rsidRPr="00AC23B9">
              <w:rPr>
                <w:rFonts w:ascii="Tahoma" w:eastAsia="Arial" w:hAnsi="Tahoma" w:cs="Tahoma"/>
                <w:color w:val="000000"/>
                <w:sz w:val="20"/>
                <w:szCs w:val="20"/>
              </w:rPr>
              <w:t>. La invitación por correo permite corroborar en una conversación directa si las alertas se mantienen vigentes antes de tomar medidas de seguimiento más activas.</w:t>
            </w:r>
          </w:p>
          <w:p w14:paraId="42736410" w14:textId="77777777" w:rsidR="00AC23B9" w:rsidRPr="00AC23B9" w:rsidRDefault="00AC23B9" w:rsidP="00AC23B9">
            <w:pPr>
              <w:rPr>
                <w:rFonts w:ascii="Tahoma" w:hAnsi="Tahoma" w:cs="Tahoma"/>
                <w:sz w:val="20"/>
                <w:szCs w:val="20"/>
              </w:rPr>
            </w:pPr>
          </w:p>
          <w:p w14:paraId="5FD28005"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b/>
                <w:bCs/>
                <w:color w:val="000000"/>
                <w:sz w:val="20"/>
                <w:szCs w:val="20"/>
              </w:rPr>
              <w:t>Actividades de Prevención Proactiva</w:t>
            </w:r>
          </w:p>
          <w:p w14:paraId="2986213A" w14:textId="77777777" w:rsidR="00AC23B9" w:rsidRPr="00AC23B9" w:rsidRDefault="00AC23B9" w:rsidP="00AC23B9">
            <w:pPr>
              <w:spacing w:before="80" w:after="80"/>
              <w:jc w:val="both"/>
              <w:rPr>
                <w:rFonts w:ascii="Tahoma" w:hAnsi="Tahoma" w:cs="Tahoma"/>
                <w:sz w:val="20"/>
                <w:szCs w:val="20"/>
              </w:rPr>
            </w:pPr>
            <w:r w:rsidRPr="00AC23B9">
              <w:rPr>
                <w:rFonts w:ascii="Tahoma" w:eastAsia="Arial" w:hAnsi="Tahoma" w:cs="Tahoma"/>
                <w:color w:val="000000"/>
                <w:sz w:val="20"/>
                <w:szCs w:val="20"/>
              </w:rPr>
              <w:t>Al inicio de cada año académico, el área de psicología elabora un cronograma anual de talleres y actividades preventivas dirigidas a la comunidad estudiantil. Entre las actividades regulares se incluyen talleres de técnicas de estudio y hábitos académicos para estudiantes de primer semestre, jornadas de concientización sobre salud mental, y campañas de difusión sobre los servicios que ofrece Bienestar Universitario. Estas actividades se implementan mediante stands en espacios comunes o mediante visitas directas a los salones de clase, maximizando el alcance hacia estudiantes que aún no conocen o no han utilizado los canales de atención.</w:t>
            </w:r>
          </w:p>
          <w:p w14:paraId="194F2888" w14:textId="77777777" w:rsidR="005E7438" w:rsidRPr="00AC23B9" w:rsidRDefault="005E7438">
            <w:pPr>
              <w:rPr>
                <w:rFonts w:ascii="Tahoma" w:hAnsi="Tahoma" w:cs="Tahoma"/>
                <w:b/>
                <w:sz w:val="20"/>
                <w:szCs w:val="20"/>
              </w:rPr>
            </w:pPr>
          </w:p>
        </w:tc>
      </w:tr>
      <w:tr w:rsidR="005E7438" w14:paraId="2DEB248B" w14:textId="77777777">
        <w:trPr>
          <w:trHeight w:val="826"/>
        </w:trPr>
        <w:tc>
          <w:tcPr>
            <w:tcW w:w="10286" w:type="dxa"/>
            <w:tcBorders>
              <w:top w:val="single" w:sz="6" w:space="0" w:color="000000"/>
              <w:left w:val="single" w:sz="6" w:space="0" w:color="000000"/>
              <w:bottom w:val="single" w:sz="6" w:space="0" w:color="000000"/>
              <w:right w:val="single" w:sz="6" w:space="0" w:color="000000"/>
            </w:tcBorders>
          </w:tcPr>
          <w:p w14:paraId="091841E9" w14:textId="77777777" w:rsidR="005E7438" w:rsidRDefault="0064470A">
            <w:pPr>
              <w:rPr>
                <w:rFonts w:ascii="Tahoma" w:hAnsi="Tahoma" w:cs="Tahoma"/>
                <w:sz w:val="20"/>
                <w:szCs w:val="20"/>
              </w:rPr>
            </w:pPr>
            <w:r>
              <w:rPr>
                <w:rFonts w:ascii="Tahoma" w:hAnsi="Tahoma" w:cs="Tahoma"/>
                <w:b/>
                <w:sz w:val="20"/>
                <w:szCs w:val="20"/>
              </w:rPr>
              <w:lastRenderedPageBreak/>
              <w:t>CONCLUSIONES</w:t>
            </w:r>
          </w:p>
          <w:p w14:paraId="77A6773A" w14:textId="77777777" w:rsidR="00AC23B9" w:rsidRPr="00AC23B9" w:rsidRDefault="00AC23B9" w:rsidP="00AC23B9">
            <w:pPr>
              <w:spacing w:before="80" w:after="80"/>
              <w:jc w:val="both"/>
              <w:rPr>
                <w:rFonts w:ascii="Tahoma" w:hAnsi="Tahoma" w:cs="Tahoma"/>
              </w:rPr>
            </w:pPr>
            <w:r w:rsidRPr="00AC23B9">
              <w:rPr>
                <w:rFonts w:ascii="Tahoma" w:eastAsia="Arial" w:hAnsi="Tahoma" w:cs="Tahoma"/>
                <w:color w:val="000000"/>
                <w:sz w:val="20"/>
                <w:szCs w:val="20"/>
              </w:rPr>
              <w:t xml:space="preserve">A partir de los hallazgos de esta segunda entrevista se pueden formular las siguientes conclusiones relevantes para el modelado de los procesos de negocio de </w:t>
            </w:r>
            <w:proofErr w:type="spellStart"/>
            <w:r w:rsidRPr="00AC23B9">
              <w:rPr>
                <w:rFonts w:ascii="Tahoma" w:eastAsia="Arial" w:hAnsi="Tahoma" w:cs="Tahoma"/>
                <w:color w:val="000000"/>
                <w:sz w:val="20"/>
                <w:szCs w:val="20"/>
              </w:rPr>
              <w:t>MindBridge</w:t>
            </w:r>
            <w:proofErr w:type="spellEnd"/>
            <w:r w:rsidRPr="00AC23B9">
              <w:rPr>
                <w:rFonts w:ascii="Tahoma" w:eastAsia="Arial" w:hAnsi="Tahoma" w:cs="Tahoma"/>
                <w:color w:val="000000"/>
                <w:sz w:val="20"/>
                <w:szCs w:val="20"/>
              </w:rPr>
              <w:t>:</w:t>
            </w:r>
          </w:p>
          <w:p w14:paraId="4838E60E" w14:textId="77777777" w:rsidR="00AC23B9" w:rsidRPr="00AC23B9" w:rsidRDefault="00AC23B9" w:rsidP="00AC23B9">
            <w:pPr>
              <w:rPr>
                <w:rFonts w:ascii="Tahoma" w:hAnsi="Tahoma" w:cs="Tahoma"/>
              </w:rPr>
            </w:pPr>
          </w:p>
          <w:p w14:paraId="49DE75D6"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lastRenderedPageBreak/>
              <w:t>El proceso de solicitud de asesoría y el proceso de remisión siguen exactamente el mismo flujo operativo una vez que la solicitud ingresa al sistema; la única diferencia está en el actor que origina el estímulo y en el deber del profesional de notificar al estudiante cuando la iniciativa proviene de un tercero.</w:t>
            </w:r>
          </w:p>
          <w:p w14:paraId="765B68E8"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 xml:space="preserve"> actúa como sistema de registro central y fuente de trazabilidad para todas las áreas de bienestar, no solo psicología. Google Calendar opera como herramienta complementaria de agendamiento. Ningún proceso de seguimiento formal se mantiene fuera de </w:t>
            </w: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w:t>
            </w:r>
          </w:p>
          <w:p w14:paraId="2BD48824"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La encuesta de caracterización es un prerrequisito funcional para la atención: sin ella, el profesional carece de la línea base necesaria para identificar factores de riesgo y no puede abrir un caso con trazabilidad.</w:t>
            </w:r>
          </w:p>
          <w:p w14:paraId="13778A4C"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El consentimiento informado (FO-BU-O13) delimita con precisión cuándo aplica el protocolo formal: intervenciones con datos confidenciales o personales. Su rechazo por parte del estudiante cierra el caso formal pero no cierra la posibilidad de atención futura.</w:t>
            </w:r>
          </w:p>
          <w:p w14:paraId="6C014871"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La valoración del estado del estudiante es fundamentalmente clínico-observacional en esta fase de asesoría, sin instrumentos estandarizados de tamizaje en la primera sesión.</w:t>
            </w:r>
          </w:p>
          <w:p w14:paraId="08451828"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El seguimiento posterior a una remisión a EPS queda limitado por la ausencia de acceso al historial clínico externo; el acompañamiento institucional continúa, pero depende de la información que el estudiante comparta voluntariamente.</w:t>
            </w:r>
          </w:p>
          <w:p w14:paraId="5DBC68CF" w14:textId="2A72FA09"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 xml:space="preserve">El mecanismo de alertas tempranas de </w:t>
            </w:r>
            <w:proofErr w:type="spellStart"/>
            <w:r w:rsidRPr="00AC23B9">
              <w:rPr>
                <w:rFonts w:ascii="Tahoma" w:eastAsia="Arial" w:hAnsi="Tahoma" w:cs="Tahoma"/>
                <w:sz w:val="20"/>
                <w:szCs w:val="20"/>
              </w:rPr>
              <w:t>Adviser</w:t>
            </w:r>
            <w:proofErr w:type="spellEnd"/>
            <w:r w:rsidRPr="00AC23B9">
              <w:rPr>
                <w:rFonts w:ascii="Tahoma" w:eastAsia="Arial" w:hAnsi="Tahoma" w:cs="Tahoma"/>
                <w:sz w:val="20"/>
                <w:szCs w:val="20"/>
              </w:rPr>
              <w:t xml:space="preserve"> requiere verificación humana (correo de invitación</w:t>
            </w:r>
            <w:r w:rsidR="00C9588F">
              <w:rPr>
                <w:rFonts w:ascii="Tahoma" w:eastAsia="Arial" w:hAnsi="Tahoma" w:cs="Tahoma"/>
                <w:sz w:val="20"/>
                <w:szCs w:val="20"/>
              </w:rPr>
              <w:t xml:space="preserve"> y algo similar a una sesión de encuadre</w:t>
            </w:r>
            <w:r w:rsidRPr="00AC23B9">
              <w:rPr>
                <w:rFonts w:ascii="Tahoma" w:eastAsia="Arial" w:hAnsi="Tahoma" w:cs="Tahoma"/>
                <w:sz w:val="20"/>
                <w:szCs w:val="20"/>
              </w:rPr>
              <w:t>) antes de activar acciones de seguimiento, precisamente para mitigar los falsos positivos derivados de datos incorrectos en la encuesta.</w:t>
            </w:r>
          </w:p>
          <w:p w14:paraId="200DA278" w14:textId="77777777" w:rsidR="00AC23B9" w:rsidRPr="00AC23B9" w:rsidRDefault="00AC23B9" w:rsidP="00AC23B9">
            <w:pPr>
              <w:pStyle w:val="Prrafodelista"/>
              <w:numPr>
                <w:ilvl w:val="0"/>
                <w:numId w:val="5"/>
              </w:numPr>
              <w:suppressAutoHyphens w:val="0"/>
              <w:spacing w:before="40" w:after="40"/>
              <w:jc w:val="both"/>
              <w:rPr>
                <w:rFonts w:ascii="Tahoma" w:hAnsi="Tahoma" w:cs="Tahoma"/>
              </w:rPr>
            </w:pPr>
            <w:r w:rsidRPr="00AC23B9">
              <w:rPr>
                <w:rFonts w:ascii="Tahoma" w:eastAsia="Arial" w:hAnsi="Tahoma" w:cs="Tahoma"/>
                <w:sz w:val="20"/>
                <w:szCs w:val="20"/>
              </w:rPr>
              <w:t>Estos hallazgos permiten identificar y delimitar los procesos de negocio que serán diagramados como actividades: (1) Solicitud de asesoría por iniciativa propia, (2) Remisión por docente/directivo, (3) Sesión de encuadre y apertura de caso, (4) Sesiones de seguimiento, (5) Remisión a EPS, y (6) Gestión de alertas tempranas.</w:t>
            </w:r>
          </w:p>
          <w:p w14:paraId="1887D460" w14:textId="0F096CFA" w:rsidR="005E7438" w:rsidRDefault="005E7438">
            <w:pPr>
              <w:pStyle w:val="Sinespaciado"/>
              <w:jc w:val="both"/>
              <w:rPr>
                <w:rFonts w:ascii="Tahoma" w:hAnsi="Tahoma" w:cs="Tahoma"/>
                <w:color w:val="auto"/>
                <w:sz w:val="20"/>
                <w:szCs w:val="20"/>
              </w:rPr>
            </w:pPr>
          </w:p>
        </w:tc>
      </w:tr>
      <w:tr w:rsidR="005E7438" w14:paraId="78F9D00A" w14:textId="77777777">
        <w:trPr>
          <w:trHeight w:val="633"/>
        </w:trPr>
        <w:tc>
          <w:tcPr>
            <w:tcW w:w="10286" w:type="dxa"/>
            <w:tcBorders>
              <w:top w:val="single" w:sz="6" w:space="0" w:color="000000"/>
              <w:left w:val="single" w:sz="6" w:space="0" w:color="000000"/>
              <w:bottom w:val="single" w:sz="6" w:space="0" w:color="000000"/>
              <w:right w:val="single" w:sz="6" w:space="0" w:color="000000"/>
            </w:tcBorders>
          </w:tcPr>
          <w:p w14:paraId="30E5AEC8" w14:textId="77777777" w:rsidR="005E7438" w:rsidRDefault="0064470A">
            <w:pPr>
              <w:rPr>
                <w:rFonts w:ascii="Tahoma" w:hAnsi="Tahoma" w:cs="Tahoma"/>
                <w:b/>
                <w:color w:val="5B9BD5" w:themeColor="accent1"/>
                <w:sz w:val="20"/>
                <w:szCs w:val="20"/>
              </w:rPr>
            </w:pPr>
            <w:r>
              <w:rPr>
                <w:rFonts w:ascii="Tahoma" w:hAnsi="Tahoma" w:cs="Tahoma"/>
                <w:b/>
                <w:color w:val="5B9BD5" w:themeColor="accent1"/>
                <w:sz w:val="20"/>
                <w:szCs w:val="20"/>
              </w:rPr>
              <w:lastRenderedPageBreak/>
              <w:t>COMPROMISOS</w:t>
            </w:r>
          </w:p>
          <w:p w14:paraId="766EF0AA" w14:textId="77777777" w:rsidR="005E7438" w:rsidRDefault="0064470A">
            <w:pPr>
              <w:rPr>
                <w:rFonts w:ascii="Tahoma" w:hAnsi="Tahoma" w:cs="Tahoma"/>
                <w:bCs/>
                <w:sz w:val="20"/>
                <w:szCs w:val="20"/>
              </w:rPr>
            </w:pPr>
            <w:r>
              <w:rPr>
                <w:rFonts w:ascii="Tahoma" w:hAnsi="Tahoma" w:cs="Tahoma"/>
                <w:bCs/>
                <w:sz w:val="20"/>
                <w:szCs w:val="20"/>
              </w:rPr>
              <w:t>Al finalizar la reunión nos comprometimos a:</w:t>
            </w:r>
          </w:p>
          <w:p w14:paraId="1913AAF0" w14:textId="77777777" w:rsidR="005E7438" w:rsidRDefault="0064470A">
            <w:pPr>
              <w:pStyle w:val="Prrafodelista"/>
              <w:numPr>
                <w:ilvl w:val="0"/>
                <w:numId w:val="2"/>
              </w:numPr>
              <w:rPr>
                <w:rFonts w:ascii="Tahoma" w:hAnsi="Tahoma" w:cs="Tahoma"/>
                <w:bCs/>
                <w:sz w:val="20"/>
                <w:szCs w:val="20"/>
              </w:rPr>
            </w:pPr>
            <w:r>
              <w:rPr>
                <w:rFonts w:ascii="Tahoma" w:hAnsi="Tahoma" w:cs="Tahoma"/>
                <w:bCs/>
                <w:sz w:val="20"/>
                <w:szCs w:val="20"/>
              </w:rPr>
              <w:t>Solicitar firma o consentimiento para tratamiento de datos personales con motivos académicos</w:t>
            </w:r>
          </w:p>
          <w:p w14:paraId="2291725C" w14:textId="77777777" w:rsidR="005E7438" w:rsidRDefault="0064470A">
            <w:pPr>
              <w:pStyle w:val="Prrafodelista"/>
              <w:numPr>
                <w:ilvl w:val="0"/>
                <w:numId w:val="2"/>
              </w:numPr>
              <w:rPr>
                <w:rFonts w:ascii="Tahoma" w:hAnsi="Tahoma" w:cs="Tahoma"/>
                <w:bCs/>
                <w:sz w:val="20"/>
                <w:szCs w:val="20"/>
              </w:rPr>
            </w:pPr>
            <w:r>
              <w:rPr>
                <w:rFonts w:ascii="Tahoma" w:hAnsi="Tahoma" w:cs="Tahoma"/>
                <w:bCs/>
                <w:sz w:val="20"/>
                <w:szCs w:val="20"/>
              </w:rPr>
              <w:t>Remitir una copia del acta al entrevistado</w:t>
            </w:r>
          </w:p>
          <w:p w14:paraId="40DCFD9A" w14:textId="77777777" w:rsidR="005E7438" w:rsidRDefault="005E7438">
            <w:pPr>
              <w:rPr>
                <w:rFonts w:ascii="Tahoma" w:hAnsi="Tahoma" w:cs="Tahoma"/>
                <w:b/>
                <w:sz w:val="20"/>
                <w:szCs w:val="20"/>
              </w:rPr>
            </w:pPr>
          </w:p>
        </w:tc>
      </w:tr>
    </w:tbl>
    <w:p w14:paraId="22AEFA55" w14:textId="77777777" w:rsidR="005E7438" w:rsidRDefault="0064470A">
      <w:r>
        <w:br w:type="page"/>
      </w:r>
    </w:p>
    <w:tbl>
      <w:tblPr>
        <w:tblW w:w="10286" w:type="dxa"/>
        <w:tblLayout w:type="fixed"/>
        <w:tblCellMar>
          <w:left w:w="70" w:type="dxa"/>
          <w:right w:w="70" w:type="dxa"/>
        </w:tblCellMar>
        <w:tblLook w:val="0000" w:firstRow="0" w:lastRow="0" w:firstColumn="0" w:lastColumn="0" w:noHBand="0" w:noVBand="0"/>
      </w:tblPr>
      <w:tblGrid>
        <w:gridCol w:w="4337"/>
        <w:gridCol w:w="2988"/>
        <w:gridCol w:w="2961"/>
      </w:tblGrid>
      <w:tr w:rsidR="005E7438" w14:paraId="680DE381" w14:textId="77777777">
        <w:trPr>
          <w:trHeight w:val="890"/>
        </w:trPr>
        <w:tc>
          <w:tcPr>
            <w:tcW w:w="4337" w:type="dxa"/>
            <w:tcBorders>
              <w:top w:val="single" w:sz="6" w:space="0" w:color="000000"/>
              <w:left w:val="single" w:sz="6" w:space="0" w:color="000000"/>
              <w:bottom w:val="single" w:sz="6" w:space="0" w:color="000000"/>
              <w:right w:val="single" w:sz="6" w:space="0" w:color="000000"/>
            </w:tcBorders>
          </w:tcPr>
          <w:p w14:paraId="2DC65B88" w14:textId="77777777" w:rsidR="005E7438" w:rsidRDefault="0064470A">
            <w:pPr>
              <w:pageBreakBefore/>
              <w:ind w:left="360"/>
              <w:jc w:val="center"/>
              <w:rPr>
                <w:rFonts w:ascii="Tahoma" w:hAnsi="Tahoma" w:cs="Tahoma"/>
                <w:b/>
                <w:color w:val="5B9BD5" w:themeColor="accent1"/>
                <w:sz w:val="20"/>
                <w:szCs w:val="20"/>
              </w:rPr>
            </w:pPr>
            <w:r>
              <w:rPr>
                <w:rFonts w:ascii="Tahoma" w:hAnsi="Tahoma" w:cs="Tahoma"/>
                <w:b/>
                <w:color w:val="5B9BD5" w:themeColor="accent1"/>
                <w:sz w:val="20"/>
                <w:szCs w:val="20"/>
              </w:rPr>
              <w:lastRenderedPageBreak/>
              <w:t>Actividad</w:t>
            </w:r>
          </w:p>
        </w:tc>
        <w:tc>
          <w:tcPr>
            <w:tcW w:w="2988" w:type="dxa"/>
            <w:tcBorders>
              <w:top w:val="single" w:sz="6" w:space="0" w:color="000000"/>
              <w:left w:val="single" w:sz="6" w:space="0" w:color="000000"/>
              <w:bottom w:val="single" w:sz="6" w:space="0" w:color="000000"/>
              <w:right w:val="single" w:sz="6" w:space="0" w:color="000000"/>
            </w:tcBorders>
          </w:tcPr>
          <w:p w14:paraId="2DB24347" w14:textId="77777777" w:rsidR="005E7438" w:rsidRDefault="0064470A">
            <w:pPr>
              <w:jc w:val="center"/>
              <w:rPr>
                <w:rFonts w:ascii="Tahoma" w:hAnsi="Tahoma" w:cs="Tahoma"/>
                <w:b/>
                <w:color w:val="5B9BD5" w:themeColor="accent1"/>
                <w:sz w:val="20"/>
                <w:szCs w:val="20"/>
              </w:rPr>
            </w:pPr>
            <w:r>
              <w:rPr>
                <w:rFonts w:ascii="Tahoma" w:hAnsi="Tahoma" w:cs="Tahoma"/>
                <w:b/>
                <w:color w:val="5B9BD5" w:themeColor="accent1"/>
                <w:sz w:val="20"/>
                <w:szCs w:val="20"/>
              </w:rPr>
              <w:t>Responsable</w:t>
            </w:r>
          </w:p>
        </w:tc>
        <w:tc>
          <w:tcPr>
            <w:tcW w:w="2961" w:type="dxa"/>
            <w:tcBorders>
              <w:top w:val="single" w:sz="6" w:space="0" w:color="000000"/>
              <w:left w:val="single" w:sz="6" w:space="0" w:color="000000"/>
              <w:bottom w:val="single" w:sz="6" w:space="0" w:color="000000"/>
              <w:right w:val="single" w:sz="6" w:space="0" w:color="000000"/>
            </w:tcBorders>
          </w:tcPr>
          <w:p w14:paraId="2ACBD096" w14:textId="77777777" w:rsidR="005E7438" w:rsidRDefault="0064470A">
            <w:pPr>
              <w:jc w:val="center"/>
              <w:rPr>
                <w:rFonts w:ascii="Tahoma" w:hAnsi="Tahoma" w:cs="Tahoma"/>
                <w:b/>
                <w:color w:val="5B9BD5" w:themeColor="accent1"/>
                <w:sz w:val="20"/>
                <w:szCs w:val="20"/>
              </w:rPr>
            </w:pPr>
            <w:r>
              <w:rPr>
                <w:rFonts w:ascii="Tahoma" w:hAnsi="Tahoma" w:cs="Tahoma"/>
                <w:b/>
                <w:color w:val="5B9BD5" w:themeColor="accent1"/>
                <w:sz w:val="20"/>
                <w:szCs w:val="20"/>
              </w:rPr>
              <w:t>Fecha</w:t>
            </w:r>
          </w:p>
        </w:tc>
      </w:tr>
      <w:tr w:rsidR="005E7438" w14:paraId="0EC669C7" w14:textId="77777777">
        <w:trPr>
          <w:trHeight w:hRule="exact" w:val="586"/>
        </w:trPr>
        <w:tc>
          <w:tcPr>
            <w:tcW w:w="4337" w:type="dxa"/>
            <w:tcBorders>
              <w:top w:val="single" w:sz="6" w:space="0" w:color="000000"/>
              <w:left w:val="single" w:sz="6" w:space="0" w:color="000000"/>
              <w:bottom w:val="single" w:sz="6" w:space="0" w:color="000000"/>
              <w:right w:val="single" w:sz="6" w:space="0" w:color="000000"/>
            </w:tcBorders>
          </w:tcPr>
          <w:p w14:paraId="77DDC3F8" w14:textId="77777777" w:rsidR="005E7438" w:rsidRDefault="0064470A">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Preparación de las preguntas y contenido de la entrevista</w:t>
            </w:r>
          </w:p>
        </w:tc>
        <w:tc>
          <w:tcPr>
            <w:tcW w:w="2988" w:type="dxa"/>
            <w:tcBorders>
              <w:top w:val="single" w:sz="6" w:space="0" w:color="000000"/>
              <w:left w:val="single" w:sz="6" w:space="0" w:color="000000"/>
              <w:bottom w:val="single" w:sz="6" w:space="0" w:color="000000"/>
              <w:right w:val="single" w:sz="6" w:space="0" w:color="000000"/>
            </w:tcBorders>
          </w:tcPr>
          <w:p w14:paraId="11B407D1"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ISOFT</w:t>
            </w:r>
          </w:p>
        </w:tc>
        <w:tc>
          <w:tcPr>
            <w:tcW w:w="2961" w:type="dxa"/>
            <w:tcBorders>
              <w:top w:val="single" w:sz="6" w:space="0" w:color="000000"/>
              <w:left w:val="single" w:sz="6" w:space="0" w:color="000000"/>
              <w:bottom w:val="single" w:sz="6" w:space="0" w:color="000000"/>
              <w:right w:val="single" w:sz="6" w:space="0" w:color="000000"/>
            </w:tcBorders>
          </w:tcPr>
          <w:p w14:paraId="429CA72E" w14:textId="77777777" w:rsidR="005E7438" w:rsidRDefault="0064470A">
            <w:pPr>
              <w:jc w:val="both"/>
              <w:rPr>
                <w:rFonts w:ascii="Tahoma" w:hAnsi="Tahoma" w:cs="Tahoma"/>
                <w:sz w:val="20"/>
                <w:szCs w:val="20"/>
              </w:rPr>
            </w:pPr>
            <w:r>
              <w:rPr>
                <w:rFonts w:ascii="Tahoma" w:hAnsi="Tahoma" w:cs="Tahoma"/>
                <w:sz w:val="20"/>
                <w:szCs w:val="20"/>
              </w:rPr>
              <w:t>Miércoles 4 de marzo de 2026</w:t>
            </w:r>
          </w:p>
        </w:tc>
      </w:tr>
      <w:tr w:rsidR="005E7438" w14:paraId="48CABBEB" w14:textId="77777777">
        <w:trPr>
          <w:trHeight w:hRule="exact" w:val="708"/>
        </w:trPr>
        <w:tc>
          <w:tcPr>
            <w:tcW w:w="4337" w:type="dxa"/>
            <w:tcBorders>
              <w:top w:val="single" w:sz="6" w:space="0" w:color="000000"/>
              <w:left w:val="single" w:sz="6" w:space="0" w:color="000000"/>
              <w:bottom w:val="single" w:sz="6" w:space="0" w:color="000000"/>
              <w:right w:val="single" w:sz="6" w:space="0" w:color="000000"/>
            </w:tcBorders>
          </w:tcPr>
          <w:p w14:paraId="6CD4B781" w14:textId="77777777" w:rsidR="005E7438" w:rsidRDefault="0064470A">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Concretamiento de la entrevista con el experto, fecha lugar y hora</w:t>
            </w:r>
          </w:p>
        </w:tc>
        <w:tc>
          <w:tcPr>
            <w:tcW w:w="2988" w:type="dxa"/>
            <w:tcBorders>
              <w:top w:val="single" w:sz="6" w:space="0" w:color="000000"/>
              <w:left w:val="single" w:sz="6" w:space="0" w:color="000000"/>
              <w:bottom w:val="single" w:sz="6" w:space="0" w:color="000000"/>
              <w:right w:val="single" w:sz="6" w:space="0" w:color="000000"/>
            </w:tcBorders>
          </w:tcPr>
          <w:p w14:paraId="3790C341"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 ISOFT</w:t>
            </w:r>
          </w:p>
        </w:tc>
        <w:tc>
          <w:tcPr>
            <w:tcW w:w="2961" w:type="dxa"/>
            <w:tcBorders>
              <w:top w:val="single" w:sz="6" w:space="0" w:color="000000"/>
              <w:left w:val="single" w:sz="6" w:space="0" w:color="000000"/>
              <w:bottom w:val="single" w:sz="6" w:space="0" w:color="000000"/>
              <w:right w:val="single" w:sz="6" w:space="0" w:color="000000"/>
            </w:tcBorders>
          </w:tcPr>
          <w:p w14:paraId="479F63F6" w14:textId="77777777" w:rsidR="005E7438" w:rsidRDefault="0064470A">
            <w:pPr>
              <w:jc w:val="both"/>
              <w:rPr>
                <w:rFonts w:ascii="Tahoma" w:hAnsi="Tahoma" w:cs="Tahoma"/>
                <w:sz w:val="20"/>
                <w:szCs w:val="20"/>
              </w:rPr>
            </w:pPr>
            <w:r>
              <w:rPr>
                <w:rFonts w:ascii="Tahoma" w:hAnsi="Tahoma" w:cs="Tahoma"/>
                <w:sz w:val="20"/>
                <w:szCs w:val="20"/>
              </w:rPr>
              <w:t>Miércoles 4 de marzo de 2026</w:t>
            </w:r>
          </w:p>
        </w:tc>
      </w:tr>
      <w:tr w:rsidR="005E7438" w14:paraId="2FFDCF92" w14:textId="77777777">
        <w:trPr>
          <w:trHeight w:hRule="exact" w:val="708"/>
        </w:trPr>
        <w:tc>
          <w:tcPr>
            <w:tcW w:w="4337" w:type="dxa"/>
            <w:tcBorders>
              <w:top w:val="single" w:sz="6" w:space="0" w:color="000000"/>
              <w:left w:val="single" w:sz="6" w:space="0" w:color="000000"/>
              <w:bottom w:val="single" w:sz="6" w:space="0" w:color="000000"/>
              <w:right w:val="single" w:sz="6" w:space="0" w:color="000000"/>
            </w:tcBorders>
          </w:tcPr>
          <w:p w14:paraId="24980143" w14:textId="668F8B3F" w:rsidR="00AC23B9" w:rsidRPr="00AC23B9" w:rsidRDefault="0064470A" w:rsidP="00AC23B9">
            <w:pPr>
              <w:pStyle w:val="Prrafodelista"/>
              <w:numPr>
                <w:ilvl w:val="0"/>
                <w:numId w:val="3"/>
              </w:numPr>
              <w:tabs>
                <w:tab w:val="left" w:pos="5159"/>
              </w:tabs>
              <w:rPr>
                <w:rFonts w:ascii="Tahoma" w:hAnsi="Tahoma" w:cs="Tahoma"/>
                <w:sz w:val="20"/>
                <w:szCs w:val="20"/>
                <w:lang w:val="es-ES"/>
              </w:rPr>
            </w:pPr>
            <w:r>
              <w:rPr>
                <w:rFonts w:ascii="Tahoma" w:hAnsi="Tahoma" w:cs="Tahoma"/>
                <w:sz w:val="20"/>
                <w:szCs w:val="20"/>
                <w:lang w:val="es-ES"/>
              </w:rPr>
              <w:t>Realización / ejecución de la entrevista siguiendo los lineamientos acordados</w:t>
            </w:r>
          </w:p>
        </w:tc>
        <w:tc>
          <w:tcPr>
            <w:tcW w:w="2988" w:type="dxa"/>
            <w:tcBorders>
              <w:top w:val="single" w:sz="6" w:space="0" w:color="000000"/>
              <w:left w:val="single" w:sz="6" w:space="0" w:color="000000"/>
              <w:bottom w:val="single" w:sz="6" w:space="0" w:color="000000"/>
              <w:right w:val="single" w:sz="6" w:space="0" w:color="000000"/>
            </w:tcBorders>
          </w:tcPr>
          <w:p w14:paraId="7675277A" w14:textId="77777777" w:rsidR="005E7438" w:rsidRDefault="0064470A">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 ISOFT</w:t>
            </w:r>
          </w:p>
        </w:tc>
        <w:tc>
          <w:tcPr>
            <w:tcW w:w="2961" w:type="dxa"/>
            <w:tcBorders>
              <w:top w:val="single" w:sz="6" w:space="0" w:color="000000"/>
              <w:left w:val="single" w:sz="6" w:space="0" w:color="000000"/>
              <w:bottom w:val="single" w:sz="6" w:space="0" w:color="000000"/>
              <w:right w:val="single" w:sz="6" w:space="0" w:color="000000"/>
            </w:tcBorders>
          </w:tcPr>
          <w:p w14:paraId="07785FBF" w14:textId="77777777" w:rsidR="005E7438" w:rsidRDefault="0064470A">
            <w:pPr>
              <w:jc w:val="both"/>
              <w:rPr>
                <w:rFonts w:ascii="Tahoma" w:hAnsi="Tahoma" w:cs="Tahoma"/>
                <w:sz w:val="20"/>
                <w:szCs w:val="20"/>
              </w:rPr>
            </w:pPr>
            <w:r>
              <w:rPr>
                <w:rFonts w:ascii="Tahoma" w:hAnsi="Tahoma" w:cs="Tahoma"/>
                <w:sz w:val="20"/>
                <w:szCs w:val="20"/>
              </w:rPr>
              <w:t>Jueves 5 de marzo de 2026</w:t>
            </w:r>
          </w:p>
        </w:tc>
      </w:tr>
      <w:tr w:rsidR="00AC23B9" w14:paraId="3B7506C1" w14:textId="77777777" w:rsidTr="00AC23B9">
        <w:trPr>
          <w:trHeight w:hRule="exact" w:val="1266"/>
        </w:trPr>
        <w:tc>
          <w:tcPr>
            <w:tcW w:w="4337" w:type="dxa"/>
            <w:tcBorders>
              <w:top w:val="single" w:sz="6" w:space="0" w:color="000000"/>
              <w:left w:val="single" w:sz="6" w:space="0" w:color="000000"/>
              <w:bottom w:val="single" w:sz="6" w:space="0" w:color="000000"/>
              <w:right w:val="single" w:sz="6" w:space="0" w:color="000000"/>
            </w:tcBorders>
            <w:vAlign w:val="center"/>
          </w:tcPr>
          <w:p w14:paraId="50BCCA57" w14:textId="3A735C5C" w:rsidR="00AC23B9" w:rsidRPr="00AC23B9" w:rsidRDefault="00AC23B9" w:rsidP="00AC23B9">
            <w:pPr>
              <w:pStyle w:val="Prrafodelista"/>
              <w:numPr>
                <w:ilvl w:val="0"/>
                <w:numId w:val="3"/>
              </w:numPr>
              <w:tabs>
                <w:tab w:val="left" w:pos="5159"/>
              </w:tabs>
              <w:rPr>
                <w:rFonts w:ascii="Tahoma" w:hAnsi="Tahoma" w:cs="Tahoma"/>
                <w:sz w:val="20"/>
                <w:szCs w:val="20"/>
                <w:lang w:val="es-ES"/>
              </w:rPr>
            </w:pPr>
            <w:r w:rsidRPr="00AC23B9">
              <w:rPr>
                <w:rFonts w:ascii="Tahoma" w:eastAsia="Arial" w:hAnsi="Tahoma" w:cs="Tahoma"/>
                <w:color w:val="000000"/>
                <w:sz w:val="20"/>
                <w:szCs w:val="20"/>
              </w:rPr>
              <w:t>Construir los diagramas de actividades (procesos de negocio) a partir de los flujos identificados en esta sesión, como parte del modelo de negocio del Manual del Sistema.</w:t>
            </w:r>
          </w:p>
        </w:tc>
        <w:tc>
          <w:tcPr>
            <w:tcW w:w="2988" w:type="dxa"/>
            <w:tcBorders>
              <w:top w:val="single" w:sz="6" w:space="0" w:color="000000"/>
              <w:left w:val="single" w:sz="6" w:space="0" w:color="000000"/>
              <w:bottom w:val="single" w:sz="6" w:space="0" w:color="000000"/>
              <w:right w:val="single" w:sz="6" w:space="0" w:color="000000"/>
            </w:tcBorders>
          </w:tcPr>
          <w:p w14:paraId="75AB48AA" w14:textId="30B59EDD" w:rsidR="00AC23B9" w:rsidRDefault="00AC23B9" w:rsidP="00AC23B9">
            <w:pPr>
              <w:pStyle w:val="Sinespaciado"/>
              <w:jc w:val="both"/>
              <w:rPr>
                <w:rFonts w:ascii="Tahoma" w:hAnsi="Tahoma" w:cs="Tahoma"/>
                <w:color w:val="auto"/>
                <w:sz w:val="20"/>
                <w:szCs w:val="20"/>
                <w:lang w:val="es-ES"/>
              </w:rPr>
            </w:pPr>
            <w:r>
              <w:rPr>
                <w:rFonts w:ascii="Tahoma" w:hAnsi="Tahoma" w:cs="Tahoma"/>
                <w:color w:val="auto"/>
                <w:sz w:val="20"/>
                <w:szCs w:val="20"/>
                <w:lang w:val="es-ES"/>
              </w:rPr>
              <w:t>Grupo 3 – ISOFT</w:t>
            </w:r>
          </w:p>
        </w:tc>
        <w:tc>
          <w:tcPr>
            <w:tcW w:w="2961" w:type="dxa"/>
            <w:tcBorders>
              <w:top w:val="single" w:sz="6" w:space="0" w:color="000000"/>
              <w:left w:val="single" w:sz="6" w:space="0" w:color="000000"/>
              <w:bottom w:val="single" w:sz="6" w:space="0" w:color="000000"/>
              <w:right w:val="single" w:sz="6" w:space="0" w:color="000000"/>
            </w:tcBorders>
          </w:tcPr>
          <w:p w14:paraId="470F9286" w14:textId="02AE6BE0" w:rsidR="00AC23B9" w:rsidRDefault="00AC23B9" w:rsidP="00AC23B9">
            <w:pPr>
              <w:jc w:val="both"/>
              <w:rPr>
                <w:rFonts w:ascii="Tahoma" w:hAnsi="Tahoma" w:cs="Tahoma"/>
                <w:sz w:val="20"/>
                <w:szCs w:val="20"/>
              </w:rPr>
            </w:pPr>
            <w:r>
              <w:rPr>
                <w:rFonts w:ascii="Tahoma" w:hAnsi="Tahoma" w:cs="Tahoma"/>
                <w:sz w:val="20"/>
                <w:szCs w:val="20"/>
              </w:rPr>
              <w:t>Jueves 8 de abril de 2026</w:t>
            </w:r>
          </w:p>
        </w:tc>
      </w:tr>
    </w:tbl>
    <w:p w14:paraId="3710DBD2" w14:textId="77777777" w:rsidR="005E7438" w:rsidRDefault="005E7438">
      <w:pPr>
        <w:rPr>
          <w:rFonts w:ascii="Tahoma" w:hAnsi="Tahoma" w:cs="Tahoma"/>
          <w:sz w:val="20"/>
          <w:szCs w:val="20"/>
        </w:rPr>
      </w:pPr>
    </w:p>
    <w:p w14:paraId="1CCDE195" w14:textId="77777777" w:rsidR="005E7438" w:rsidRDefault="005E7438">
      <w:pPr>
        <w:rPr>
          <w:rFonts w:ascii="Tahoma" w:hAnsi="Tahoma" w:cs="Tahoma"/>
          <w:sz w:val="20"/>
          <w:szCs w:val="20"/>
        </w:rPr>
      </w:pPr>
    </w:p>
    <w:tbl>
      <w:tblPr>
        <w:tblW w:w="9964" w:type="dxa"/>
        <w:tblLayout w:type="fixed"/>
        <w:tblLook w:val="04A0" w:firstRow="1" w:lastRow="0" w:firstColumn="1" w:lastColumn="0" w:noHBand="0" w:noVBand="1"/>
      </w:tblPr>
      <w:tblGrid>
        <w:gridCol w:w="9964"/>
      </w:tblGrid>
      <w:tr w:rsidR="005E7438" w14:paraId="24F52821" w14:textId="77777777">
        <w:trPr>
          <w:trHeight w:hRule="exact" w:val="402"/>
        </w:trPr>
        <w:tc>
          <w:tcPr>
            <w:tcW w:w="9964" w:type="dxa"/>
            <w:tcBorders>
              <w:top w:val="single" w:sz="4" w:space="0" w:color="000000"/>
              <w:left w:val="single" w:sz="4" w:space="0" w:color="000000"/>
              <w:bottom w:val="single" w:sz="4" w:space="0" w:color="000000"/>
              <w:right w:val="single" w:sz="4" w:space="0" w:color="000000"/>
            </w:tcBorders>
          </w:tcPr>
          <w:p w14:paraId="2153BFE3" w14:textId="77777777" w:rsidR="005E7438" w:rsidRDefault="0064470A">
            <w:pPr>
              <w:jc w:val="both"/>
              <w:rPr>
                <w:rFonts w:ascii="Tahoma" w:hAnsi="Tahoma" w:cs="Tahoma"/>
                <w:color w:val="5B9BD5" w:themeColor="accent1"/>
                <w:sz w:val="20"/>
                <w:szCs w:val="20"/>
              </w:rPr>
            </w:pPr>
            <w:r>
              <w:rPr>
                <w:rFonts w:ascii="Tahoma" w:hAnsi="Tahoma" w:cs="Tahoma"/>
                <w:b/>
                <w:color w:val="5B9BD5" w:themeColor="accent1"/>
                <w:sz w:val="20"/>
                <w:szCs w:val="20"/>
              </w:rPr>
              <w:t xml:space="preserve">Próxima reunión: </w:t>
            </w:r>
            <w:r>
              <w:rPr>
                <w:rFonts w:ascii="Tahoma" w:hAnsi="Tahoma" w:cs="Tahoma"/>
                <w:b/>
                <w:color w:val="000000"/>
                <w:sz w:val="20"/>
                <w:szCs w:val="20"/>
              </w:rPr>
              <w:t>Se contempla una nueva reunión cuya fecha, lugar hora están por definir.</w:t>
            </w:r>
          </w:p>
        </w:tc>
      </w:tr>
      <w:tr w:rsidR="005E7438" w14:paraId="6E626DDA"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6C114A75" w14:textId="77777777" w:rsidR="005E7438" w:rsidRDefault="0064470A">
            <w:pPr>
              <w:jc w:val="both"/>
              <w:rPr>
                <w:rFonts w:ascii="Tahoma" w:hAnsi="Tahoma" w:cs="Tahoma"/>
                <w:b/>
                <w:color w:val="5B9BD5" w:themeColor="accent1"/>
                <w:sz w:val="20"/>
                <w:szCs w:val="20"/>
              </w:rPr>
            </w:pPr>
            <w:r>
              <w:rPr>
                <w:rFonts w:ascii="Tahoma" w:hAnsi="Tahoma" w:cs="Tahoma"/>
                <w:b/>
                <w:color w:val="5B9BD5" w:themeColor="accent1"/>
                <w:sz w:val="20"/>
                <w:szCs w:val="20"/>
              </w:rPr>
              <w:t>Fecha: N/A</w:t>
            </w:r>
          </w:p>
        </w:tc>
      </w:tr>
      <w:tr w:rsidR="005E7438" w14:paraId="677D3557"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511D2E11" w14:textId="77777777" w:rsidR="005E7438" w:rsidRDefault="0064470A">
            <w:pPr>
              <w:jc w:val="both"/>
              <w:rPr>
                <w:rFonts w:ascii="Tahoma" w:hAnsi="Tahoma" w:cs="Tahoma"/>
                <w:color w:val="5B9BD5" w:themeColor="accent1"/>
                <w:sz w:val="20"/>
                <w:szCs w:val="20"/>
              </w:rPr>
            </w:pPr>
            <w:r>
              <w:rPr>
                <w:rFonts w:ascii="Tahoma" w:hAnsi="Tahoma" w:cs="Tahoma"/>
                <w:color w:val="5B9BD5" w:themeColor="accent1"/>
                <w:sz w:val="20"/>
                <w:szCs w:val="20"/>
              </w:rPr>
              <w:t>Hora: N/A</w:t>
            </w:r>
          </w:p>
        </w:tc>
      </w:tr>
      <w:tr w:rsidR="005E7438" w14:paraId="08B24F10" w14:textId="77777777">
        <w:trPr>
          <w:trHeight w:hRule="exact" w:val="284"/>
        </w:trPr>
        <w:tc>
          <w:tcPr>
            <w:tcW w:w="9964" w:type="dxa"/>
            <w:tcBorders>
              <w:top w:val="single" w:sz="4" w:space="0" w:color="000000"/>
              <w:left w:val="single" w:sz="4" w:space="0" w:color="000000"/>
              <w:bottom w:val="single" w:sz="4" w:space="0" w:color="000000"/>
              <w:right w:val="single" w:sz="4" w:space="0" w:color="000000"/>
            </w:tcBorders>
          </w:tcPr>
          <w:p w14:paraId="49742B6A" w14:textId="77777777" w:rsidR="005E7438" w:rsidRDefault="0064470A">
            <w:pPr>
              <w:jc w:val="both"/>
              <w:rPr>
                <w:rFonts w:ascii="Tahoma" w:hAnsi="Tahoma" w:cs="Tahoma"/>
                <w:color w:val="5B9BD5" w:themeColor="accent1"/>
                <w:sz w:val="20"/>
                <w:szCs w:val="20"/>
              </w:rPr>
            </w:pPr>
            <w:r>
              <w:rPr>
                <w:rFonts w:ascii="Tahoma" w:hAnsi="Tahoma" w:cs="Tahoma"/>
                <w:color w:val="5B9BD5" w:themeColor="accent1"/>
                <w:sz w:val="20"/>
                <w:szCs w:val="20"/>
              </w:rPr>
              <w:t>Lugar: N/A</w:t>
            </w:r>
          </w:p>
        </w:tc>
      </w:tr>
    </w:tbl>
    <w:p w14:paraId="3B8FCC37" w14:textId="77777777" w:rsidR="005E7438" w:rsidRDefault="005E7438">
      <w:pPr>
        <w:rPr>
          <w:rFonts w:ascii="Tahoma" w:hAnsi="Tahoma" w:cs="Tahoma"/>
          <w:sz w:val="20"/>
          <w:szCs w:val="20"/>
        </w:rPr>
      </w:pPr>
    </w:p>
    <w:p w14:paraId="169A24B0" w14:textId="77777777" w:rsidR="005E7438" w:rsidRDefault="005E7438">
      <w:pPr>
        <w:rPr>
          <w:rFonts w:ascii="Tahoma" w:hAnsi="Tahoma" w:cs="Tahoma"/>
          <w:sz w:val="20"/>
          <w:szCs w:val="20"/>
        </w:rPr>
      </w:pPr>
    </w:p>
    <w:p w14:paraId="327E2B16" w14:textId="77777777" w:rsidR="005E7438" w:rsidRDefault="005E7438">
      <w:pPr>
        <w:rPr>
          <w:rFonts w:ascii="Tahoma" w:hAnsi="Tahoma" w:cs="Tahoma"/>
          <w:sz w:val="20"/>
          <w:szCs w:val="20"/>
        </w:rPr>
      </w:pPr>
    </w:p>
    <w:p w14:paraId="2D47B8D8" w14:textId="77777777" w:rsidR="005E7438" w:rsidRDefault="005E7438">
      <w:pPr>
        <w:rPr>
          <w:rFonts w:ascii="Tahoma" w:hAnsi="Tahoma" w:cs="Tahoma"/>
          <w:sz w:val="20"/>
          <w:szCs w:val="20"/>
        </w:rPr>
      </w:pPr>
    </w:p>
    <w:p w14:paraId="338B05BE" w14:textId="77777777" w:rsidR="005E7438" w:rsidRDefault="0064470A">
      <w:pPr>
        <w:rPr>
          <w:rFonts w:ascii="Tahoma" w:hAnsi="Tahoma" w:cs="Tahoma"/>
          <w:sz w:val="20"/>
          <w:szCs w:val="20"/>
        </w:rPr>
      </w:pPr>
      <w:r>
        <w:rPr>
          <w:rFonts w:ascii="Tahoma" w:hAnsi="Tahoma" w:cs="Tahoma"/>
          <w:sz w:val="20"/>
          <w:szCs w:val="20"/>
        </w:rPr>
        <w:t>Juan Diego Bello Santiago</w:t>
      </w:r>
    </w:p>
    <w:p w14:paraId="77682A9A" w14:textId="77777777" w:rsidR="002039D6" w:rsidRDefault="002039D6">
      <w:pPr>
        <w:rPr>
          <w:rFonts w:ascii="Tahoma" w:hAnsi="Tahoma" w:cs="Tahoma"/>
          <w:sz w:val="20"/>
          <w:szCs w:val="20"/>
        </w:rPr>
      </w:pPr>
    </w:p>
    <w:p w14:paraId="72375B51" w14:textId="77777777" w:rsidR="005E7438" w:rsidRDefault="0064470A">
      <w:pPr>
        <w:rPr>
          <w:rFonts w:ascii="Tahoma" w:hAnsi="Tahoma" w:cs="Tahoma"/>
          <w:sz w:val="20"/>
          <w:szCs w:val="20"/>
        </w:rPr>
      </w:pPr>
      <w:r>
        <w:rPr>
          <w:rFonts w:ascii="Tahoma" w:hAnsi="Tahoma" w:cs="Tahoma"/>
          <w:sz w:val="20"/>
          <w:szCs w:val="20"/>
        </w:rPr>
        <w:t>Steven Joel Pacheco Mendoza</w:t>
      </w:r>
    </w:p>
    <w:p w14:paraId="50B7188D" w14:textId="77777777" w:rsidR="002039D6" w:rsidRDefault="002039D6">
      <w:pPr>
        <w:rPr>
          <w:rFonts w:ascii="Tahoma" w:hAnsi="Tahoma" w:cs="Tahoma"/>
          <w:sz w:val="20"/>
          <w:szCs w:val="20"/>
        </w:rPr>
      </w:pPr>
    </w:p>
    <w:p w14:paraId="1B35C93E" w14:textId="77777777" w:rsidR="002039D6" w:rsidRDefault="0064470A">
      <w:pPr>
        <w:rPr>
          <w:rFonts w:ascii="Tahoma" w:hAnsi="Tahoma" w:cs="Tahoma"/>
          <w:sz w:val="20"/>
          <w:szCs w:val="20"/>
        </w:rPr>
      </w:pPr>
      <w:r>
        <w:rPr>
          <w:rFonts w:ascii="Tahoma" w:hAnsi="Tahoma" w:cs="Tahoma"/>
          <w:sz w:val="20"/>
          <w:szCs w:val="20"/>
        </w:rPr>
        <w:t>Samuel Enrique Movilla Mercado</w:t>
      </w:r>
    </w:p>
    <w:p w14:paraId="79761833" w14:textId="77777777" w:rsidR="005E7438" w:rsidRDefault="005E7438">
      <w:pPr>
        <w:rPr>
          <w:rFonts w:ascii="Tahoma" w:hAnsi="Tahoma" w:cs="Tahoma"/>
          <w:sz w:val="20"/>
          <w:szCs w:val="20"/>
        </w:rPr>
      </w:pPr>
    </w:p>
    <w:p w14:paraId="788AF701" w14:textId="0C7B6597" w:rsidR="005E7438" w:rsidRDefault="005E7438">
      <w:pPr>
        <w:rPr>
          <w:rFonts w:ascii="Tahoma" w:hAnsi="Tahoma" w:cs="Tahoma"/>
          <w:noProof/>
          <w:sz w:val="20"/>
          <w:szCs w:val="20"/>
        </w:rPr>
      </w:pPr>
    </w:p>
    <w:p w14:paraId="74F51104" w14:textId="32338B94" w:rsidR="00AC23B9" w:rsidRDefault="00AC23B9">
      <w:pPr>
        <w:rPr>
          <w:rFonts w:ascii="Tahoma" w:hAnsi="Tahoma" w:cs="Tahoma"/>
          <w:sz w:val="20"/>
          <w:szCs w:val="20"/>
        </w:rPr>
      </w:pPr>
      <w:r>
        <w:rPr>
          <w:rFonts w:ascii="Tahoma" w:hAnsi="Tahoma" w:cs="Tahoma"/>
          <w:noProof/>
          <w:sz w:val="20"/>
          <w:szCs w:val="20"/>
        </w:rPr>
        <w:t>En espera de la firma de la profesional</w:t>
      </w:r>
      <w:r w:rsidR="00880F2A">
        <w:rPr>
          <w:rFonts w:ascii="Tahoma" w:hAnsi="Tahoma" w:cs="Tahoma"/>
          <w:noProof/>
          <w:sz w:val="20"/>
          <w:szCs w:val="20"/>
        </w:rPr>
        <w:t>, aunque esta ha dado la autorización para el uso de esta acta</w:t>
      </w:r>
    </w:p>
    <w:p w14:paraId="0632D3DC" w14:textId="77777777" w:rsidR="005E7438" w:rsidRDefault="0064470A">
      <w:pPr>
        <w:rPr>
          <w:rFonts w:ascii="Tahoma" w:hAnsi="Tahoma" w:cs="Tahoma"/>
          <w:color w:val="FF0000"/>
          <w:sz w:val="20"/>
          <w:szCs w:val="20"/>
        </w:rPr>
      </w:pPr>
      <w:r>
        <w:rPr>
          <w:rFonts w:ascii="Tahoma" w:hAnsi="Tahoma" w:cs="Tahoma"/>
          <w:color w:val="FF0000"/>
          <w:sz w:val="20"/>
          <w:szCs w:val="20"/>
        </w:rPr>
        <w:t>Espacio para el nombre y la firma de cada uno de los participantes en la reunión</w:t>
      </w:r>
    </w:p>
    <w:p w14:paraId="66F64103" w14:textId="77777777" w:rsidR="005E7438" w:rsidRDefault="005E7438">
      <w:pPr>
        <w:rPr>
          <w:rFonts w:ascii="Tahoma" w:hAnsi="Tahoma" w:cs="Tahoma"/>
          <w:sz w:val="20"/>
          <w:szCs w:val="20"/>
        </w:rPr>
      </w:pPr>
    </w:p>
    <w:p w14:paraId="102902BC" w14:textId="77777777" w:rsidR="005E7438" w:rsidRDefault="005E7438">
      <w:pPr>
        <w:jc w:val="center"/>
        <w:rPr>
          <w:rFonts w:ascii="Tahoma" w:hAnsi="Tahoma" w:cs="Tahoma"/>
          <w:sz w:val="20"/>
          <w:szCs w:val="20"/>
        </w:rPr>
      </w:pPr>
    </w:p>
    <w:p w14:paraId="105A9654" w14:textId="77777777" w:rsidR="005E7438" w:rsidRDefault="0064470A">
      <w:pPr>
        <w:jc w:val="center"/>
        <w:rPr>
          <w:rFonts w:ascii="Tahoma" w:hAnsi="Tahoma" w:cs="Tahoma"/>
          <w:sz w:val="20"/>
          <w:szCs w:val="20"/>
        </w:rPr>
      </w:pPr>
      <w:r>
        <w:rPr>
          <w:rFonts w:ascii="Tahoma" w:hAnsi="Tahoma" w:cs="Tahoma"/>
          <w:sz w:val="20"/>
          <w:szCs w:val="20"/>
        </w:rPr>
        <w:t>Se dio por terminada esta actividad, habiéndose desarrollado los temas contenidos en esta acta y comprometiéndose las partes a cumplir con los compromisos adquiridos en la misma.</w:t>
      </w:r>
    </w:p>
    <w:p w14:paraId="7E45D88C" w14:textId="77777777" w:rsidR="005E7438" w:rsidRDefault="005E7438">
      <w:pPr>
        <w:pStyle w:val="Encabezado"/>
        <w:tabs>
          <w:tab w:val="left" w:pos="708"/>
        </w:tabs>
        <w:rPr>
          <w:rFonts w:ascii="Tahoma" w:hAnsi="Tahoma" w:cs="Tahoma"/>
          <w:sz w:val="20"/>
          <w:szCs w:val="20"/>
        </w:rPr>
      </w:pPr>
    </w:p>
    <w:p w14:paraId="5891705D" w14:textId="77777777" w:rsidR="005E7438" w:rsidRDefault="005E7438">
      <w:pPr>
        <w:pStyle w:val="Encabezado"/>
        <w:tabs>
          <w:tab w:val="left" w:pos="708"/>
        </w:tabs>
        <w:rPr>
          <w:rFonts w:ascii="Tahoma" w:hAnsi="Tahoma" w:cs="Tahoma"/>
          <w:sz w:val="20"/>
          <w:szCs w:val="20"/>
        </w:rPr>
      </w:pPr>
    </w:p>
    <w:p w14:paraId="5E908337" w14:textId="77777777" w:rsidR="005E7438" w:rsidRDefault="005E7438">
      <w:pPr>
        <w:pStyle w:val="Encabezado"/>
        <w:tabs>
          <w:tab w:val="left" w:pos="708"/>
        </w:tabs>
        <w:rPr>
          <w:rFonts w:ascii="Tahoma" w:hAnsi="Tahoma" w:cs="Tahoma"/>
          <w:sz w:val="20"/>
          <w:szCs w:val="20"/>
        </w:rPr>
      </w:pPr>
    </w:p>
    <w:p w14:paraId="6906B03E" w14:textId="77777777" w:rsidR="005E7438" w:rsidRDefault="005E7438">
      <w:pPr>
        <w:rPr>
          <w:rFonts w:ascii="Tahoma" w:hAnsi="Tahoma" w:cs="Tahoma"/>
          <w:sz w:val="20"/>
          <w:szCs w:val="20"/>
          <w:lang w:val="es-ES"/>
        </w:rPr>
      </w:pPr>
    </w:p>
    <w:sectPr w:rsidR="005E7438">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134"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A2701" w14:textId="77777777" w:rsidR="00885C65" w:rsidRDefault="00885C65">
      <w:r>
        <w:separator/>
      </w:r>
    </w:p>
  </w:endnote>
  <w:endnote w:type="continuationSeparator" w:id="0">
    <w:p w14:paraId="0112F2EB" w14:textId="77777777" w:rsidR="00885C65" w:rsidRDefault="00885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BoldMT">
    <w:charset w:val="01"/>
    <w:family w:val="roman"/>
    <w:pitch w:val="variable"/>
  </w:font>
  <w:font w:name="FreeSans">
    <w:altName w:val="Times New Roman"/>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2CA8E" w14:textId="786E88EE" w:rsidR="005E7438" w:rsidRDefault="002F734E">
    <w:pPr>
      <w:pStyle w:val="Piedepgina"/>
      <w:ind w:right="360"/>
    </w:pPr>
    <w:r>
      <w:rPr>
        <w:noProof/>
      </w:rPr>
      <mc:AlternateContent>
        <mc:Choice Requires="wps">
          <w:drawing>
            <wp:anchor distT="0" distB="0" distL="0" distR="0" simplePos="0" relativeHeight="251657728" behindDoc="1" locked="0" layoutInCell="0" allowOverlap="1" wp14:anchorId="438CCCC9" wp14:editId="75271C1D">
              <wp:simplePos x="0" y="0"/>
              <wp:positionH relativeFrom="margin">
                <wp:align>right</wp:align>
              </wp:positionH>
              <wp:positionV relativeFrom="paragraph">
                <wp:posOffset>635</wp:posOffset>
              </wp:positionV>
              <wp:extent cx="14605" cy="14605"/>
              <wp:effectExtent l="0" t="0" r="4445" b="0"/>
              <wp:wrapSquare wrapText="bothSides"/>
              <wp:docPr id="1" name="Marco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209B897C" w14:textId="77777777" w:rsidR="005E7438" w:rsidRDefault="0064470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438CCCC9" id="Marco1" o:spid="_x0000_s1026" style="position:absolute;margin-left:-50.05pt;margin-top:.05pt;width:1.15pt;height:1.15pt;z-index:-251658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" o:allowincell="f" filled="f" stroked="f" strokeweight="0">
              <v:textbox style="mso-fit-shape-to-text:t" inset="0,0,0,0">
                <w:txbxContent>
                  <w:p w14:paraId="209B897C" w14:textId="77777777" w:rsidR="005E7438" w:rsidRDefault="0064470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0</w:t>
                    </w:r>
                    <w:r>
                      <w:rPr>
                        <w:rStyle w:val="Nmerodepgina"/>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77CE" w14:textId="77777777" w:rsidR="005E7438" w:rsidRDefault="005E7438">
    <w:pPr>
      <w:pStyle w:val="Piedepgina"/>
      <w:ind w:right="360"/>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7768" w14:textId="77777777" w:rsidR="005E7438" w:rsidRDefault="005E7438">
    <w:pPr>
      <w:pStyle w:val="Piedepgina"/>
      <w:ind w:right="360"/>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284B6" w14:textId="77777777" w:rsidR="00885C65" w:rsidRDefault="00885C65">
      <w:r>
        <w:separator/>
      </w:r>
    </w:p>
  </w:footnote>
  <w:footnote w:type="continuationSeparator" w:id="0">
    <w:p w14:paraId="0289C5B9" w14:textId="77777777" w:rsidR="00885C65" w:rsidRDefault="00885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CDA50" w14:textId="77777777" w:rsidR="005E7438" w:rsidRDefault="005E743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29D12" w14:textId="77777777" w:rsidR="005E7438" w:rsidRDefault="005E7438">
    <w:pPr>
      <w:pStyle w:val="Encabezado"/>
    </w:pPr>
  </w:p>
  <w:p w14:paraId="72C08664" w14:textId="77777777" w:rsidR="005E7438" w:rsidRDefault="005E7438">
    <w:pPr>
      <w:pStyle w:val="Encabezado"/>
    </w:pPr>
  </w:p>
  <w:p w14:paraId="5EF095C6" w14:textId="77777777" w:rsidR="005E7438" w:rsidRDefault="005E7438">
    <w:pPr>
      <w:pStyle w:val="Encabezado"/>
    </w:pPr>
  </w:p>
  <w:p w14:paraId="4EAEB90D" w14:textId="77777777" w:rsidR="005E7438" w:rsidRDefault="005E7438">
    <w:pPr>
      <w:pStyle w:val="Encabezado"/>
    </w:pPr>
  </w:p>
  <w:p w14:paraId="1FFE05AF" w14:textId="77777777" w:rsidR="005E7438" w:rsidRDefault="005E7438">
    <w:pPr>
      <w:pStyle w:val="Encabezado"/>
    </w:pPr>
  </w:p>
  <w:p w14:paraId="6F2CDBDE" w14:textId="77777777" w:rsidR="005E7438" w:rsidRDefault="005E7438">
    <w:pPr>
      <w:pStyle w:val="Encabezado"/>
    </w:pPr>
  </w:p>
  <w:p w14:paraId="26FBD6ED" w14:textId="77777777" w:rsidR="005E7438" w:rsidRDefault="005E743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09EDF" w14:textId="77777777" w:rsidR="005E7438" w:rsidRDefault="005E7438">
    <w:pPr>
      <w:pStyle w:val="Encabezado"/>
    </w:pPr>
  </w:p>
  <w:p w14:paraId="1F7B8623" w14:textId="77777777" w:rsidR="005E7438" w:rsidRDefault="005E7438">
    <w:pPr>
      <w:pStyle w:val="Encabezado"/>
    </w:pPr>
  </w:p>
  <w:p w14:paraId="60D5BE3C" w14:textId="77777777" w:rsidR="005E7438" w:rsidRDefault="005E7438">
    <w:pPr>
      <w:pStyle w:val="Encabezado"/>
    </w:pPr>
  </w:p>
  <w:p w14:paraId="02EFF59E" w14:textId="77777777" w:rsidR="005E7438" w:rsidRDefault="005E7438">
    <w:pPr>
      <w:pStyle w:val="Encabezado"/>
    </w:pPr>
  </w:p>
  <w:p w14:paraId="4AAE5E81" w14:textId="77777777" w:rsidR="005E7438" w:rsidRDefault="005E7438">
    <w:pPr>
      <w:pStyle w:val="Encabezado"/>
    </w:pPr>
  </w:p>
  <w:p w14:paraId="1E6C45DF" w14:textId="77777777" w:rsidR="005E7438" w:rsidRDefault="005E7438">
    <w:pPr>
      <w:pStyle w:val="Encabezado"/>
    </w:pPr>
  </w:p>
  <w:p w14:paraId="3AC13FAC" w14:textId="77777777" w:rsidR="005E7438" w:rsidRDefault="005E74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10AF4"/>
    <w:multiLevelType w:val="multilevel"/>
    <w:tmpl w:val="C1602D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9853F1C"/>
    <w:multiLevelType w:val="multilevel"/>
    <w:tmpl w:val="9196A79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E0120AC"/>
    <w:multiLevelType w:val="hybridMultilevel"/>
    <w:tmpl w:val="1ACC7318"/>
    <w:lvl w:ilvl="0" w:tplc="F496E520">
      <w:start w:val="1"/>
      <w:numFmt w:val="bullet"/>
      <w:lvlText w:val="•"/>
      <w:lvlJc w:val="left"/>
      <w:pPr>
        <w:ind w:left="720" w:hanging="360"/>
      </w:pPr>
    </w:lvl>
    <w:lvl w:ilvl="1" w:tplc="A8BCC42E">
      <w:start w:val="1"/>
      <w:numFmt w:val="bullet"/>
      <w:lvlText w:val="◦"/>
      <w:lvlJc w:val="left"/>
      <w:pPr>
        <w:ind w:left="1080" w:hanging="360"/>
      </w:pPr>
    </w:lvl>
    <w:lvl w:ilvl="2" w:tplc="BCD4BA2A">
      <w:numFmt w:val="decimal"/>
      <w:lvlText w:val=""/>
      <w:lvlJc w:val="left"/>
    </w:lvl>
    <w:lvl w:ilvl="3" w:tplc="948657AC">
      <w:numFmt w:val="decimal"/>
      <w:lvlText w:val=""/>
      <w:lvlJc w:val="left"/>
    </w:lvl>
    <w:lvl w:ilvl="4" w:tplc="E1CE3DDE">
      <w:numFmt w:val="decimal"/>
      <w:lvlText w:val=""/>
      <w:lvlJc w:val="left"/>
    </w:lvl>
    <w:lvl w:ilvl="5" w:tplc="E54ADEE8">
      <w:numFmt w:val="decimal"/>
      <w:lvlText w:val=""/>
      <w:lvlJc w:val="left"/>
    </w:lvl>
    <w:lvl w:ilvl="6" w:tplc="04B6191C">
      <w:numFmt w:val="decimal"/>
      <w:lvlText w:val=""/>
      <w:lvlJc w:val="left"/>
    </w:lvl>
    <w:lvl w:ilvl="7" w:tplc="A0AA3FA6">
      <w:numFmt w:val="decimal"/>
      <w:lvlText w:val=""/>
      <w:lvlJc w:val="left"/>
    </w:lvl>
    <w:lvl w:ilvl="8" w:tplc="23EA438C">
      <w:numFmt w:val="decimal"/>
      <w:lvlText w:val=""/>
      <w:lvlJc w:val="left"/>
    </w:lvl>
  </w:abstractNum>
  <w:abstractNum w:abstractNumId="3" w15:restartNumberingAfterBreak="0">
    <w:nsid w:val="53B76399"/>
    <w:multiLevelType w:val="hybridMultilevel"/>
    <w:tmpl w:val="82A6964A"/>
    <w:lvl w:ilvl="0" w:tplc="355EDF12">
      <w:start w:val="1"/>
      <w:numFmt w:val="decimal"/>
      <w:lvlText w:val="%1."/>
      <w:lvlJc w:val="left"/>
      <w:pPr>
        <w:ind w:left="720" w:hanging="360"/>
      </w:pPr>
      <w:rPr>
        <w:rFonts w:ascii="Tahoma" w:hAnsi="Tahoma" w:cs="Tahoma" w:hint="default"/>
        <w:sz w:val="20"/>
        <w:szCs w:val="20"/>
      </w:rPr>
    </w:lvl>
    <w:lvl w:ilvl="1" w:tplc="47A4DEE6">
      <w:numFmt w:val="decimal"/>
      <w:lvlText w:val=""/>
      <w:lvlJc w:val="left"/>
    </w:lvl>
    <w:lvl w:ilvl="2" w:tplc="CB5AC564">
      <w:numFmt w:val="decimal"/>
      <w:lvlText w:val=""/>
      <w:lvlJc w:val="left"/>
    </w:lvl>
    <w:lvl w:ilvl="3" w:tplc="10CA6FBE">
      <w:numFmt w:val="decimal"/>
      <w:lvlText w:val=""/>
      <w:lvlJc w:val="left"/>
    </w:lvl>
    <w:lvl w:ilvl="4" w:tplc="6AF4B4F0">
      <w:numFmt w:val="decimal"/>
      <w:lvlText w:val=""/>
      <w:lvlJc w:val="left"/>
    </w:lvl>
    <w:lvl w:ilvl="5" w:tplc="D63C3ED2">
      <w:numFmt w:val="decimal"/>
      <w:lvlText w:val=""/>
      <w:lvlJc w:val="left"/>
    </w:lvl>
    <w:lvl w:ilvl="6" w:tplc="75803234">
      <w:numFmt w:val="decimal"/>
      <w:lvlText w:val=""/>
      <w:lvlJc w:val="left"/>
    </w:lvl>
    <w:lvl w:ilvl="7" w:tplc="7376E378">
      <w:numFmt w:val="decimal"/>
      <w:lvlText w:val=""/>
      <w:lvlJc w:val="left"/>
    </w:lvl>
    <w:lvl w:ilvl="8" w:tplc="0B06590C">
      <w:numFmt w:val="decimal"/>
      <w:lvlText w:val=""/>
      <w:lvlJc w:val="left"/>
    </w:lvl>
  </w:abstractNum>
  <w:abstractNum w:abstractNumId="4" w15:restartNumberingAfterBreak="0">
    <w:nsid w:val="54C55C75"/>
    <w:multiLevelType w:val="multilevel"/>
    <w:tmpl w:val="9A68098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7354221A"/>
    <w:multiLevelType w:val="multilevel"/>
    <w:tmpl w:val="0D68A0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4"/>
  </w:num>
  <w:num w:numId="3">
    <w:abstractNumId w:val="1"/>
  </w:num>
  <w:num w:numId="4">
    <w:abstractNumId w:val="5"/>
  </w:num>
  <w:num w:numId="5">
    <w:abstractNumId w:val="2"/>
    <w:lvlOverride w:ilvl="0">
      <w:startOverride w:val="1"/>
    </w:lvlOverride>
  </w:num>
  <w:num w:numId="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284"/>
  <w:autoHyphenation/>
  <w:hyphenationZone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38"/>
    <w:rsid w:val="00093697"/>
    <w:rsid w:val="001D48C5"/>
    <w:rsid w:val="002039D6"/>
    <w:rsid w:val="002B35CA"/>
    <w:rsid w:val="002F734E"/>
    <w:rsid w:val="003540B2"/>
    <w:rsid w:val="003C16A9"/>
    <w:rsid w:val="005E7438"/>
    <w:rsid w:val="0064470A"/>
    <w:rsid w:val="006A17D4"/>
    <w:rsid w:val="00727277"/>
    <w:rsid w:val="0084643F"/>
    <w:rsid w:val="00880F2A"/>
    <w:rsid w:val="00885C65"/>
    <w:rsid w:val="00992E6F"/>
    <w:rsid w:val="009F0E3B"/>
    <w:rsid w:val="00AC23B9"/>
    <w:rsid w:val="00B610AB"/>
    <w:rsid w:val="00BA61E6"/>
    <w:rsid w:val="00C07F89"/>
    <w:rsid w:val="00C9588F"/>
    <w:rsid w:val="00CB25F4"/>
    <w:rsid w:val="00E63A1C"/>
    <w:rsid w:val="00F47DE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B4335E"/>
  <w15:docId w15:val="{BE0E092B-4373-4659-84AB-BEBCFD663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6F06"/>
    <w:rPr>
      <w:sz w:val="24"/>
      <w:szCs w:val="24"/>
      <w:lang w:val="es-CO" w:eastAsia="es-ES"/>
    </w:rPr>
  </w:style>
  <w:style w:type="paragraph" w:styleId="Ttulo1">
    <w:name w:val="heading 1"/>
    <w:basedOn w:val="Normal"/>
    <w:next w:val="Normal"/>
    <w:qFormat/>
    <w:rsid w:val="00606F06"/>
    <w:pPr>
      <w:keepNext/>
      <w:jc w:val="center"/>
      <w:outlineLvl w:val="0"/>
    </w:pPr>
    <w:rPr>
      <w:rFonts w:ascii="Arial Narrow" w:hAnsi="Arial Narrow"/>
      <w:b/>
      <w:bCs/>
      <w:sz w:val="16"/>
    </w:rPr>
  </w:style>
  <w:style w:type="paragraph" w:styleId="Ttulo2">
    <w:name w:val="heading 2"/>
    <w:basedOn w:val="Normal"/>
    <w:next w:val="Normal"/>
    <w:qFormat/>
    <w:rsid w:val="00606F06"/>
    <w:pPr>
      <w:keepNext/>
      <w:jc w:val="center"/>
      <w:outlineLvl w:val="1"/>
    </w:pPr>
    <w:rPr>
      <w:rFonts w:ascii="Arial-BoldMT" w:hAnsi="Arial-BoldMT"/>
      <w:b/>
      <w:bCs/>
      <w:color w:val="000000"/>
    </w:rPr>
  </w:style>
  <w:style w:type="paragraph" w:styleId="Ttulo3">
    <w:name w:val="heading 3"/>
    <w:basedOn w:val="Normal"/>
    <w:next w:val="Normal"/>
    <w:qFormat/>
    <w:rsid w:val="00606F06"/>
    <w:pPr>
      <w:keepNext/>
      <w:jc w:val="center"/>
      <w:outlineLvl w:val="2"/>
    </w:pPr>
    <w:rPr>
      <w:rFonts w:ascii="Arial Narrow" w:hAnsi="Arial Narrow"/>
      <w:b/>
      <w:bCs/>
      <w:color w:val="000000"/>
      <w:sz w:val="18"/>
    </w:rPr>
  </w:style>
  <w:style w:type="paragraph" w:styleId="Ttulo4">
    <w:name w:val="heading 4"/>
    <w:basedOn w:val="Normal"/>
    <w:next w:val="Normal"/>
    <w:qFormat/>
    <w:rsid w:val="00606F06"/>
    <w:pPr>
      <w:keepNext/>
      <w:outlineLvl w:val="3"/>
    </w:pPr>
    <w:rPr>
      <w:rFonts w:ascii="Arial Narrow" w:hAnsi="Arial Narrow"/>
      <w:b/>
      <w:bCs/>
      <w:color w:val="000000"/>
    </w:rPr>
  </w:style>
  <w:style w:type="paragraph" w:styleId="Ttulo5">
    <w:name w:val="heading 5"/>
    <w:basedOn w:val="Normal"/>
    <w:next w:val="Normal"/>
    <w:qFormat/>
    <w:rsid w:val="00606F06"/>
    <w:pPr>
      <w:keepNext/>
      <w:jc w:val="center"/>
      <w:outlineLvl w:val="4"/>
    </w:pPr>
    <w:rPr>
      <w:rFonts w:ascii="Arial Narrow" w:hAnsi="Arial Narrow"/>
      <w:b/>
      <w:bCs/>
      <w:color w:val="0000FF"/>
      <w:sz w:val="20"/>
    </w:rPr>
  </w:style>
  <w:style w:type="paragraph" w:styleId="Ttulo6">
    <w:name w:val="heading 6"/>
    <w:basedOn w:val="Normal"/>
    <w:next w:val="Normal"/>
    <w:qFormat/>
    <w:rsid w:val="00606F06"/>
    <w:pPr>
      <w:keepNext/>
      <w:jc w:val="center"/>
      <w:outlineLvl w:val="5"/>
    </w:pPr>
    <w:rPr>
      <w:rFonts w:ascii="Arial Narrow" w:hAnsi="Arial Narrow"/>
      <w:b/>
      <w:bCs/>
      <w:color w:val="0000FF"/>
      <w:sz w:val="18"/>
    </w:rPr>
  </w:style>
  <w:style w:type="paragraph" w:styleId="Ttulo7">
    <w:name w:val="heading 7"/>
    <w:basedOn w:val="Normal"/>
    <w:next w:val="Normal"/>
    <w:qFormat/>
    <w:rsid w:val="00606F06"/>
    <w:pPr>
      <w:outlineLvl w:val="6"/>
    </w:pPr>
    <w:rPr>
      <w:sz w:val="20"/>
    </w:rPr>
  </w:style>
  <w:style w:type="paragraph" w:styleId="Ttulo8">
    <w:name w:val="heading 8"/>
    <w:basedOn w:val="Normal"/>
    <w:next w:val="Normal"/>
    <w:qFormat/>
    <w:rsid w:val="00606F06"/>
    <w:pPr>
      <w:keepNext/>
      <w:outlineLvl w:val="7"/>
    </w:pPr>
    <w:rPr>
      <w:rFonts w:ascii="Arial Narrow" w:hAnsi="Arial Narrow"/>
      <w:b/>
      <w:bCs/>
      <w:sz w:val="22"/>
    </w:rPr>
  </w:style>
  <w:style w:type="paragraph" w:styleId="Ttulo9">
    <w:name w:val="heading 9"/>
    <w:basedOn w:val="Normal"/>
    <w:next w:val="Normal"/>
    <w:qFormat/>
    <w:rsid w:val="00606F06"/>
    <w:pPr>
      <w:keepNext/>
      <w:jc w:val="center"/>
      <w:outlineLvl w:val="8"/>
    </w:pPr>
    <w:rPr>
      <w:rFonts w:ascii="Arial Narrow" w:hAnsi="Arial Narrow"/>
      <w:b/>
      <w:b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606F06"/>
  </w:style>
  <w:style w:type="character" w:styleId="Hipervnculo">
    <w:name w:val="Hyperlink"/>
    <w:rsid w:val="00606F06"/>
    <w:rPr>
      <w:color w:val="000000"/>
    </w:rPr>
  </w:style>
  <w:style w:type="character" w:styleId="Hipervnculovisitado">
    <w:name w:val="FollowedHyperlink"/>
    <w:rsid w:val="00606F06"/>
    <w:rPr>
      <w:color w:val="800080"/>
      <w:u w:val="single"/>
    </w:rPr>
  </w:style>
  <w:style w:type="character" w:customStyle="1" w:styleId="titulomis">
    <w:name w:val="titulo_mis"/>
    <w:basedOn w:val="Fuentedeprrafopredeter"/>
    <w:qFormat/>
    <w:rsid w:val="00606F06"/>
  </w:style>
  <w:style w:type="character" w:styleId="Nmerodelnea">
    <w:name w:val="line number"/>
    <w:basedOn w:val="Fuentedeprrafopredeter"/>
    <w:rsid w:val="00D36683"/>
  </w:style>
  <w:style w:type="character" w:customStyle="1" w:styleId="EncabezadoCar">
    <w:name w:val="Encabezado Car"/>
    <w:link w:val="Encabezado"/>
    <w:uiPriority w:val="99"/>
    <w:qFormat/>
    <w:rsid w:val="005C3AD5"/>
    <w:rPr>
      <w:sz w:val="24"/>
      <w:szCs w:val="24"/>
      <w:lang w:val="es-ES" w:eastAsia="es-ES"/>
    </w:rPr>
  </w:style>
  <w:style w:type="character" w:customStyle="1" w:styleId="PiedepginaCar">
    <w:name w:val="Pie de página Car"/>
    <w:link w:val="Piedepgina"/>
    <w:qFormat/>
    <w:rsid w:val="005C3AD5"/>
    <w:rPr>
      <w:sz w:val="24"/>
      <w:szCs w:val="24"/>
      <w:lang w:val="es-ES" w:eastAsia="es-ES"/>
    </w:rPr>
  </w:style>
  <w:style w:type="character" w:customStyle="1" w:styleId="TextodegloboCar">
    <w:name w:val="Texto de globo Car"/>
    <w:link w:val="Textodeglobo"/>
    <w:qFormat/>
    <w:rsid w:val="001C68FB"/>
    <w:rPr>
      <w:rFonts w:ascii="Tahoma" w:hAnsi="Tahoma" w:cs="Tahoma"/>
      <w:sz w:val="16"/>
      <w:szCs w:val="16"/>
      <w:lang w:eastAsia="es-ES"/>
    </w:rPr>
  </w:style>
  <w:style w:type="character" w:customStyle="1" w:styleId="il">
    <w:name w:val="il"/>
    <w:qFormat/>
    <w:rsid w:val="007C1512"/>
  </w:style>
  <w:style w:type="character" w:styleId="nfasis">
    <w:name w:val="Emphasis"/>
    <w:qFormat/>
    <w:rsid w:val="00EA0D54"/>
    <w:rPr>
      <w:i/>
      <w:iCs/>
    </w:rPr>
  </w:style>
  <w:style w:type="paragraph" w:styleId="Ttulo">
    <w:name w:val="Title"/>
    <w:basedOn w:val="Normal"/>
    <w:next w:val="Textoindependiente"/>
    <w:qFormat/>
    <w:rsid w:val="00606F06"/>
    <w:rPr>
      <w:sz w:val="20"/>
    </w:rPr>
  </w:style>
  <w:style w:type="paragraph" w:styleId="Textoindependiente">
    <w:name w:val="Body Text"/>
    <w:basedOn w:val="Normal"/>
    <w:rsid w:val="00606F06"/>
    <w:pPr>
      <w:jc w:val="center"/>
    </w:pPr>
    <w:rPr>
      <w:rFonts w:ascii="Arial Narrow" w:hAnsi="Arial Narrow"/>
      <w:b/>
      <w:bCs/>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ndice">
    <w:name w:val="Índice"/>
    <w:basedOn w:val="Normal"/>
    <w:qFormat/>
    <w:pPr>
      <w:suppressLineNumbers/>
    </w:pPr>
    <w:rPr>
      <w:rFonts w:cs="FreeSans"/>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FreeSans"/>
      <w:sz w:val="28"/>
      <w:szCs w:val="28"/>
    </w:rPr>
  </w:style>
  <w:style w:type="paragraph" w:customStyle="1" w:styleId="ndiceuser">
    <w:name w:val="Índice (user)"/>
    <w:basedOn w:val="Normal"/>
    <w:qFormat/>
    <w:pPr>
      <w:suppressLineNumbers/>
    </w:pPr>
    <w:rPr>
      <w:rFonts w:cs="FreeSans"/>
    </w:rPr>
  </w:style>
  <w:style w:type="paragraph" w:styleId="Textoindependiente2">
    <w:name w:val="Body Text 2"/>
    <w:basedOn w:val="Normal"/>
    <w:qFormat/>
    <w:rsid w:val="00606F06"/>
    <w:pPr>
      <w:jc w:val="both"/>
    </w:pPr>
    <w:rPr>
      <w:rFonts w:ascii="Arial Narrow" w:hAnsi="Arial Narrow"/>
    </w:rPr>
  </w:style>
  <w:style w:type="paragraph" w:styleId="Textoindependiente3">
    <w:name w:val="Body Text 3"/>
    <w:basedOn w:val="Normal"/>
    <w:qFormat/>
    <w:rsid w:val="00606F06"/>
    <w:pPr>
      <w:jc w:val="both"/>
    </w:pPr>
    <w:rPr>
      <w:rFonts w:ascii="Arial Narrow" w:hAnsi="Arial Narrow"/>
      <w:color w:val="000000"/>
    </w:rPr>
  </w:style>
  <w:style w:type="paragraph" w:customStyle="1" w:styleId="Epgrafe">
    <w:name w:val="Epígrafe"/>
    <w:basedOn w:val="Normal"/>
    <w:next w:val="Normal"/>
    <w:qFormat/>
    <w:rsid w:val="00606F06"/>
    <w:pPr>
      <w:spacing w:before="120" w:after="120"/>
    </w:pPr>
    <w:rPr>
      <w:b/>
      <w:bCs/>
      <w:sz w:val="20"/>
      <w:szCs w:val="20"/>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rsid w:val="00606F06"/>
    <w:pPr>
      <w:tabs>
        <w:tab w:val="center" w:pos="4252"/>
        <w:tab w:val="right" w:pos="8504"/>
      </w:tabs>
    </w:pPr>
    <w:rPr>
      <w:lang w:val="es-ES"/>
    </w:rPr>
  </w:style>
  <w:style w:type="paragraph" w:styleId="Piedepgina">
    <w:name w:val="footer"/>
    <w:basedOn w:val="Normal"/>
    <w:link w:val="PiedepginaCar"/>
    <w:rsid w:val="00606F06"/>
    <w:pPr>
      <w:tabs>
        <w:tab w:val="center" w:pos="4252"/>
        <w:tab w:val="right" w:pos="8504"/>
      </w:tabs>
    </w:pPr>
    <w:rPr>
      <w:lang w:val="es-ES"/>
    </w:rPr>
  </w:style>
  <w:style w:type="paragraph" w:styleId="NormalWeb">
    <w:name w:val="Normal (Web)"/>
    <w:basedOn w:val="Normal"/>
    <w:qFormat/>
    <w:rsid w:val="00606F06"/>
    <w:pPr>
      <w:spacing w:beforeAutospacing="1" w:afterAutospacing="1"/>
    </w:pPr>
  </w:style>
  <w:style w:type="paragraph" w:styleId="Prrafodelista">
    <w:name w:val="List Paragraph"/>
    <w:basedOn w:val="Normal"/>
    <w:qFormat/>
    <w:rsid w:val="00B86B4F"/>
    <w:pPr>
      <w:ind w:left="708"/>
    </w:pPr>
  </w:style>
  <w:style w:type="paragraph" w:customStyle="1" w:styleId="Numerar">
    <w:name w:val="Numerar"/>
    <w:basedOn w:val="Normal"/>
    <w:qFormat/>
    <w:rsid w:val="00B93BE4"/>
    <w:pPr>
      <w:tabs>
        <w:tab w:val="left" w:pos="284"/>
      </w:tabs>
      <w:ind w:left="567" w:hanging="567"/>
      <w:jc w:val="both"/>
    </w:pPr>
    <w:rPr>
      <w:rFonts w:ascii="Arial" w:hAnsi="Arial"/>
      <w:sz w:val="22"/>
      <w:szCs w:val="20"/>
      <w:lang w:val="es-ES_tradnl"/>
    </w:rPr>
  </w:style>
  <w:style w:type="paragraph" w:styleId="Sinespaciado">
    <w:name w:val="No Spacing"/>
    <w:uiPriority w:val="1"/>
    <w:qFormat/>
    <w:rsid w:val="005C3AD5"/>
    <w:rPr>
      <w:rFonts w:ascii="Arial" w:eastAsia="Calibri" w:hAnsi="Arial"/>
      <w:color w:val="808080"/>
      <w:sz w:val="22"/>
      <w:szCs w:val="22"/>
      <w:lang w:val="es-CO"/>
    </w:rPr>
  </w:style>
  <w:style w:type="paragraph" w:styleId="Textodeglobo">
    <w:name w:val="Balloon Text"/>
    <w:basedOn w:val="Normal"/>
    <w:link w:val="TextodegloboCar"/>
    <w:qFormat/>
    <w:rsid w:val="001C68FB"/>
    <w:rPr>
      <w:rFonts w:ascii="Tahoma" w:hAnsi="Tahoma" w:cs="Tahoma"/>
      <w:sz w:val="16"/>
      <w:szCs w:val="16"/>
    </w:rPr>
  </w:style>
  <w:style w:type="paragraph" w:customStyle="1" w:styleId="Contenidodelmarcouser">
    <w:name w:val="Contenido del marco (user)"/>
    <w:basedOn w:val="Normal"/>
    <w:qFormat/>
  </w:style>
  <w:style w:type="paragraph" w:customStyle="1" w:styleId="Contenidodelmarco">
    <w:name w:val="Contenido del marco"/>
    <w:basedOn w:val="Normal"/>
    <w:qFormat/>
  </w:style>
  <w:style w:type="numbering" w:customStyle="1" w:styleId="Ningunalistauser">
    <w:name w:val="Ninguna lista (user)"/>
    <w:uiPriority w:val="99"/>
    <w:semiHidden/>
    <w:unhideWhenUsed/>
    <w:qFormat/>
  </w:style>
  <w:style w:type="table" w:styleId="Tablaconcuadrcula">
    <w:name w:val="Table Grid"/>
    <w:basedOn w:val="Tablanormal"/>
    <w:rsid w:val="000835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ADB7F-A28C-419D-B032-51DA564B8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2023</Words>
  <Characters>11129</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TABLA DE CONTENIDO</vt:lpstr>
    </vt:vector>
  </TitlesOfParts>
  <Company>Universidad de Cartagena</Company>
  <LinksUpToDate>false</LinksUpToDate>
  <CharactersWithSpaces>13126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TABLA DE CONTENIDO</dc:title>
  <dc:subject/>
  <dc:creator>EDERLINDA</dc:creator>
  <dc:description/>
  <cp:lastModifiedBy>Juan Diego Bello Santiago</cp:lastModifiedBy>
  <cp:revision>4</cp:revision>
  <cp:lastPrinted>2012-10-08T20:39:00Z</cp:lastPrinted>
  <dcterms:created xsi:type="dcterms:W3CDTF">2026-04-09T02:05:00Z</dcterms:created>
  <dcterms:modified xsi:type="dcterms:W3CDTF">2026-04-13T05:53:00Z</dcterms:modified>
  <dc:language>es-CO</dc:language>
</cp:coreProperties>
</file>