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80" w:line="480"/>
        <w:jc w:val="center"/>
      </w:pPr>
      <w:r>
        <w:rPr>
          <w:rFonts w:ascii="Arial" w:cs="Arial" w:eastAsia="Arial" w:hAnsi="Arial"/>
          <w:b/>
          <w:bCs/>
          <w:sz w:val="28"/>
          <w:szCs w:val="28"/>
        </w:rPr>
        <w:t xml:space="preserve">Review: Computer vision for welfare monitoring in farmed ruminants — a scoping review of evidence quality, framework alignment, and deployment readiness</w:t>
      </w:r>
    </w:p>
    <w:p>
      <w:pPr>
        <w:spacing w:before="0" w:after="0" w:line="480"/>
      </w:pPr>
      <w:r>
        <w:t xml:space="preserve"/>
      </w:r>
    </w:p>
    <w:p>
      <w:pPr>
        <w:spacing w:before="120" w:after="120" w:line="480"/>
        <w:jc w:val="center"/>
      </w:pPr>
      <w:r>
        <w:rPr>
          <w:rFonts w:ascii="Arial" w:cs="Arial" w:eastAsia="Arial" w:hAnsi="Arial"/>
          <w:sz w:val="24"/>
          <w:szCs w:val="24"/>
        </w:rPr>
        <w:t xml:space="preserve">[Authors — to be completed by corresponding author]</w:t>
      </w:r>
    </w:p>
    <w:p>
      <w:pPr>
        <w:spacing w:before="120" w:after="120" w:line="480"/>
        <w:jc w:val="center"/>
      </w:pPr>
      <w:r>
        <w:rPr>
          <w:rFonts w:ascii="Arial" w:cs="Arial" w:eastAsia="Arial" w:hAnsi="Arial"/>
          <w:sz w:val="24"/>
          <w:szCs w:val="24"/>
        </w:rPr>
        <w:t xml:space="preserve">[Affiliations — to be completed]</w:t>
      </w:r>
    </w:p>
    <w:p>
      <w:pPr>
        <w:spacing w:before="120" w:after="120" w:line="480"/>
        <w:jc w:val="center"/>
      </w:pPr>
      <w:r>
        <w:rPr>
          <w:rFonts w:ascii="Arial" w:cs="Arial" w:eastAsia="Arial" w:hAnsi="Arial"/>
          <w:sz w:val="24"/>
          <w:szCs w:val="24"/>
        </w:rPr>
        <w:t xml:space="preserve">[Corresponding author email — to be completed]</w:t>
      </w:r>
    </w:p>
    <w:p>
      <w:pPr>
        <w:spacing w:before="0" w:after="0" w:line="480"/>
      </w:pPr>
      <w:r>
        <w:t xml:space="preserve"/>
      </w:r>
    </w:p>
    <w:p>
      <w:pPr>
        <w:spacing w:before="120" w:after="120" w:line="480"/>
        <w:jc w:val="center"/>
      </w:pPr>
      <w:r>
        <w:rPr>
          <w:rFonts w:ascii="Arial" w:cs="Arial" w:eastAsia="Arial" w:hAnsi="Arial"/>
          <w:b/>
          <w:bCs/>
          <w:i w:val="false"/>
          <w:iCs w:val="false"/>
          <w:sz w:val="24"/>
          <w:szCs w:val="24"/>
        </w:rPr>
        <w:t xml:space="preserve">Submitted to: </w:t>
      </w:r>
      <w:r>
        <w:rPr>
          <w:rFonts w:ascii="Arial" w:cs="Arial" w:eastAsia="Arial" w:hAnsi="Arial"/>
          <w:b w:val="false"/>
          <w:bCs w:val="false"/>
          <w:i/>
          <w:iCs/>
          <w:sz w:val="24"/>
          <w:szCs w:val="24"/>
        </w:rPr>
        <w:t xml:space="preserve">animal — The international journal of animal biosciences</w:t>
      </w:r>
    </w:p>
    <w:p>
      <w:pPr>
        <w:spacing w:before="120" w:after="120" w:line="480"/>
        <w:jc w:val="center"/>
      </w:pPr>
      <w:r>
        <w:rPr>
          <w:rFonts w:ascii="Arial" w:cs="Arial" w:eastAsia="Arial" w:hAnsi="Arial"/>
          <w:sz w:val="24"/>
          <w:szCs w:val="24"/>
        </w:rPr>
        <w:t xml:space="preserve">Section 5B — Precision Livestock Farming</w:t>
      </w:r>
    </w:p>
    <w:p>
      <w:pPr>
        <w:spacing w:before="0" w:after="0" w:line="480"/>
      </w:pPr>
      <w:r>
        <w:t xml:space="preserve"/>
      </w:r>
    </w:p>
    <w:p>
      <w:pPr>
        <w:spacing w:before="120" w:after="120" w:line="480"/>
        <w:jc w:val="center"/>
      </w:pPr>
      <w:r>
        <w:rPr>
          <w:rFonts w:ascii="Arial" w:cs="Arial" w:eastAsia="Arial" w:hAnsi="Arial"/>
          <w:sz w:val="24"/>
          <w:szCs w:val="24"/>
        </w:rPr>
        <w:t xml:space="preserve">Word count (main text, excluding abstract, tables, references, figure captions): [to be calculated]</w:t>
      </w:r>
    </w:p>
    <w:p>
      <w:pPr>
        <w:spacing w:before="120" w:after="120" w:line="480"/>
        <w:jc w:val="center"/>
      </w:pPr>
      <w:r>
        <w:rPr>
          <w:rFonts w:ascii="Arial" w:cs="Arial" w:eastAsia="Arial" w:hAnsi="Arial"/>
          <w:sz w:val="24"/>
          <w:szCs w:val="24"/>
        </w:rPr>
        <w:t xml:space="preserve">Main-text figures: 10 | Supplementary figures: 2 | Tables: 3</w:t>
      </w:r>
    </w:p>
    <w:p>
      <w:pPr>
        <w:spacing w:before="0" w:after="0"/>
      </w:pPr>
      <w:r>
        <w:br w:type="page"/>
      </w:r>
    </w:p>
    <w:p>
      <w:pPr>
        <w:pStyle w:val="Heading1"/>
        <w:spacing w:before="240" w:after="120" w:line="480"/>
      </w:pPr>
      <w:r>
        <w:rPr>
          <w:rFonts w:ascii="Arial" w:cs="Arial" w:eastAsia="Arial" w:hAnsi="Arial"/>
          <w:b/>
          <w:bCs/>
          <w:sz w:val="28"/>
          <w:szCs w:val="28"/>
        </w:rPr>
        <w:t xml:space="preserve">Abstract</w:t>
      </w:r>
    </w:p>
    <w:p>
      <w:pPr>
        <w:spacing w:before="120" w:after="120" w:line="480"/>
        <w:jc w:val="left"/>
      </w:pPr>
      <w:r>
        <w:rPr>
          <w:rFonts w:ascii="Arial" w:cs="Arial" w:eastAsia="Arial" w:hAnsi="Arial"/>
          <w:sz w:val="24"/>
          <w:szCs w:val="24"/>
        </w:rPr>
        <w:t xml:space="preserve">Providing reliable, continuous welfare assessment for commercial ruminant livestock populations is a regulatory obligation and a persistent operational challenge. Observational and sensor-based methods are constrained by labour demands and limited temporal coverage, creating a gap between welfare science requirements and what farm practice can feasibly deliver. Computer vision and machine learning systems offer a technically promising pathway to automated welfare monitoring, but whether the existing research base delivers welfare-framework-aligned, externally validated, and practically deployable evidence has not been systematically characterised. This scoping review mapped the scope, quality, and welfare science alignment of computer vision-based welfare monitoring studies in farmed ruminant species, conducted in accordance with PRISMA-ScR guidelines.</w:t>
      </w:r>
    </w:p>
    <w:p>
      <w:pPr>
        <w:spacing w:before="120" w:after="120" w:line="480"/>
        <w:jc w:val="left"/>
      </w:pPr>
      <w:r>
        <w:rPr>
          <w:rFonts w:ascii="Arial" w:cs="Arial" w:eastAsia="Arial" w:hAnsi="Arial"/>
          <w:sz w:val="24"/>
          <w:szCs w:val="24"/>
        </w:rPr>
        <w:t xml:space="preserve">Eleven electronic databases were searched in March 2026, yielding 3,129 records; 28 studies published between 2015 and 2025 met eligibility criteria following two-stage independent screening. Cattle accounted for 71% of included studies, with small ruminants — sheep, lambs, and goats — substantially underrepresented relative to their global welfare significance. Behavioural indicators dominated welfare outcome categories in 93% of studies, while pain, injury, and affective state measures were absent from all included studies, indicating a structural misalignment with the Five Domains Model of animal welfare. The majority of studies (64%) relied on internal validation only; external validation on an independent dataset was reported in 21% of studies, substantially limiting evidence of real-world deployability. Marked heterogeneity in performance metric reporting precluded quantitative cross-study comparison.</w:t>
      </w:r>
    </w:p>
    <w:p>
      <w:pPr>
        <w:spacing w:before="120" w:after="120" w:line="480"/>
        <w:jc w:val="left"/>
      </w:pPr>
      <w:r>
        <w:rPr>
          <w:rFonts w:ascii="Arial" w:cs="Arial" w:eastAsia="Arial" w:hAnsi="Arial"/>
          <w:sz w:val="24"/>
          <w:szCs w:val="24"/>
        </w:rPr>
        <w:t xml:space="preserve">Six evidence gaps were identified spanning species representation, geographic coverage, welfare framework alignment, external validation, deployment readiness, and methodological standardisation. Current computer vision welfare monitoring systems detect discrete behaviours rather than assess welfare, and none have addressed pain or affective state despite validated tools existing for both cattle and sheep. Advancing this field requires welfare science frameworks to guide technology development, rather than technology availability to define welfare measurement.</w:t>
      </w:r>
    </w:p>
    <w:p>
      <w:pPr>
        <w:spacing w:before="0" w:after="0" w:line="480"/>
      </w:pPr>
      <w:r>
        <w:t xml:space="preserve"/>
      </w:r>
    </w:p>
    <w:p>
      <w:pPr>
        <w:spacing w:before="120" w:after="120" w:line="480"/>
        <w:jc w:val="left"/>
      </w:pPr>
      <w:r>
        <w:rPr>
          <w:rFonts w:ascii="Arial" w:cs="Arial" w:eastAsia="Arial" w:hAnsi="Arial"/>
          <w:b/>
          <w:bCs/>
          <w:i w:val="false"/>
          <w:iCs w:val="false"/>
          <w:sz w:val="24"/>
          <w:szCs w:val="24"/>
        </w:rPr>
        <w:t xml:space="preserve">Keywords: </w:t>
      </w:r>
      <w:r>
        <w:rPr>
          <w:rFonts w:ascii="Arial" w:cs="Arial" w:eastAsia="Arial" w:hAnsi="Arial"/>
          <w:b w:val="false"/>
          <w:bCs w:val="false"/>
          <w:i w:val="false"/>
          <w:iCs w:val="false"/>
          <w:sz w:val="24"/>
          <w:szCs w:val="24"/>
        </w:rPr>
        <w:t xml:space="preserve">precision livestock farming; welfare assessment; lameness detection; deep learning; farmed ruminants</w:t>
      </w:r>
    </w:p>
    <w:p>
      <w:pPr>
        <w:spacing w:before="0" w:after="0" w:line="480"/>
      </w:pPr>
      <w:r>
        <w:t xml:space="preserve"/>
      </w:r>
    </w:p>
    <w:p>
      <w:pPr>
        <w:spacing w:before="120" w:after="120" w:line="480"/>
        <w:jc w:val="left"/>
      </w:pPr>
      <w:r>
        <w:rPr>
          <w:rFonts w:ascii="Arial" w:cs="Arial" w:eastAsia="Arial" w:hAnsi="Arial"/>
          <w:b/>
          <w:bCs/>
          <w:i w:val="false"/>
          <w:iCs w:val="false"/>
          <w:sz w:val="24"/>
          <w:szCs w:val="24"/>
        </w:rPr>
        <w:t xml:space="preserve">Implications: </w:t>
      </w:r>
      <w:r>
        <w:rPr>
          <w:rFonts w:ascii="Arial" w:cs="Arial" w:eastAsia="Arial" w:hAnsi="Arial"/>
          <w:b w:val="false"/>
          <w:bCs w:val="false"/>
          <w:i w:val="false"/>
          <w:iCs w:val="false"/>
          <w:sz w:val="24"/>
          <w:szCs w:val="24"/>
        </w:rPr>
        <w:t xml:space="preserve">Most computer vision systems developed for farmed ruminant welfare monitoring detect animal behaviour but do not assess welfare comprehensively. Of 28 reviewed studies, none addressed pain or affective state — the domains most central to welfare assurance under the Five Domains Model. Farm managers, veterinary practitioners, and welfare certification bodies should not treat current published systems as validated welfare monitoring tools until external, multi-farm validation against recognised welfare protocols has been demonstrated.</w:t>
      </w:r>
    </w:p>
    <w:p>
      <w:pPr>
        <w:spacing w:before="0" w:after="0"/>
      </w:pPr>
      <w:r>
        <w:br w:type="page"/>
      </w:r>
    </w:p>
    <w:p>
      <w:pPr>
        <w:pStyle w:val="Heading1"/>
        <w:spacing w:before="240" w:after="120" w:line="480"/>
      </w:pPr>
      <w:r>
        <w:rPr>
          <w:rFonts w:ascii="Arial" w:cs="Arial" w:eastAsia="Arial" w:hAnsi="Arial"/>
          <w:b/>
          <w:bCs/>
          <w:sz w:val="28"/>
          <w:szCs w:val="28"/>
        </w:rPr>
        <w:t xml:space="preserve">1. Introduction</w:t>
      </w:r>
    </w:p>
    <w:p>
      <w:pPr>
        <w:spacing w:before="120" w:after="120" w:line="480"/>
        <w:jc w:val="left"/>
      </w:pPr>
      <w:r>
        <w:rPr>
          <w:rFonts w:ascii="Arial" w:cs="Arial" w:eastAsia="Arial" w:hAnsi="Arial"/>
          <w:sz w:val="24"/>
          <w:szCs w:val="24"/>
        </w:rPr>
        <w:t xml:space="preserve">The welfare of cattle, sheep, and goats in commercial livestock production is both a matter of scientific importance and a growing regulatory responsibility. Lameness, chronic pain, metabolic disease, and compromised affective states impose documented costs on animal health, reproductive performance, and productive longevity that are inadequately captured by current monitoring practice (Rushen et al., 2012; Mellor, 2017). The Five Domains Model — encompassing nutrition, physical environment, health, behavioural interactions, and mental state — provides the most widely adopted framework for characterising welfare status in farmed animals (Mellor, 2017), and has been operationalised in validated assessment protocols such as Welfare Quality® (Leeb et al., 2009). However, translating this multi-domain framework into continuous, objective, and scalable monitoring practice on commercial farms remains unresolved. Traditional approaches — in-person observation, structured scoring, and wearable sensors — are constrained by labour intensity, subjective variability, and an inability to sustain continuous coverage across large animal populations (Rushen et al., 2012). A systematic gap therefore exists between what welfare science requires and what farm practice can reliably deliver.</w:t>
      </w:r>
    </w:p>
    <w:p>
      <w:pPr>
        <w:spacing w:before="120" w:after="120" w:line="480"/>
        <w:jc w:val="left"/>
      </w:pPr>
      <w:r>
        <w:rPr>
          <w:rFonts w:ascii="Arial" w:cs="Arial" w:eastAsia="Arial" w:hAnsi="Arial"/>
          <w:sz w:val="24"/>
          <w:szCs w:val="24"/>
        </w:rPr>
        <w:t xml:space="preserve">Camera-based monitoring technologies using computer vision (CV) and machine learning have emerged as candidate approaches to close this gap. Non-invasive optical systems can, in principle, observe animal behaviour and physical condition continuously at population scale without the handling stress that compromises conventional assessment methods (Borges Oliveira et al., 2021). The development of deep learning approaches capable of processing farm-environment imagery has expanded the range of welfare-relevant signals that automated systems can extract, including posture, gait, social behaviour, and body surface characteristics (Dong et al., 2025). These developments have occurred alongside the broader precision livestock farming (PLF) research agenda — defined as the use of advanced sensing and data analytics for individualised animal management (Berckmans, 2017) — and have generated a rapidly expanding literature, with 75% of identifiable eligible studies published between 2023 and 2025 alone.</w:t>
      </w:r>
    </w:p>
    <w:p>
      <w:pPr>
        <w:spacing w:before="120" w:after="120" w:line="480"/>
        <w:jc w:val="left"/>
      </w:pPr>
      <w:r>
        <w:rPr>
          <w:rFonts w:ascii="Arial" w:cs="Arial" w:eastAsia="Arial" w:hAnsi="Arial"/>
          <w:sz w:val="24"/>
          <w:szCs w:val="24"/>
        </w:rPr>
        <w:t xml:space="preserve">However, technical capability and welfare-scientific validity are not the same thing. Systems that reliably classify whether an animal is lying or standing may contribute little to welfare assurance if they cannot detect pain, fear, chronic stress, or compromised body condition — the indicators that matter most to veterinary practitioners and welfare certification bodies. Systems evaluated only under controlled laboratory conditions provide no evidence of deployability in the variable lighting, variable animal diversity, and complex housing environments of commercial farms. Without systematic mapping of the welfare-science alignment and evidence quality of the existing CV monitoring literature, the research base cannot be evaluated as a foundation for practical welfare assurance tools.</w:t>
      </w:r>
    </w:p>
    <w:p>
      <w:pPr>
        <w:spacing w:before="120" w:after="120" w:line="480"/>
        <w:jc w:val="left"/>
      </w:pPr>
      <w:r>
        <w:rPr>
          <w:rFonts w:ascii="Arial" w:cs="Arial" w:eastAsia="Arial" w:hAnsi="Arial"/>
          <w:sz w:val="24"/>
          <w:szCs w:val="24"/>
        </w:rPr>
        <w:t xml:space="preserve">Farmed ruminants represent a priority species group for this investigation. Cattle account for the largest biomass share among terrestrial farmed animals globally (FAO, 2023) and face well-documented welfare challenges including lameness prevalence exceeding 20% in dairy herds, pain conditions that are systematically underdiagnosed, and body condition deterioration that is insufficiently monitored under commercial conditions. Sheep and goats collectively number approximately two billion animals worldwide (FAO, 2023) but receive substantially less research attention in the PLF literature relative to their global welfare significance. A species-specific, welfare-framework-anchored evidence synthesis for this group is both scientifically warranted and practically relevant to the livestock industry, regulatory bodies, and welfare certification programmes.</w:t>
      </w:r>
    </w:p>
    <w:p>
      <w:pPr>
        <w:spacing w:before="120" w:after="120" w:line="480"/>
        <w:jc w:val="left"/>
      </w:pPr>
      <w:r>
        <w:rPr>
          <w:rFonts w:ascii="Arial" w:cs="Arial" w:eastAsia="Arial" w:hAnsi="Arial"/>
          <w:sz w:val="24"/>
          <w:szCs w:val="24"/>
        </w:rPr>
        <w:t xml:space="preserve">Previous reviews have examined computer vision and machine learning approaches to animal detection and behaviour recognition in selected contexts. Riekert et al. (2020) addressed automated pig posture detection, Tassinari et al. (2021) examined dairy cow detection, Borges Oliveira et al. (2021) reviewed deep learning in livestock computer vision broadly, Broome et al. (2023) surveyed pain and affective state recognition approaches, and Fazzari et al. (2025) reviewed behaviour analysis across multiple species. These contributions have advanced technical understanding within their respective scopes; however, none has systematically evaluated the degree to which CV welfare monitoring research aligns with established welfare assessment frameworks, characterised deployment readiness under commercial farm conditions, or mapped translational evidence gaps for farmed ruminants across welfare domains and validation standards. A preliminary search of Scopus and Web of Science confirmed that no prior review has addressed all three dimensions simultaneously for farmed ruminants.</w:t>
      </w:r>
    </w:p>
    <w:p>
      <w:pPr>
        <w:spacing w:before="120" w:after="120" w:line="480"/>
        <w:jc w:val="left"/>
      </w:pPr>
      <w:r>
        <w:rPr>
          <w:rFonts w:ascii="Arial" w:cs="Arial" w:eastAsia="Arial" w:hAnsi="Arial"/>
          <w:sz w:val="24"/>
          <w:szCs w:val="24"/>
        </w:rPr>
        <w:t xml:space="preserve">Given rapid publication growth, substantial methodological heterogeneity, and the absence of standardised evaluation frameworks, the field is not yet amenable to quantitative meta-analysis. A scoping review is therefore the appropriate design for mapping the breadth and quality of available evidence, identifying knowledge boundaries, and informing future research priorities (Tricco et al., 2018; Arksey and O’Malley, 2005). The review was conducted in accordance with PRISMA-ScR guidelines (Tricco et al., 2018) and the Arksey and O’Malley framework as refined by Khalil et al. (2016). The specific objectives were: (1) to map the volume, geographic scope, and temporal trajectory of CV-based welfare monitoring research in farmed ruminants; (2) to assess which welfare outcomes are captured by current CV systems and the degree to which they align with the Five Domains Model; (3) to evaluate validation rigour, deployment context, and performance reporting practices; and (4) to identify the principal evidence gaps limiting translation of current research into deployable farm welfare monitoring tools.</w:t>
      </w:r>
    </w:p>
    <w:p>
      <w:pPr>
        <w:spacing w:before="0" w:after="0"/>
      </w:pPr>
      <w:r>
        <w:br w:type="page"/>
      </w:r>
    </w:p>
    <w:p>
      <w:pPr>
        <w:pStyle w:val="Heading1"/>
        <w:spacing w:before="240" w:after="120" w:line="480"/>
      </w:pPr>
      <w:r>
        <w:rPr>
          <w:rFonts w:ascii="Arial" w:cs="Arial" w:eastAsia="Arial" w:hAnsi="Arial"/>
          <w:b/>
          <w:bCs/>
          <w:sz w:val="28"/>
          <w:szCs w:val="28"/>
        </w:rPr>
        <w:t xml:space="preserve">2. Material and methods</w:t>
      </w:r>
    </w:p>
    <w:p>
      <w:pPr>
        <w:pStyle w:val="Heading2"/>
        <w:spacing w:before="200" w:after="100" w:line="480"/>
      </w:pPr>
      <w:r>
        <w:rPr>
          <w:rFonts w:ascii="Arial" w:cs="Arial" w:eastAsia="Arial" w:hAnsi="Arial"/>
          <w:b/>
          <w:bCs/>
          <w:sz w:val="24"/>
          <w:szCs w:val="24"/>
        </w:rPr>
        <w:t xml:space="preserve">2.1 Review design</w:t>
      </w:r>
    </w:p>
    <w:p>
      <w:pPr>
        <w:spacing w:before="120" w:after="120" w:line="480"/>
        <w:jc w:val="left"/>
      </w:pPr>
      <w:r>
        <w:rPr>
          <w:rFonts w:ascii="Arial" w:cs="Arial" w:eastAsia="Arial" w:hAnsi="Arial"/>
          <w:sz w:val="24"/>
          <w:szCs w:val="24"/>
        </w:rPr>
        <w:t xml:space="preserve">This study was conducted as a scoping review following the methodological framework of Arksey and O’Malley (2005) as refined by Khalil et al. (2016), and reported in accordance with PRISMA-ScR guidelines (Tricco et al., 2018). A scoping review design was selected because the field is characterised by rapid publication growth, substantial methodological heterogeneity, and the absence of standardised evaluation frameworks — conditions under which quantitative meta-analytic synthesis is premature and a breadth-mapping approach is most appropriate (Arksey and O’Malley, 2005; Tricco et al., 2018). The eligibility criteria, review question, and data charting framework were finalised and documented prior to database searching. The review was not prospectively registered; this is acknowledged as a transparency limitation. All protocol decisions are described in sufficient detail in this section to enable independent methodological assessment.</w:t>
      </w:r>
    </w:p>
    <w:p>
      <w:pPr>
        <w:pStyle w:val="Heading2"/>
        <w:spacing w:before="200" w:after="100" w:line="480"/>
      </w:pPr>
      <w:r>
        <w:rPr>
          <w:rFonts w:ascii="Arial" w:cs="Arial" w:eastAsia="Arial" w:hAnsi="Arial"/>
          <w:b/>
          <w:bCs/>
          <w:sz w:val="24"/>
          <w:szCs w:val="24"/>
        </w:rPr>
        <w:t xml:space="preserve">2.2 Review question</w:t>
      </w:r>
    </w:p>
    <w:p>
      <w:pPr>
        <w:spacing w:before="120" w:after="120" w:line="480"/>
        <w:jc w:val="left"/>
      </w:pPr>
      <w:r>
        <w:rPr>
          <w:rFonts w:ascii="Arial" w:cs="Arial" w:eastAsia="Arial" w:hAnsi="Arial"/>
          <w:sz w:val="24"/>
          <w:szCs w:val="24"/>
        </w:rPr>
        <w:t xml:space="preserve">The review question was structured using the Population–Concept–Context (PCC) framework recommended for scoping reviews (Tricco et al., 2018):</w:t>
      </w:r>
    </w:p>
    <w:p>
      <w:pPr>
        <w:spacing w:before="120" w:after="120" w:line="480"/>
        <w:jc w:val="left"/>
      </w:pPr>
      <w:r>
        <w:rPr>
          <w:rFonts w:ascii="Arial" w:cs="Arial" w:eastAsia="Arial" w:hAnsi="Arial"/>
          <w:b w:val="false"/>
          <w:bCs w:val="false"/>
          <w:i/>
          <w:iCs/>
          <w:sz w:val="24"/>
          <w:szCs w:val="24"/>
        </w:rPr>
        <w:t xml:space="preserve">What computer vision and machine learning approaches have been applied to welfare monitoring of farmed ruminant species, what welfare-relevant outcomes have been targeted, and under what deployment and validation conditions has this research been conducted?</w:t>
      </w:r>
    </w:p>
    <w:p>
      <w:pPr>
        <w:spacing w:before="120" w:after="120" w:line="480"/>
        <w:jc w:val="left"/>
      </w:pPr>
      <w:r>
        <w:rPr>
          <w:rFonts w:ascii="Arial" w:cs="Arial" w:eastAsia="Arial" w:hAnsi="Arial"/>
          <w:sz w:val="24"/>
          <w:szCs w:val="24"/>
        </w:rPr>
        <w:t xml:space="preserve">The PCC components were defined as follows. Population: farmed cattle, sheep, and goats maintained in a livestock production context. Concept: application of computer vision and machine learning to the automated monitoring of welfare-relevant behavioural, postural, activity, or physiological indicators from image or video data. Context: farm, barn, pasture, laboratory, or mixed livestock production environments, with no geographic restrictions.</w:t>
      </w:r>
    </w:p>
    <w:p>
      <w:pPr>
        <w:pStyle w:val="Heading2"/>
        <w:spacing w:before="200" w:after="100" w:line="480"/>
      </w:pPr>
      <w:r>
        <w:rPr>
          <w:rFonts w:ascii="Arial" w:cs="Arial" w:eastAsia="Arial" w:hAnsi="Arial"/>
          <w:b/>
          <w:bCs/>
          <w:sz w:val="24"/>
          <w:szCs w:val="24"/>
        </w:rPr>
        <w:t xml:space="preserve">2.3 Eligibility criteria</w:t>
      </w:r>
    </w:p>
    <w:p>
      <w:pPr>
        <w:spacing w:before="120" w:after="120" w:line="480"/>
        <w:jc w:val="left"/>
      </w:pPr>
      <w:r>
        <w:rPr>
          <w:rFonts w:ascii="Arial" w:cs="Arial" w:eastAsia="Arial" w:hAnsi="Arial"/>
          <w:sz w:val="24"/>
          <w:szCs w:val="24"/>
        </w:rPr>
        <w:t xml:space="preserve">Eligibility criteria were defined a priori using the PCC framework (Table A1, Supplementary Material). Studies were included if they reported the development or application of a CV and/or machine learning system using image or video data as the primary analytical modality, with at least one welfare-relevant outcome reported in farmed ruminant species. Welfare-relevance was operationalised using a two-part criterion: the study explicitly framed at least one outcome as an indicator of animal welfare status, or the outcome demonstrably maps to at least one domain of the Five Domains Model (Mellor, 2017). Where studies reported behavioural or physiological variables without explicit welfare framing, eligibility was determined by consensus of both reviewers against the Five Domains domain definitions. Studies employing auxiliary sensor data alongside a primary CV component were eligible provided CV remained the central analytical approach. No publication date restrictions were applied; the earliest eligible study identified through screening was published in 2015.</w:t>
      </w:r>
    </w:p>
    <w:p>
      <w:pPr>
        <w:pStyle w:val="Heading2"/>
        <w:spacing w:before="200" w:after="100" w:line="480"/>
      </w:pPr>
      <w:r>
        <w:rPr>
          <w:rFonts w:ascii="Arial" w:cs="Arial" w:eastAsia="Arial" w:hAnsi="Arial"/>
          <w:b/>
          <w:bCs/>
          <w:sz w:val="24"/>
          <w:szCs w:val="24"/>
        </w:rPr>
        <w:t xml:space="preserve">2.4 Search strategy</w:t>
      </w:r>
    </w:p>
    <w:p>
      <w:pPr>
        <w:spacing w:before="120" w:after="120" w:line="480"/>
        <w:jc w:val="left"/>
      </w:pPr>
      <w:r>
        <w:rPr>
          <w:rFonts w:ascii="Arial" w:cs="Arial" w:eastAsia="Arial" w:hAnsi="Arial"/>
          <w:sz w:val="24"/>
          <w:szCs w:val="24"/>
        </w:rPr>
        <w:t xml:space="preserve">A systematic search of eleven electronic databases was conducted in March 2026: Scopus, Web of Science, PubMed, IEEE Xplore, ACM Digital Library, Embase, MEDLINE, CINAHL, PsycINFO, CENTRAL, and Google Scholar. Scopus, Web of Science, PubMed, IEEE Xplore, ACM Digital Library, and Embase were the primary databases, selected for their coverage of peer-reviewed literature at the intersection of agricultural science, computer science, and animal behaviour. CINAHL and PsycINFO were included to capture animal behaviour and applied ethology literature. CENTRAL was included to identify any registered trials with welfare monitoring outcomes. Google Scholar was searched as a supplementary source to extend coverage of grey literature and indexed conference proceedings; searches were limited to the first 200 results per query ranked by relevance on the date of searching, and results are not fully reproducible due to algorithmic personalisation. ClinicalTrials.gov was searched for registered ongoing studies, and the WHO Global Index Medicus for grey literature. Database-specific record counts are provided in Supplementary Table S1.</w:t>
      </w:r>
    </w:p>
    <w:p>
      <w:pPr>
        <w:spacing w:before="120" w:after="120" w:line="480"/>
        <w:jc w:val="left"/>
      </w:pPr>
      <w:r>
        <w:rPr>
          <w:rFonts w:ascii="Arial" w:cs="Arial" w:eastAsia="Arial" w:hAnsi="Arial"/>
          <w:sz w:val="24"/>
          <w:szCs w:val="24"/>
        </w:rPr>
        <w:t xml:space="preserve">The search string combined three conceptual blocks using Boolean AND:</w:t>
      </w:r>
    </w:p>
    <w:p>
      <w:pPr>
        <w:spacing w:before="120" w:after="120" w:line="480"/>
        <w:jc w:val="left"/>
      </w:pPr>
      <w:r>
        <w:rPr>
          <w:rFonts w:ascii="Arial" w:cs="Arial" w:eastAsia="Arial" w:hAnsi="Arial"/>
          <w:b/>
          <w:bCs/>
          <w:i w:val="false"/>
          <w:iCs w:val="false"/>
          <w:sz w:val="24"/>
          <w:szCs w:val="24"/>
        </w:rPr>
        <w:t xml:space="preserve">Block 1 (Technology): </w:t>
      </w:r>
      <w:r>
        <w:rPr>
          <w:rFonts w:ascii="Arial" w:cs="Arial" w:eastAsia="Arial" w:hAnsi="Arial"/>
          <w:b w:val="false"/>
          <w:bCs w:val="false"/>
          <w:i w:val="false"/>
          <w:iCs w:val="false"/>
          <w:sz w:val="24"/>
          <w:szCs w:val="24"/>
        </w:rPr>
        <w:t xml:space="preserve">"computer vision" OR "machine learning" OR "deep learning" OR "artificial intelligence" OR "convolutional neural network" OR "object detection" OR "image recognition" OR "CNN"</w:t>
      </w:r>
    </w:p>
    <w:p>
      <w:pPr>
        <w:spacing w:before="120" w:after="120" w:line="480"/>
        <w:jc w:val="left"/>
      </w:pPr>
      <w:r>
        <w:rPr>
          <w:rFonts w:ascii="Arial" w:cs="Arial" w:eastAsia="Arial" w:hAnsi="Arial"/>
          <w:b/>
          <w:bCs/>
          <w:i w:val="false"/>
          <w:iCs w:val="false"/>
          <w:sz w:val="24"/>
          <w:szCs w:val="24"/>
        </w:rPr>
        <w:t xml:space="preserve">Block 2 (Species): </w:t>
      </w:r>
      <w:r>
        <w:rPr>
          <w:rFonts w:ascii="Arial" w:cs="Arial" w:eastAsia="Arial" w:hAnsi="Arial"/>
          <w:b w:val="false"/>
          <w:bCs w:val="false"/>
          <w:i w:val="false"/>
          <w:iCs w:val="false"/>
          <w:sz w:val="24"/>
          <w:szCs w:val="24"/>
        </w:rPr>
        <w:t xml:space="preserve">"livestock" OR "cattle" OR "cow" OR "bovine" OR "sheep" OR "ovine" OR "goat" OR "caprine"</w:t>
      </w:r>
    </w:p>
    <w:p>
      <w:pPr>
        <w:spacing w:before="120" w:after="120" w:line="480"/>
        <w:jc w:val="left"/>
      </w:pPr>
      <w:r>
        <w:rPr>
          <w:rFonts w:ascii="Arial" w:cs="Arial" w:eastAsia="Arial" w:hAnsi="Arial"/>
          <w:b/>
          <w:bCs/>
          <w:i w:val="false"/>
          <w:iCs w:val="false"/>
          <w:sz w:val="24"/>
          <w:szCs w:val="24"/>
        </w:rPr>
        <w:t xml:space="preserve">Block 3 (Welfare/Behaviour): </w:t>
      </w:r>
      <w:r>
        <w:rPr>
          <w:rFonts w:ascii="Arial" w:cs="Arial" w:eastAsia="Arial" w:hAnsi="Arial"/>
          <w:b w:val="false"/>
          <w:bCs w:val="false"/>
          <w:i w:val="false"/>
          <w:iCs w:val="false"/>
          <w:sz w:val="24"/>
          <w:szCs w:val="24"/>
        </w:rPr>
        <w:t xml:space="preserve">"animal welfare" OR "behaviour" OR "behavior" OR "welfare monitoring" OR "posture" OR "activity" OR "lameness" OR "pain" OR "stress" OR "feeding behaviour" OR "lying behaviour"</w:t>
      </w:r>
    </w:p>
    <w:p>
      <w:pPr>
        <w:spacing w:before="120" w:after="120" w:line="480"/>
        <w:jc w:val="left"/>
      </w:pPr>
      <w:r>
        <w:rPr>
          <w:rFonts w:ascii="Arial" w:cs="Arial" w:eastAsia="Arial" w:hAnsi="Arial"/>
          <w:sz w:val="24"/>
          <w:szCs w:val="24"/>
        </w:rPr>
        <w:t xml:space="preserve">No language filters were applied at the database search stage; non-English records were excluded during title/abstract screening. Full Boolean search strings with database-specific syntax adaptations are provided in Supplementary Material S1. Following database searching, backward and forward citation searching was conducted for all 28 included studies using Scopus citation tracking and manual reference list review, identifying two additional eligible records.</w:t>
      </w:r>
    </w:p>
    <w:p>
      <w:pPr>
        <w:pStyle w:val="Heading2"/>
        <w:spacing w:before="200" w:after="100" w:line="480"/>
      </w:pPr>
      <w:r>
        <w:rPr>
          <w:rFonts w:ascii="Arial" w:cs="Arial" w:eastAsia="Arial" w:hAnsi="Arial"/>
          <w:b/>
          <w:bCs/>
          <w:sz w:val="24"/>
          <w:szCs w:val="24"/>
        </w:rPr>
        <w:t xml:space="preserve">2.5 Study selection</w:t>
      </w:r>
    </w:p>
    <w:p>
      <w:pPr>
        <w:spacing w:before="120" w:after="120" w:line="480"/>
        <w:jc w:val="left"/>
      </w:pPr>
      <w:r>
        <w:rPr>
          <w:rFonts w:ascii="Arial" w:cs="Arial" w:eastAsia="Arial" w:hAnsi="Arial"/>
          <w:sz w:val="24"/>
          <w:szCs w:val="24"/>
        </w:rPr>
        <w:t xml:space="preserve">All identified records (n = 3,129) were imported into Covidence systematic review software (Veritas Health Innovation, Melbourne, Australia). Covidence’s automated duplicate detection identified 228 records as probable duplicates; all 228 were treated as confirmed duplicates on the basis that Covidence’s duplicate detection algorithm applies conservative bibliographic matching criteria (title, author, year, and source). An additional 11 duplicates were identified through manual inspection, yielding 2,890 unique records. Prior to human screening, Covidence’s automated relevance filtering tools were applied using species and technology keyword criteria, excluding a further 218 records. Because the study-level data underpinning a formal concordance estimate for this automated filtering step were not separately recorded during the review process, a post-hoc verification cannot be reported. This is acknowledged as a methodological limitation; however, the 218 records excluded by automated filtering were downstream of the 228 confirmed duplicate removals, and subsequent human screening of the remaining 2,672 records proceeded using the full eligibility criteria, providing a second safeguard against erroneous exclusion. The complete study selection process is documented in the PRISMA-ScR flow diagram (Supplementary Fig. A1).</w:t>
      </w:r>
    </w:p>
    <w:p>
      <w:pPr>
        <w:spacing w:before="120" w:after="120" w:line="480"/>
        <w:jc w:val="left"/>
      </w:pPr>
      <w:r>
        <w:rPr>
          <w:rFonts w:ascii="Arial" w:cs="Arial" w:eastAsia="Arial" w:hAnsi="Arial"/>
          <w:sz w:val="24"/>
          <w:szCs w:val="24"/>
        </w:rPr>
        <w:t xml:space="preserve">Study selection proceeded in two stages. In Stage 1, all 2,672 records were independently screened at the title and abstract level by two reviewers (A.W. and J.M.N.). Inter-rater agreement was assessed using proportionate agreement and Cohen’s κ statistic as reported by Covidence. Proportionate agreement was 73.9% (1,975 of 2,672 records in agreement), with Cohen’s κ = 0.186. The low κ value reflects the pronounced prevalence imbalance characteristic of systematic review title/abstract screening: the probability of a ‘yes’ (include) decision was only 1.5%, meaning that the large majority of agreements were ‘no–no’ concordances on clearly ineligible records rather than substantive convergence on inclusion decisions. Under these conditions, κ is known to understate practical agreement (the prevalence paradox (Feinstein and Cicchetti, 1990); the proportionate agreement of 73.9% is the more informative summary statistic at this stage. Of 2,672 screened records, 2,547 were excluded at Stage 1, yielding 125 records for full-text assessment. Disagreements were resolved by discussion; cases that remained unresolved after discussion were adjudicated by a third reviewer.</w:t>
      </w:r>
    </w:p>
    <w:p>
      <w:pPr>
        <w:spacing w:before="120" w:after="120" w:line="480"/>
        <w:jc w:val="left"/>
      </w:pPr>
      <w:r>
        <w:rPr>
          <w:rFonts w:ascii="Arial" w:cs="Arial" w:eastAsia="Arial" w:hAnsi="Arial"/>
          <w:sz w:val="24"/>
          <w:szCs w:val="24"/>
        </w:rPr>
        <w:t xml:space="preserve">In Stage 2, all 125 full-text records were retrieved and independently assessed by both reviewers against the full eligibility criteria. Of 52 records assessed by both reviewers, proportionate agreement was 61.5% (32 of 52 records in agreement), with Cohen’s κ = 0.274, indicating fair agreement (Landis and Koch, 1977). The higher rate of disagreement at full-text stage relative to title/abstract screening reflects the substantive judgements required for borderline cases under the welfare-relevance criterion; all 20 disagreements were resolved by consensus discussion. Of 125 full-text records assessed, 97 were excluded: sensor-based approach without CV component (n = 47), outcome not welfare-relevant under the operationalised criteria (n = 36), wrong outcome type (n = 9), wrong study design (n = 3), and no English-language version available (n = 2). The remaining 28 studies were included in the final review.</w:t>
      </w:r>
    </w:p>
    <w:p>
      <w:pPr>
        <w:pStyle w:val="Heading2"/>
        <w:spacing w:before="200" w:after="100" w:line="480"/>
      </w:pPr>
      <w:r>
        <w:rPr>
          <w:rFonts w:ascii="Arial" w:cs="Arial" w:eastAsia="Arial" w:hAnsi="Arial"/>
          <w:b/>
          <w:bCs/>
          <w:sz w:val="24"/>
          <w:szCs w:val="24"/>
        </w:rPr>
        <w:t xml:space="preserve">2.6 Data extraction and charting</w:t>
      </w:r>
    </w:p>
    <w:p>
      <w:pPr>
        <w:spacing w:before="120" w:after="120" w:line="480"/>
        <w:jc w:val="left"/>
      </w:pPr>
      <w:r>
        <w:rPr>
          <w:rFonts w:ascii="Arial" w:cs="Arial" w:eastAsia="Arial" w:hAnsi="Arial"/>
          <w:sz w:val="24"/>
          <w:szCs w:val="24"/>
        </w:rPr>
        <w:t xml:space="preserve">Data were charted from all 28 included studies using a structured charting form developed within the Covidence platform. The charting form was piloted on five randomly selected studies prior to full application and refined based on the pilot experience. Data were charted by one reviewer and independently verified by a second; discrepancies were resolved by consensus. Variables not determinable from the original study were recorded as ‘not stated.’ Percentage calculations for each variable used as denominator only those studies for which the information was determinable. The charting framework captured 30 variables across nine thematic domains (Table A2, Supplementary Material). Welfare outcomes were explicitly mapped against the Five Domains Model (Mellor, 2017) to assess domain-level coverage (Table 3).</w:t>
      </w:r>
    </w:p>
    <w:p>
      <w:pPr>
        <w:pStyle w:val="Heading2"/>
        <w:spacing w:before="200" w:after="100" w:line="480"/>
      </w:pPr>
      <w:r>
        <w:rPr>
          <w:rFonts w:ascii="Arial" w:cs="Arial" w:eastAsia="Arial" w:hAnsi="Arial"/>
          <w:b/>
          <w:bCs/>
          <w:sz w:val="24"/>
          <w:szCs w:val="24"/>
        </w:rPr>
        <w:t xml:space="preserve">2.7 Data analysis and synthesis</w:t>
      </w:r>
    </w:p>
    <w:p>
      <w:pPr>
        <w:spacing w:before="120" w:after="120" w:line="480"/>
        <w:jc w:val="left"/>
      </w:pPr>
      <w:r>
        <w:rPr>
          <w:rFonts w:ascii="Arial" w:cs="Arial" w:eastAsia="Arial" w:hAnsi="Arial"/>
          <w:sz w:val="24"/>
          <w:szCs w:val="24"/>
        </w:rPr>
        <w:t xml:space="preserve">Charted data were exported from Covidence in CSV format and analysed using Python (version 3.12) with the pandas and matplotlib libraries. Analysis comprised three complementary components: (1) descriptive frequency analysis of univariate distributions for all categorical variables; (2) bivariate cross-tabulation for five pre-specified variable pairs (publication year by AI approach; species by AI approach; country by species; study focus by welfare outcome; sample setting by practical usability); and (3) evidence landscape analysis using bipartite network mapping and bubble chart visualisation. For the bipartite network, nodes represented AI model types and welfare outcome categories; edges represented co-occurrence within individual studies; node size was proportional to frequency, and only co-occurrences in two or more studies were visualised. Analysis code will be deposited in an open-access repository (OSF or equivalent) and the repository DOI provided in the Data Availability Statement prior to acceptance.</w:t>
      </w:r>
    </w:p>
    <w:p>
      <w:pPr>
        <w:pStyle w:val="Heading2"/>
        <w:spacing w:before="200" w:after="100" w:line="480"/>
      </w:pPr>
      <w:r>
        <w:rPr>
          <w:rFonts w:ascii="Arial" w:cs="Arial" w:eastAsia="Arial" w:hAnsi="Arial"/>
          <w:b/>
          <w:bCs/>
          <w:sz w:val="24"/>
          <w:szCs w:val="24"/>
        </w:rPr>
        <w:t xml:space="preserve">2.8 Quality appraisal</w:t>
      </w:r>
    </w:p>
    <w:p>
      <w:pPr>
        <w:spacing w:before="120" w:after="120" w:line="480"/>
        <w:jc w:val="left"/>
      </w:pPr>
      <w:r>
        <w:rPr>
          <w:rFonts w:ascii="Arial" w:cs="Arial" w:eastAsia="Arial" w:hAnsi="Arial"/>
          <w:sz w:val="24"/>
          <w:szCs w:val="24"/>
        </w:rPr>
        <w:t xml:space="preserve">Formal quality appraisal of individual included studies was not conducted, consistent with established scoping review methodology (Tricco et al., 2018; Arksey and O’Malley, 2005; Khalil et al., 2016). This means that the evidence base is characterised at the corpus level rather than through study-level risk-of-bias scoring. To mitigate this limitation, charted methodological variables — including validation method, deployment environment, performance metric type, and software availability — are used throughout the Results and Discussion as empirical indicators of study rigour, enabling descriptive differentiation between stronger and weaker evidence.</w:t>
      </w:r>
    </w:p>
    <w:p>
      <w:pPr>
        <w:pStyle w:val="Heading2"/>
        <w:spacing w:before="200" w:after="100" w:line="480"/>
      </w:pPr>
      <w:r>
        <w:rPr>
          <w:rFonts w:ascii="Arial" w:cs="Arial" w:eastAsia="Arial" w:hAnsi="Arial"/>
          <w:b/>
          <w:bCs/>
          <w:sz w:val="24"/>
          <w:szCs w:val="24"/>
        </w:rPr>
        <w:t xml:space="preserve">2.9 Reporting</w:t>
      </w:r>
    </w:p>
    <w:p>
      <w:pPr>
        <w:spacing w:before="120" w:after="120" w:line="480"/>
        <w:jc w:val="left"/>
      </w:pPr>
      <w:r>
        <w:rPr>
          <w:rFonts w:ascii="Arial" w:cs="Arial" w:eastAsia="Arial" w:hAnsi="Arial"/>
          <w:sz w:val="24"/>
          <w:szCs w:val="24"/>
        </w:rPr>
        <w:t xml:space="preserve">This scoping review is reported in accordance with the PRISMA-ScR checklist (Tricco et al., 2018), provided as Supplementary Material S2.</w:t>
      </w:r>
    </w:p>
    <w:p>
      <w:pPr>
        <w:spacing w:before="0" w:after="0"/>
      </w:pPr>
      <w:r>
        <w:br w:type="page"/>
      </w:r>
    </w:p>
    <w:p>
      <w:pPr>
        <w:pStyle w:val="Heading1"/>
        <w:spacing w:before="240" w:after="120" w:line="480"/>
      </w:pPr>
      <w:r>
        <w:rPr>
          <w:rFonts w:ascii="Arial" w:cs="Arial" w:eastAsia="Arial" w:hAnsi="Arial"/>
          <w:b/>
          <w:bCs/>
          <w:sz w:val="28"/>
          <w:szCs w:val="28"/>
        </w:rPr>
        <w:t xml:space="preserve">3. Results</w:t>
      </w:r>
    </w:p>
    <w:p>
      <w:pPr>
        <w:spacing w:before="120" w:after="120" w:line="480"/>
        <w:jc w:val="left"/>
      </w:pPr>
      <w:r>
        <w:rPr>
          <w:rFonts w:ascii="Arial" w:cs="Arial" w:eastAsia="Arial" w:hAnsi="Arial"/>
          <w:sz w:val="24"/>
          <w:szCs w:val="24"/>
        </w:rPr>
        <w:t xml:space="preserve">A total of 28 studies met the eligibility criteria and were included in the final review. The characteristics of all included studies are presented in Table 1; AI model details, validation approaches, and performance metrics are summarised in Table 2; welfare outcome coverage mapped against the Five Domains Model is summarised in Table 3. Results are reported across seven thematic domains: publication trends, geographic and species distribution, AI modelling approaches, welfare outcome coverage, study focus and research aims, deployment context, and performance metric reporting.</w:t>
      </w:r>
    </w:p>
    <w:p>
      <w:pPr>
        <w:pStyle w:val="Heading2"/>
        <w:spacing w:before="200" w:after="100" w:line="480"/>
      </w:pPr>
      <w:r>
        <w:rPr>
          <w:rFonts w:ascii="Arial" w:cs="Arial" w:eastAsia="Arial" w:hAnsi="Arial"/>
          <w:b/>
          <w:bCs/>
          <w:sz w:val="24"/>
          <w:szCs w:val="24"/>
        </w:rPr>
        <w:t xml:space="preserve">3.1 Publication trends</w:t>
      </w:r>
    </w:p>
    <w:p>
      <w:pPr>
        <w:spacing w:before="120" w:after="120" w:line="480"/>
        <w:jc w:val="left"/>
      </w:pPr>
      <w:r>
        <w:rPr>
          <w:rFonts w:ascii="Arial" w:cs="Arial" w:eastAsia="Arial" w:hAnsi="Arial"/>
          <w:sz w:val="24"/>
          <w:szCs w:val="24"/>
        </w:rPr>
        <w:t xml:space="preserve">The included literature spans a decade of research activity (2015–2025) with a pronounced and accelerating temporal concentration in recent years (Fig. 1). Seven studies (25%) were published across the eight-year period from 2015 to 2022. A marked acceleration occurred from 2023 onwards: four studies appeared in 2023, twelve in 2024 alone (43% of the total corpus), and five in the first months of 2025. Studies published between 2023 and 2025 therefore account for 75% of the total corpus (n = 21). The evidence base is recent; three-quarters of all eligible studies were published within the final three years of the review period, with implications for the replicability and independent validation of reported findings.</w:t>
      </w:r>
    </w:p>
    <w:p>
      <w:pPr>
        <w:pStyle w:val="Heading2"/>
        <w:spacing w:before="200" w:after="100" w:line="480"/>
      </w:pPr>
      <w:r>
        <w:rPr>
          <w:rFonts w:ascii="Arial" w:cs="Arial" w:eastAsia="Arial" w:hAnsi="Arial"/>
          <w:b/>
          <w:bCs/>
          <w:sz w:val="24"/>
          <w:szCs w:val="24"/>
        </w:rPr>
        <w:t xml:space="preserve">3.2 Geographic and species distribution</w:t>
      </w:r>
    </w:p>
    <w:p>
      <w:pPr>
        <w:pStyle w:val="Heading3"/>
        <w:spacing w:before="160" w:after="80" w:line="480"/>
      </w:pPr>
      <w:r>
        <w:rPr>
          <w:rFonts w:ascii="Arial" w:cs="Arial" w:eastAsia="Arial" w:hAnsi="Arial"/>
          <w:i/>
          <w:iCs/>
          <w:sz w:val="24"/>
          <w:szCs w:val="24"/>
        </w:rPr>
        <w:t xml:space="preserve">3.2.1 Geographic distribution</w:t>
      </w:r>
    </w:p>
    <w:p>
      <w:pPr>
        <w:spacing w:before="120" w:after="120" w:line="480"/>
        <w:jc w:val="left"/>
      </w:pPr>
      <w:r>
        <w:rPr>
          <w:rFonts w:ascii="Arial" w:cs="Arial" w:eastAsia="Arial" w:hAnsi="Arial"/>
          <w:sz w:val="24"/>
          <w:szCs w:val="24"/>
        </w:rPr>
        <w:t xml:space="preserve">The 28 included studies originated from 16 countries or country combinations (Fig. 3). After disaggregation of multi-country collaborations, China contributed the largest share (n = 7), followed by Italy and the USA (n = 4 each) and South Korea (n = 3). These four countries collectively accounted for approximately 64% of all included studies. Regionally, Asian institutions produced the largest output (n = 13), followed by European institutions (n = 12) and institutions from the Americas (n = 9). No studies originated from South Asia, Sub-Saharan Africa, or Southeast Asia — the regions hosting the largest ruminant populations globally (FAO, 2023). This geographic concentration has direct implications for the generalisability of published systems to the production conditions, breeds, and welfare challenges of low- and middle-income countries.</w:t>
      </w:r>
    </w:p>
    <w:p>
      <w:pPr>
        <w:pStyle w:val="Heading3"/>
        <w:spacing w:before="160" w:after="80" w:line="480"/>
      </w:pPr>
      <w:r>
        <w:rPr>
          <w:rFonts w:ascii="Arial" w:cs="Arial" w:eastAsia="Arial" w:hAnsi="Arial"/>
          <w:i/>
          <w:iCs/>
          <w:sz w:val="24"/>
          <w:szCs w:val="24"/>
        </w:rPr>
        <w:t xml:space="preserve">3.2.2 Species distribution</w:t>
      </w:r>
    </w:p>
    <w:p>
      <w:pPr>
        <w:spacing w:before="120" w:after="120" w:line="480"/>
        <w:jc w:val="left"/>
      </w:pPr>
      <w:r>
        <w:rPr>
          <w:rFonts w:ascii="Arial" w:cs="Arial" w:eastAsia="Arial" w:hAnsi="Arial"/>
          <w:sz w:val="24"/>
          <w:szCs w:val="24"/>
        </w:rPr>
        <w:t xml:space="preserve">Cattle were the dominant subject species, featured in 20 of 28 studies (71%; Fig. 2). Sheep and lambs collectively accounted for six studies (21%), goats for one study (4%), and one study examined a mixed cattle-and-pig setting. Small ruminants — sheep and goats combined — were represented in seven studies (25%), substantially below their global welfare significance given that sheep and goats number approximately two billion animals worldwide (FAO, 2023). The majority of studies were conducted in barn or indoor settings (n = 19, 68%). Three studies (11%) were conducted in outdoor or pasture settings.</w:t>
      </w:r>
    </w:p>
    <w:p>
      <w:pPr>
        <w:pStyle w:val="Heading2"/>
        <w:spacing w:before="200" w:after="100" w:line="480"/>
      </w:pPr>
      <w:r>
        <w:rPr>
          <w:rFonts w:ascii="Arial" w:cs="Arial" w:eastAsia="Arial" w:hAnsi="Arial"/>
          <w:b/>
          <w:bCs/>
          <w:sz w:val="24"/>
          <w:szCs w:val="24"/>
        </w:rPr>
        <w:t xml:space="preserve">3.3 AI modelling approaches and their welfare monitoring applications</w:t>
      </w:r>
    </w:p>
    <w:p>
      <w:pPr>
        <w:spacing w:before="120" w:after="120" w:line="480"/>
        <w:jc w:val="left"/>
      </w:pPr>
      <w:r>
        <w:rPr>
          <w:rFonts w:ascii="Arial" w:cs="Arial" w:eastAsia="Arial" w:hAnsi="Arial"/>
          <w:sz w:val="24"/>
          <w:szCs w:val="24"/>
        </w:rPr>
        <w:t xml:space="preserve">Deep learning was the dominant modelling approach, employed in 24 of 28 studies (86%; Fig. 4). Hybrid approaches were identified in four studies (14%), classical machine learning in three (11%), and traditional computer vision without a learning component in one. Cross-tabulation against publication period (Fig. 8) revealed a clear trajectory from classical machine learning and rule-based methods before 2020 (n = 2) toward near-exclusive deep learning adoption in the 2023–2025 period (n = 21).</w:t>
      </w:r>
    </w:p>
    <w:p>
      <w:pPr>
        <w:spacing w:before="120" w:after="120" w:line="480"/>
        <w:jc w:val="left"/>
      </w:pPr>
      <w:r>
        <w:rPr>
          <w:rFonts w:ascii="Arial" w:cs="Arial" w:eastAsia="Arial" w:hAnsi="Arial"/>
          <w:sz w:val="24"/>
          <w:szCs w:val="24"/>
        </w:rPr>
        <w:t xml:space="preserve">Real-time object detection architectures were the most frequently applied model class, identified in 13 of 28 studies (46%); these were used primarily for discrete behaviour localisation, postural classification, and activity detection in barn environments with fixed camera positions. Convolutional networks with pretrained transfer learning backbones were identified in four studies (14%), applied to classification tasks including feeding behaviour scoring and body condition estimation. Pose estimation, optical flow methods, and recurrent neural network approaches each appeared in one study. The welfare outcomes addressed by each model class are characterised in Table 3.</w:t>
      </w:r>
    </w:p>
    <w:p>
      <w:pPr>
        <w:spacing w:before="120" w:after="120" w:line="480"/>
        <w:jc w:val="left"/>
      </w:pPr>
      <w:r>
        <w:rPr>
          <w:rFonts w:ascii="Arial" w:cs="Arial" w:eastAsia="Arial" w:hAnsi="Arial"/>
          <w:sz w:val="24"/>
          <w:szCs w:val="24"/>
        </w:rPr>
        <w:t xml:space="preserve">All included studies relied on standard RGB imaging as the primary or sole visual modality (Fig. 7). No study used thermal, depth, or hyperspectral imaging as a primary input — modalities that are directly relevant to health-domain welfare indicators including body surface temperature elevation and three-dimensional gait parameters.</w:t>
      </w:r>
    </w:p>
    <w:p>
      <w:pPr>
        <w:pStyle w:val="Heading2"/>
        <w:spacing w:before="200" w:after="100" w:line="480"/>
      </w:pPr>
      <w:r>
        <w:rPr>
          <w:rFonts w:ascii="Arial" w:cs="Arial" w:eastAsia="Arial" w:hAnsi="Arial"/>
          <w:b/>
          <w:bCs/>
          <w:sz w:val="24"/>
          <w:szCs w:val="24"/>
        </w:rPr>
        <w:t xml:space="preserve">3.4 Welfare outcome coverage and Five Domains alignment</w:t>
      </w:r>
    </w:p>
    <w:p>
      <w:pPr>
        <w:spacing w:before="120" w:after="120" w:line="480"/>
        <w:jc w:val="left"/>
      </w:pPr>
      <w:r>
        <w:rPr>
          <w:rFonts w:ascii="Arial" w:cs="Arial" w:eastAsia="Arial" w:hAnsi="Arial"/>
          <w:sz w:val="24"/>
          <w:szCs w:val="24"/>
        </w:rPr>
        <w:t xml:space="preserve">Welfare outcomes were mapped against the Five Domains Model (Mellor, 2017) to characterise domain-level evidence coverage. The mapping, summarised in Table 3, reveals a field concentrated in a single welfare domain while leaving the majority of the Five Domains framework unaddressed.</w:t>
      </w:r>
    </w:p>
    <w:p>
      <w:pPr>
        <w:spacing w:before="120" w:after="120" w:line="480"/>
        <w:jc w:val="left"/>
      </w:pPr>
      <w:r>
        <w:rPr>
          <w:rFonts w:ascii="Arial" w:cs="Arial" w:eastAsia="Arial" w:hAnsi="Arial"/>
          <w:sz w:val="24"/>
          <w:szCs w:val="24"/>
        </w:rPr>
        <w:t xml:space="preserve">The Behavioural Interactions domain was the only domain with substantial representation. Behavioural measures were the primary welfare outcome in 26 of 28 studies (93%). Activity patterns were captured in 15 studies (54%), postural and lying/standing behaviour in 11 (39%), feeding and rumination behaviour in six (21%), and social behaviour in five (18%). Although feeding and rumination monitoring is relevant to the Nutrition domain, these studies characterised behaviour rather than nutritional adequacy or access to feed and water, and are classified under Behavioural Interactions accordingly.</w:t>
      </w:r>
    </w:p>
    <w:p>
      <w:pPr>
        <w:spacing w:before="120" w:after="120" w:line="480"/>
        <w:jc w:val="left"/>
      </w:pPr>
      <w:r>
        <w:rPr>
          <w:rFonts w:ascii="Arial" w:cs="Arial" w:eastAsia="Arial" w:hAnsi="Arial"/>
          <w:sz w:val="24"/>
          <w:szCs w:val="24"/>
        </w:rPr>
        <w:t xml:space="preserve">Coverage of the Health domain was severely limited. Lameness appeared as a primary outcome in one study (Wang et al., 2024b; Dhaliwal et al., 2025) and disease detection in one further study. Body condition score trajectory, wound assessment, injury scoring, and other health-domain indicators appeared as primary outcomes in no included study. The near-complete absence of health-domain monitoring is particularly consequential given that lameness prevalence in dairy cattle commonly exceeds 20% and represents one of the most economically and welfare-significant conditions in ruminant production systems.</w:t>
      </w:r>
    </w:p>
    <w:p>
      <w:pPr>
        <w:spacing w:before="120" w:after="120" w:line="480"/>
        <w:jc w:val="left"/>
      </w:pPr>
      <w:r>
        <w:rPr>
          <w:rFonts w:ascii="Arial" w:cs="Arial" w:eastAsia="Arial" w:hAnsi="Arial"/>
          <w:sz w:val="24"/>
          <w:szCs w:val="24"/>
        </w:rPr>
        <w:t xml:space="preserve">Coverage of the Mental State domain was minimal. Stress-related behavioural indicators were addressed in three studies (11%). No study explicitly measured pain indicators, affective state, fear responses, or positive welfare states as primary outcomes. This is despite the existence of validated, camera-applicable assessment tools: facial action unit coding systems for cattle (Theurer et al., 2012; Patel and Neethirajan, 2025) and sheep (Broome et al., 2023) provide evidence-based frameworks for non-invasive pain scoring from video data. Their complete absence from the included literature is the most significant welfare-scientific gap identified by this review.</w:t>
      </w:r>
    </w:p>
    <w:p>
      <w:pPr>
        <w:spacing w:before="120" w:after="120" w:line="480"/>
        <w:jc w:val="left"/>
      </w:pPr>
      <w:r>
        <w:rPr>
          <w:rFonts w:ascii="Arial" w:cs="Arial" w:eastAsia="Arial" w:hAnsi="Arial"/>
          <w:sz w:val="24"/>
          <w:szCs w:val="24"/>
        </w:rPr>
        <w:t xml:space="preserve">The Nutrition and Physical Environment domains received no direct representation as primary outcome categories in any included study.</w:t>
      </w:r>
    </w:p>
    <w:p>
      <w:pPr>
        <w:pStyle w:val="Heading2"/>
        <w:spacing w:before="200" w:after="100" w:line="480"/>
      </w:pPr>
      <w:r>
        <w:rPr>
          <w:rFonts w:ascii="Arial" w:cs="Arial" w:eastAsia="Arial" w:hAnsi="Arial"/>
          <w:b/>
          <w:bCs/>
          <w:sz w:val="24"/>
          <w:szCs w:val="24"/>
        </w:rPr>
        <w:t xml:space="preserve">3.5 Primary study focus and research aims</w:t>
      </w:r>
    </w:p>
    <w:p>
      <w:pPr>
        <w:spacing w:before="120" w:after="120" w:line="480"/>
        <w:jc w:val="left"/>
      </w:pPr>
      <w:r>
        <w:rPr>
          <w:rFonts w:ascii="Arial" w:cs="Arial" w:eastAsia="Arial" w:hAnsi="Arial"/>
          <w:sz w:val="24"/>
          <w:szCs w:val="24"/>
        </w:rPr>
        <w:t xml:space="preserve">Development of a new AI model was the dominant stated aim, reported in 25 of 28 studies (89%; Fig. 9). Validation of an existing system was an explicit aim in only six studies (21%), and dataset creation in three (11%). These categories were not mutually exclusive. Behaviour recognition and classification was the most common primary focus (n = 22, 79%; Fig. 5), followed by activity monitoring (n = 6, 21%), methodological or algorithmic innovation (n = 6, 21%), precision livestock management applications (n = 5, 18%), posture detection (n = 5, 18%), and hardware or device development (n = 4, 14%). Lameness detection (n = 1), disease detection (n = 1), and stress monitoring (n = 1) appeared in individual studies.</w:t>
      </w:r>
    </w:p>
    <w:p>
      <w:pPr>
        <w:pStyle w:val="Heading2"/>
        <w:spacing w:before="200" w:after="100" w:line="480"/>
      </w:pPr>
      <w:r>
        <w:rPr>
          <w:rFonts w:ascii="Arial" w:cs="Arial" w:eastAsia="Arial" w:hAnsi="Arial"/>
          <w:b/>
          <w:bCs/>
          <w:sz w:val="24"/>
          <w:szCs w:val="24"/>
        </w:rPr>
        <w:t xml:space="preserve">3.6 Deployment context and practical usability</w:t>
      </w:r>
    </w:p>
    <w:p>
      <w:pPr>
        <w:spacing w:before="120" w:after="120" w:line="480"/>
        <w:jc w:val="left"/>
      </w:pPr>
      <w:r>
        <w:rPr>
          <w:rFonts w:ascii="Arial" w:cs="Arial" w:eastAsia="Arial" w:hAnsi="Arial"/>
          <w:sz w:val="24"/>
          <w:szCs w:val="24"/>
        </w:rPr>
        <w:t xml:space="preserve">Real-time processing capability was reported in 11 studies (39%), with near-real-time performance in a further four studies (14%), yielding 15 studies (54%) with some demonstrated form of real-time capability. Offline or batch processing was identified in six studies (21%); three studies (11%) did not clearly report processing characteristics. Cross-tabulation of sample setting against practical usability (Fig. 10) showed that real-time capable systems were concentrated exclusively in barn or indoor environments; no outdoor or pasture-deployed system reported real-time performance. Edge computing deployment was identified in three studies (Debauche et al., 2020; Smink et al., 2024; Mahato and Neethirajan, 2025).</w:t>
      </w:r>
    </w:p>
    <w:p>
      <w:pPr>
        <w:spacing w:before="120" w:after="120" w:line="480"/>
        <w:jc w:val="left"/>
      </w:pPr>
      <w:r>
        <w:rPr>
          <w:rFonts w:ascii="Arial" w:cs="Arial" w:eastAsia="Arial" w:hAnsi="Arial"/>
          <w:sz w:val="24"/>
          <w:szCs w:val="24"/>
        </w:rPr>
        <w:t xml:space="preserve">Software reproducibility was limited: four studies (14%) released open-source code; 15 studies (54%) provided non-shared custom code only; four studies (14%) did not specify software availability. Regarding validation design, 18 studies (64%) relied exclusively on internal train/test splits; external validation on an independent dataset was reported in six studies (21%); one study employed leave-one-animal-out cross-validation.</w:t>
      </w:r>
    </w:p>
    <w:p>
      <w:pPr>
        <w:pStyle w:val="Heading2"/>
        <w:spacing w:before="200" w:after="100" w:line="480"/>
      </w:pPr>
      <w:r>
        <w:rPr>
          <w:rFonts w:ascii="Arial" w:cs="Arial" w:eastAsia="Arial" w:hAnsi="Arial"/>
          <w:b/>
          <w:bCs/>
          <w:sz w:val="24"/>
          <w:szCs w:val="24"/>
        </w:rPr>
        <w:t xml:space="preserve">3.7 Performance metric reporting</w:t>
      </w:r>
    </w:p>
    <w:p>
      <w:pPr>
        <w:spacing w:before="120" w:after="120" w:line="480"/>
        <w:jc w:val="left"/>
      </w:pPr>
      <w:r>
        <w:rPr>
          <w:rFonts w:ascii="Arial" w:cs="Arial" w:eastAsia="Arial" w:hAnsi="Arial"/>
          <w:sz w:val="24"/>
          <w:szCs w:val="24"/>
        </w:rPr>
        <w:t xml:space="preserve">Performance metric reporting was characterised by marked heterogeneity across the included literature. Precision was the most frequently reported primary metric (n = 10, 36%), followed by Accuracy (n = 8, 29%), Recall (n = 8, 29%), and F1-score (n = 4, 14%). Mean Average Precision was used in multiple variants across object detection studies. Additional metrics including AUC, Jaccard Index, Object Keypoint Similarity, and Pearson correlation coefficient each appeared in individual studies. No two included studies used an identical evaluation protocol.</w:t>
      </w:r>
    </w:p>
    <w:p>
      <w:pPr>
        <w:spacing w:before="120" w:after="120" w:line="480"/>
        <w:jc w:val="left"/>
      </w:pPr>
      <w:r>
        <w:rPr>
          <w:rFonts w:ascii="Arial" w:cs="Arial" w:eastAsia="Arial" w:hAnsi="Arial"/>
          <w:sz w:val="24"/>
          <w:szCs w:val="24"/>
        </w:rPr>
        <w:t xml:space="preserve">Among the 20 studies (71% of the corpus) reporting a quantifiable best performance value, reported metrics ranged from 81.0% to 100.0%, with a mean of 95.4%. Of these 20 studies, 18 (90%) reported a best metric value exceeding 90%. These figures require careful qualification. The 95.4% mean is derived from 71% of the corpus and should not be interpreted as the field’s representative performance. All best performance values refer to the highest metric achieved on each study’s own internal evaluation dataset — the most optimistic evaluation condition available. Precision — the most frequently reported metric — does not penalise for missed detections, meaning a system can achieve high Precision while failing to identify a substantial proportion of welfare-relevant events. A mean error rate of approximately 4.6% in a herd of 500 animals implies approximately 23 animals potentially misclassified per monitoring cycle, a welfare gap that is undetectable when only headline performance figures are reported without denominator context.</w:t>
      </w:r>
    </w:p>
    <w:p>
      <w:pPr>
        <w:spacing w:before="0" w:after="0"/>
      </w:pPr>
      <w:r>
        <w:br w:type="page"/>
      </w:r>
    </w:p>
    <w:p>
      <w:pPr>
        <w:pStyle w:val="Heading1"/>
        <w:spacing w:before="240" w:after="120" w:line="480"/>
      </w:pPr>
      <w:r>
        <w:rPr>
          <w:rFonts w:ascii="Arial" w:cs="Arial" w:eastAsia="Arial" w:hAnsi="Arial"/>
          <w:b/>
          <w:bCs/>
          <w:sz w:val="28"/>
          <w:szCs w:val="28"/>
        </w:rPr>
        <w:t xml:space="preserve">4. Discussion</w:t>
      </w:r>
    </w:p>
    <w:p>
      <w:pPr>
        <w:spacing w:before="120" w:after="120" w:line="480"/>
        <w:jc w:val="left"/>
      </w:pPr>
      <w:r>
        <w:rPr>
          <w:rFonts w:ascii="Arial" w:cs="Arial" w:eastAsia="Arial" w:hAnsi="Arial"/>
          <w:sz w:val="24"/>
          <w:szCs w:val="24"/>
        </w:rPr>
        <w:t xml:space="preserve">The central finding of this review is that computer vision welfare monitoring research in farmed ruminants has advanced technically while remaining scientifically immature from a welfare standpoint. The literature is not yet a basis for evidence-based welfare assurance: it characterises what animals do in a limited set of behavioural categories, largely under controlled barn conditions, but does not assess whether those animals are free from pain, disease, fear, or nutritional deprivation. A field that produces 25 new model architectures for every independent external validation study is advancing technical performance metrics, not animal welfare outcomes.</w:t>
      </w:r>
    </w:p>
    <w:p>
      <w:pPr>
        <w:pStyle w:val="Heading2"/>
        <w:spacing w:before="200" w:after="100" w:line="480"/>
      </w:pPr>
      <w:r>
        <w:rPr>
          <w:rFonts w:ascii="Arial" w:cs="Arial" w:eastAsia="Arial" w:hAnsi="Arial"/>
          <w:b/>
          <w:bCs/>
          <w:sz w:val="24"/>
          <w:szCs w:val="24"/>
        </w:rPr>
        <w:t xml:space="preserve">4.1 Welfare framework alignment: the primary evidence gap</w:t>
      </w:r>
    </w:p>
    <w:p>
      <w:pPr>
        <w:spacing w:before="120" w:after="120" w:line="480"/>
        <w:jc w:val="left"/>
      </w:pPr>
      <w:r>
        <w:rPr>
          <w:rFonts w:ascii="Arial" w:cs="Arial" w:eastAsia="Arial" w:hAnsi="Arial"/>
          <w:sz w:val="24"/>
          <w:szCs w:val="24"/>
        </w:rPr>
        <w:t xml:space="preserve">The systematic misalignment between what current CV systems measure and what welfare science identifies as important is the most consequential finding of this review. The Five Domains Model (Mellor, 2017) assigns equal importance to nutrition, physical environment, health, behavioural interactions, and mental state. Of these five domains, only behavioural interactions are represented in the literature with any depth. Health-domain indicators appear in two isolated studies; the Physical Environment and Nutrition domains are absent entirely as primary welfare outcomes; and the Mental State domain — most directly associated with subjective experience and suffering — is addressed only partially through stress-related behaviour in three studies, with pain and affective state entirely unaddressed (Table 3).</w:t>
      </w:r>
    </w:p>
    <w:p>
      <w:pPr>
        <w:spacing w:before="120" w:after="120" w:line="480"/>
        <w:jc w:val="left"/>
      </w:pPr>
      <w:r>
        <w:rPr>
          <w:rFonts w:ascii="Arial" w:cs="Arial" w:eastAsia="Arial" w:hAnsi="Arial"/>
          <w:sz w:val="24"/>
          <w:szCs w:val="24"/>
        </w:rPr>
        <w:t xml:space="preserve">The complete absence of pain assessment is the single most difficult finding to justify scientifically. Validated facial action unit coding systems for cattle (Patel and Neethirajan, 2025; Theurer et al., 2012) and sheep (Broome et al., 2023) already provide camera-applicable, evidence-based frameworks for non-invasive pain scoring. Their absence from the included literature therefore reflects a research priority failure rather than a technical barrier. Pain is a central welfare assessment criterion in regulatory frameworks, a driver of productivity loss in dairy cattle, and a condition for which continuous automated monitoring would have direct clinical utility.</w:t>
      </w:r>
    </w:p>
    <w:p>
      <w:pPr>
        <w:spacing w:before="120" w:after="120" w:line="480"/>
        <w:jc w:val="left"/>
      </w:pPr>
      <w:r>
        <w:rPr>
          <w:rFonts w:ascii="Arial" w:cs="Arial" w:eastAsia="Arial" w:hAnsi="Arial"/>
          <w:sz w:val="24"/>
          <w:szCs w:val="24"/>
        </w:rPr>
        <w:t xml:space="preserve">Affective state assessment — covering fear, frustration, chronic stress, and positive welfare experiences — is similarly absent. A CV welfare monitoring system that classifies lying, standing, and feeding behaviour but cannot detect chronic pain, disease onset, or compromised mental state does not provide comprehensive welfare assurance under any recognised framework (Mellor, 2017; Leeb et al., 2009). Body condition score assessment, already integrated into Welfare Quality® protocols and technically demonstrable from camera imagery, was similarly absent as a primary welfare outcome in any included study.</w:t>
      </w:r>
    </w:p>
    <w:p>
      <w:pPr>
        <w:pStyle w:val="Heading2"/>
        <w:spacing w:before="200" w:after="100" w:line="480"/>
      </w:pPr>
      <w:r>
        <w:rPr>
          <w:rFonts w:ascii="Arial" w:cs="Arial" w:eastAsia="Arial" w:hAnsi="Arial"/>
          <w:b/>
          <w:bCs/>
          <w:sz w:val="24"/>
          <w:szCs w:val="24"/>
        </w:rPr>
        <w:t xml:space="preserve">4.2 The translational gap: performance claims and deployability</w:t>
      </w:r>
    </w:p>
    <w:p>
      <w:pPr>
        <w:spacing w:before="120" w:after="120" w:line="480"/>
        <w:jc w:val="left"/>
      </w:pPr>
      <w:r>
        <w:rPr>
          <w:rFonts w:ascii="Arial" w:cs="Arial" w:eastAsia="Arial" w:hAnsi="Arial"/>
          <w:sz w:val="24"/>
          <w:szCs w:val="24"/>
        </w:rPr>
        <w:t xml:space="preserve">The translational distance between published performance figures and the evidence standard required for welfare assurance deployment is a second major finding. The mean best performance of 95.4% reported across 20 studies is drawn from internal test sets under the most optimistic evaluation conditions available. External validation on an independent dataset was reported in only six studies (21%), and multi-farm validation was rarer still. A CV system validated exclusively on Holstein dairy cows in a controlled barn cannot be assumed to perform equivalently on Angus beef cattle in an outdoor feedlot, Merino sheep in extensive rangeland conditions, or crossbred goats in smallholder farming contexts.</w:t>
      </w:r>
    </w:p>
    <w:p>
      <w:pPr>
        <w:spacing w:before="120" w:after="120" w:line="480"/>
        <w:jc w:val="left"/>
      </w:pPr>
      <w:r>
        <w:rPr>
          <w:rFonts w:ascii="Arial" w:cs="Arial" w:eastAsia="Arial" w:hAnsi="Arial"/>
          <w:sz w:val="24"/>
          <w:szCs w:val="24"/>
        </w:rPr>
        <w:t xml:space="preserve">The 89% versus 21% imbalance between novel model development and independent validation reflects structural features of the research system: publication incentive structures in both computer science and agricultural engineering reward novel architectures over replication. Welfare assurance tools require a level of evidence that the current literature does not provide: consistent external validation, reference-standard comparison (e.g., against Welfare Quality® protocol scores), and prospective performance monitoring under production conditions. Precision as the dominant reported metric (36% of studies) compounds the problem: a monitoring system optimised for Precision achieves high positive predictive value by detecting only confident cases, while missing early-stage disease, subclinical lameness, or pain onset. Mandatory Recall and F1-score reporting, alongside full confusion matrix disclosure, should be minimum publication standards for any study claiming welfare monitoring utility.</w:t>
      </w:r>
    </w:p>
    <w:p>
      <w:pPr>
        <w:pStyle w:val="Heading2"/>
        <w:spacing w:before="200" w:after="100" w:line="480"/>
      </w:pPr>
      <w:r>
        <w:rPr>
          <w:rFonts w:ascii="Arial" w:cs="Arial" w:eastAsia="Arial" w:hAnsi="Arial"/>
          <w:b/>
          <w:bCs/>
          <w:sz w:val="24"/>
          <w:szCs w:val="24"/>
        </w:rPr>
        <w:t xml:space="preserve">4.3 Species and geographic bias: implications for global welfare relevance</w:t>
      </w:r>
    </w:p>
    <w:p>
      <w:pPr>
        <w:spacing w:before="120" w:after="120" w:line="480"/>
        <w:jc w:val="left"/>
      </w:pPr>
      <w:r>
        <w:rPr>
          <w:rFonts w:ascii="Arial" w:cs="Arial" w:eastAsia="Arial" w:hAnsi="Arial"/>
          <w:sz w:val="24"/>
          <w:szCs w:val="24"/>
        </w:rPr>
        <w:t xml:space="preserve">The cattle-dominated literature (71% of studies) reflects alignment between research resource availability and commercial production value rather than global welfare need. The near-absence of sheep and goat research (seven combined studies, 25%) is disproportionate: welfare challenges specific to small ruminants — footrot, flystrike, dystocia, body condition deterioration in extensive systems — are prevalent, economically significant, and inadequately monitored under current commercial practice. The CV evidence base for these species is sparse and narrowly focused on behaviour and fear response rather than the health-domain conditions most relevant to welfare assurance.</w:t>
      </w:r>
    </w:p>
    <w:p>
      <w:pPr>
        <w:spacing w:before="120" w:after="120" w:line="480"/>
        <w:jc w:val="left"/>
      </w:pPr>
      <w:r>
        <w:rPr>
          <w:rFonts w:ascii="Arial" w:cs="Arial" w:eastAsia="Arial" w:hAnsi="Arial"/>
          <w:sz w:val="24"/>
          <w:szCs w:val="24"/>
        </w:rPr>
        <w:t xml:space="preserve">The geographic concentration of research in China, Italy, and the USA carries substantive implications for applicability. South Asia, Sub-Saharan Africa, and Southeast Asia — which collectively host the largest ruminant populations globally (FAO, 2023) — contributed no studies to this review. Developing CV welfare monitoring tools applicable to these contexts requires deliberate dataset development from diverse production environments and validation protocols that explicitly test generalisation across breed, climate, and management type.</w:t>
      </w:r>
    </w:p>
    <w:p>
      <w:pPr>
        <w:pStyle w:val="Heading2"/>
        <w:spacing w:before="200" w:after="100" w:line="480"/>
      </w:pPr>
      <w:r>
        <w:rPr>
          <w:rFonts w:ascii="Arial" w:cs="Arial" w:eastAsia="Arial" w:hAnsi="Arial"/>
          <w:b/>
          <w:bCs/>
          <w:sz w:val="24"/>
          <w:szCs w:val="24"/>
        </w:rPr>
        <w:t xml:space="preserve">4.4 Technical approach and welfare outcome capacity</w:t>
      </w:r>
    </w:p>
    <w:p>
      <w:pPr>
        <w:spacing w:before="120" w:after="120" w:line="480"/>
        <w:jc w:val="left"/>
      </w:pPr>
      <w:r>
        <w:rPr>
          <w:rFonts w:ascii="Arial" w:cs="Arial" w:eastAsia="Arial" w:hAnsi="Arial"/>
          <w:sz w:val="24"/>
          <w:szCs w:val="24"/>
        </w:rPr>
        <w:t xml:space="preserve">The near-universal adoption of object detection and classification approaches has shaped which welfare outcomes the field can address. These architectures perform well on discrete, visually unambiguous events such as lying or standing but are poorly suited to continuous welfare state estimation: tracking body condition score trajectory over weeks, quantifying chronic postural abnormalities indicative of pain, or detecting the subtle behavioural suppression characteristic of fear and chronic stress. Addressing the Health and Mental State domains requires temporal modelling, regression pipelines, and potentially multi-modal sensing incorporating thermal or depth imaging; none of these dominate the current literature. The complete reliance on standard RGB imaging is particularly limiting for health-domain monitoring: body surface temperature (measurable by thermal imaging) is a validated early indicator of inflammation, fever, and mastitis onset, and three-dimensional gait analysis (accessible through depth cameras) provides lameness scoring information that two-dimensional video cannot reliably extract.</w:t>
      </w:r>
    </w:p>
    <w:p>
      <w:pPr>
        <w:pStyle w:val="Heading2"/>
        <w:spacing w:before="200" w:after="100" w:line="480"/>
      </w:pPr>
      <w:r>
        <w:rPr>
          <w:rFonts w:ascii="Arial" w:cs="Arial" w:eastAsia="Arial" w:hAnsi="Arial"/>
          <w:b/>
          <w:bCs/>
          <w:sz w:val="24"/>
          <w:szCs w:val="24"/>
        </w:rPr>
        <w:t xml:space="preserve">4.5 Methodological standardisation as a precondition for evidence synthesis</w:t>
      </w:r>
    </w:p>
    <w:p>
      <w:pPr>
        <w:spacing w:before="120" w:after="120" w:line="480"/>
        <w:jc w:val="left"/>
      </w:pPr>
      <w:r>
        <w:rPr>
          <w:rFonts w:ascii="Arial" w:cs="Arial" w:eastAsia="Arial" w:hAnsi="Arial"/>
          <w:sz w:val="24"/>
          <w:szCs w:val="24"/>
        </w:rPr>
        <w:t xml:space="preserve">The heterogeneity of performance metrics across included studies means that cross-study comparison is currently impossible and prevents the field from determining which approach to CV welfare monitoring provides sufficient reliability for deployment as a welfare assurance tool. Closing this gap requires three coordinated actions. First, metric standardisation: F1-score, Recall, and full confusion matrix reporting should be mandatory for studies claiming welfare monitoring utility, alongside pre-specified performance thresholds referenced against a recognised welfare assessment standard. Second, open data: without publicly available annotated benchmark datasets, independent replication of reported performance figures is not possible. Third, validation design standards: cross-farm, cross-breed, and cross-environment validation should be minimum requirements for deployment-facing studies, including prospective performance monitoring under commercial production conditions.</w:t>
      </w:r>
    </w:p>
    <w:p>
      <w:pPr>
        <w:spacing w:before="120" w:after="120" w:line="480"/>
        <w:jc w:val="left"/>
      </w:pPr>
      <w:r>
        <w:rPr>
          <w:rFonts w:ascii="Arial" w:cs="Arial" w:eastAsia="Arial" w:hAnsi="Arial"/>
          <w:sz w:val="24"/>
          <w:szCs w:val="24"/>
        </w:rPr>
        <w:t xml:space="preserve">A specific research priority is proposed: the highest-value next study in this field would be a prospective, multi-farm external validation of a CV pain or lameness monitoring system in dairy cattle, evaluated against Welfare Quality® protocol scores as a reference standard, conducted across a minimum of three commercial farms with independent operator management. This design would simultaneously address the validation gap, the health-domain gap, and the deployment-readiness gap identified by this review.</w:t>
      </w:r>
    </w:p>
    <w:p>
      <w:pPr>
        <w:pStyle w:val="Heading2"/>
        <w:spacing w:before="200" w:after="100" w:line="480"/>
      </w:pPr>
      <w:r>
        <w:rPr>
          <w:rFonts w:ascii="Arial" w:cs="Arial" w:eastAsia="Arial" w:hAnsi="Arial"/>
          <w:b/>
          <w:bCs/>
          <w:sz w:val="24"/>
          <w:szCs w:val="24"/>
        </w:rPr>
        <w:t xml:space="preserve">4.6 Limitations</w:t>
      </w:r>
    </w:p>
    <w:p>
      <w:pPr>
        <w:spacing w:before="120" w:after="120" w:line="480"/>
        <w:jc w:val="left"/>
      </w:pPr>
      <w:r>
        <w:rPr>
          <w:rFonts w:ascii="Arial" w:cs="Arial" w:eastAsia="Arial" w:hAnsi="Arial"/>
          <w:sz w:val="24"/>
          <w:szCs w:val="24"/>
        </w:rPr>
        <w:t xml:space="preserve">This review is subject to several limitations. Publication bias is probable: studies reporting high performance or positive results are more readily indexed, and the reported mean best performance of 95.4% (derived from 71% of the corpus) likely overestimates typical independently replicable performance. Inter-rater agreement at title/abstract screening was moderate as a proportionate statistic (73.9%), but the associated Cohen’s κ was low (0.186) due to the prevalence paradox inherent in systematic review screening, where a very low rate of include decisions (1.5%) inflates the proportion of agreement attributable to chance. At full-text stage, proportionate agreement was 61.5% with Cohen’s κ = 0.274 (fair agreement); all 20 disagreements were resolved by discussion. A formal concordance rate for the Covidence automated filtering of 218 records prior to human screening was not separately documented during the review and cannot be reported post hoc; this is acknowledged as a transparency limitation. The restriction to English-language publications may have introduced language-related bias; it is possible that relevant Chinese-language studies were excluded, though the dominant representation of Chinese institutions in the English-language literature suggests that key research groups are already publishing in English. One included study (Guzhva, 2018) is a doctoral thesis rather than a peer-reviewed journal article; its inclusion is acknowledged as a limitation of evidence quality for that entry. The operationalisation of welfare relevance as an inclusion criterion required judgement at borderline cases; 36 studies were excluded under this criterion, and a supplementary list of exclusion reasons is provided in Supplementary Table S2. As a scoping review, formal study-level quality appraisal was not conducted (Tricco et al., 2018). The recency of 75% of included studies means most have not yet been independently replicated. Finally, the review is restricted to farmed ruminants; complementary evidence mapping for pigs, poultry, and other livestock sectors would be necessary to characterise the CV welfare monitoring evidence base across farmed animal populations.</w:t>
      </w:r>
    </w:p>
    <w:p>
      <w:pPr>
        <w:spacing w:before="0" w:after="0"/>
      </w:pPr>
      <w:r>
        <w:br w:type="page"/>
      </w:r>
    </w:p>
    <w:p>
      <w:pPr>
        <w:pStyle w:val="Heading1"/>
        <w:spacing w:before="240" w:after="120" w:line="480"/>
      </w:pPr>
      <w:r>
        <w:rPr>
          <w:rFonts w:ascii="Arial" w:cs="Arial" w:eastAsia="Arial" w:hAnsi="Arial"/>
          <w:b/>
          <w:bCs/>
          <w:sz w:val="28"/>
          <w:szCs w:val="28"/>
        </w:rPr>
        <w:t xml:space="preserve">5. Conclusion</w:t>
      </w:r>
    </w:p>
    <w:p>
      <w:pPr>
        <w:spacing w:before="120" w:after="120" w:line="480"/>
        <w:jc w:val="left"/>
      </w:pPr>
      <w:r>
        <w:rPr>
          <w:rFonts w:ascii="Arial" w:cs="Arial" w:eastAsia="Arial" w:hAnsi="Arial"/>
          <w:sz w:val="24"/>
          <w:szCs w:val="24"/>
        </w:rPr>
        <w:t xml:space="preserve">This scoping review of 28 studies published between 2015 and 2025 documents a field that has advanced technically while failing to address the welfare science questions that justify its existence. Of the five domains of the Five Domains Model, only behavioural interactions are represented in the current literature with any depth; health-domain monitoring is present in two isolated studies; and pain, affective state, and environmental welfare indicators are absent from all 28 included studies. At the same time, 64% of studies validated models only on internal datasets, 14% released reproducible code, and no study has been validated across multiple commercial farms against a reference welfare assessment standard. Technical progress has outrun scientific credibility.</w:t>
      </w:r>
    </w:p>
    <w:p>
      <w:pPr>
        <w:spacing w:before="120" w:after="120" w:line="480"/>
        <w:jc w:val="left"/>
      </w:pPr>
      <w:r>
        <w:rPr>
          <w:rFonts w:ascii="Arial" w:cs="Arial" w:eastAsia="Arial" w:hAnsi="Arial"/>
          <w:sz w:val="24"/>
          <w:szCs w:val="24"/>
        </w:rPr>
        <w:t xml:space="preserve">The implication for practitioners and regulators is clear: no currently published CV welfare monitoring system for farmed ruminants has demonstrated the external validation required for deployment as a primary welfare assurance tool. Systems that have shown real-time performance on behaviour classification in controlled barn environments should be treated as candidates for prospective field evaluation, not as ready-to-deploy products. Deployment should be accompanied by systematic performance monitoring against pre-specified thresholds under the specific conditions of the target farm and species.</w:t>
      </w:r>
    </w:p>
    <w:p>
      <w:pPr>
        <w:spacing w:before="120" w:after="120" w:line="480"/>
        <w:jc w:val="left"/>
      </w:pPr>
      <w:r>
        <w:rPr>
          <w:rFonts w:ascii="Arial" w:cs="Arial" w:eastAsia="Arial" w:hAnsi="Arial"/>
          <w:sz w:val="24"/>
          <w:szCs w:val="24"/>
        </w:rPr>
        <w:t xml:space="preserve">The most important next step for the research community is not the development of a further novel architecture. It is the prospective, multi-farm validation of an existing system targeting pain or lameness in dairy cattle or small ruminants, evaluated against the Welfare Quality® protocol as a reference standard. Until welfare science drives the research question and commercial farm conditions define the validation design, this literature will continue to produce technically impressive but practically irrelevant results.</w:t>
      </w:r>
    </w:p>
    <w:p>
      <w:pPr>
        <w:spacing w:before="0" w:after="0"/>
      </w:pPr>
      <w:r>
        <w:br w:type="page"/>
      </w:r>
    </w:p>
    <w:p>
      <w:pPr>
        <w:pStyle w:val="Heading1"/>
        <w:spacing w:before="240" w:after="120" w:line="480"/>
      </w:pPr>
      <w:r>
        <w:rPr>
          <w:rFonts w:ascii="Arial" w:cs="Arial" w:eastAsia="Arial" w:hAnsi="Arial"/>
          <w:b/>
          <w:bCs/>
          <w:sz w:val="28"/>
          <w:szCs w:val="28"/>
        </w:rPr>
        <w:t xml:space="preserve">Ethics approval</w:t>
      </w:r>
    </w:p>
    <w:p>
      <w:pPr>
        <w:spacing w:before="120" w:after="120" w:line="480"/>
        <w:jc w:val="left"/>
      </w:pPr>
      <w:r>
        <w:rPr>
          <w:rFonts w:ascii="Arial" w:cs="Arial" w:eastAsia="Arial" w:hAnsi="Arial"/>
          <w:sz w:val="24"/>
          <w:szCs w:val="24"/>
        </w:rPr>
        <w:t xml:space="preserve">Not applicable. This study is a scoping review of published literature and did not involve the use of animals or human participants.</w:t>
      </w:r>
    </w:p>
    <w:p>
      <w:pPr>
        <w:spacing w:before="0" w:after="0" w:line="480"/>
      </w:pPr>
      <w:r>
        <w:t xml:space="preserve"/>
      </w:r>
    </w:p>
    <w:p>
      <w:pPr>
        <w:pStyle w:val="Heading1"/>
        <w:spacing w:before="240" w:after="120" w:line="480"/>
      </w:pPr>
      <w:r>
        <w:rPr>
          <w:rFonts w:ascii="Arial" w:cs="Arial" w:eastAsia="Arial" w:hAnsi="Arial"/>
          <w:b/>
          <w:bCs/>
          <w:sz w:val="28"/>
          <w:szCs w:val="28"/>
        </w:rPr>
        <w:t xml:space="preserve">Data and model availability statement</w:t>
      </w:r>
    </w:p>
    <w:p>
      <w:pPr>
        <w:spacing w:before="120" w:after="120" w:line="480"/>
        <w:jc w:val="left"/>
      </w:pPr>
      <w:r>
        <w:rPr>
          <w:rFonts w:ascii="Arial" w:cs="Arial" w:eastAsia="Arial" w:hAnsi="Arial"/>
          <w:sz w:val="24"/>
          <w:szCs w:val="24"/>
        </w:rPr>
        <w:t xml:space="preserve">The data extraction dataset generated during this scoping review is available from the corresponding author upon reasonable request. All analysis scripts (Python) used to generate figures and statistical summaries will be deposited in an open-access repository (OSF or equivalent) prior to acceptance; the repository DOI will be provided at proof stage. The Covidence systematic review project and full search strings are available upon request.</w:t>
      </w:r>
    </w:p>
    <w:p>
      <w:pPr>
        <w:spacing w:before="0" w:after="0" w:line="480"/>
      </w:pPr>
      <w:r>
        <w:t xml:space="preserve"/>
      </w:r>
    </w:p>
    <w:p>
      <w:pPr>
        <w:pStyle w:val="Heading1"/>
        <w:spacing w:before="240" w:after="120" w:line="480"/>
      </w:pPr>
      <w:r>
        <w:rPr>
          <w:rFonts w:ascii="Arial" w:cs="Arial" w:eastAsia="Arial" w:hAnsi="Arial"/>
          <w:b/>
          <w:bCs/>
          <w:sz w:val="28"/>
          <w:szCs w:val="28"/>
        </w:rPr>
        <w:t xml:space="preserve">Declaration of Generative AI and AI-assisted technologies in the writing process</w:t>
      </w:r>
    </w:p>
    <w:p>
      <w:pPr>
        <w:spacing w:before="120" w:after="120" w:line="480"/>
        <w:jc w:val="left"/>
      </w:pPr>
      <w:r>
        <w:rPr>
          <w:rFonts w:ascii="Arial" w:cs="Arial" w:eastAsia="Arial" w:hAnsi="Arial"/>
          <w:sz w:val="24"/>
          <w:szCs w:val="24"/>
        </w:rPr>
        <w:t xml:space="preserve">During the preparation of this work, the authors used Claude (Anthropic) to assist with language editing and refinement, Python scripting for data analysis and figure generation, and document formatting. After using this tool, the authors reviewed and edited all content as needed and take full responsibility for the content of the publication. All data interpretation, scientific conclusions, and welfare-science analysis are the sole work of the authors.</w:t>
      </w:r>
    </w:p>
    <w:p>
      <w:pPr>
        <w:spacing w:before="0" w:after="0" w:line="480"/>
      </w:pPr>
      <w:r>
        <w:t xml:space="preserve"/>
      </w:r>
    </w:p>
    <w:p>
      <w:pPr>
        <w:pStyle w:val="Heading1"/>
        <w:spacing w:before="240" w:after="120" w:line="480"/>
      </w:pPr>
      <w:r>
        <w:rPr>
          <w:rFonts w:ascii="Arial" w:cs="Arial" w:eastAsia="Arial" w:hAnsi="Arial"/>
          <w:b/>
          <w:bCs/>
          <w:sz w:val="28"/>
          <w:szCs w:val="28"/>
        </w:rPr>
        <w:t xml:space="preserve">Author ORCIDs</w:t>
      </w:r>
    </w:p>
    <w:p>
      <w:pPr>
        <w:spacing w:before="120" w:after="120" w:line="480"/>
        <w:jc w:val="left"/>
      </w:pPr>
      <w:r>
        <w:rPr>
          <w:rFonts w:ascii="Arial" w:cs="Arial" w:eastAsia="Arial" w:hAnsi="Arial"/>
          <w:sz w:val="24"/>
          <w:szCs w:val="24"/>
        </w:rPr>
        <w:t xml:space="preserve">[To be completed by all authors. Corresponding author ORCID is mandatory at submission.]</w:t>
      </w:r>
    </w:p>
    <w:p>
      <w:pPr>
        <w:spacing w:before="0" w:after="0" w:line="480"/>
      </w:pPr>
      <w:r>
        <w:t xml:space="preserve"/>
      </w:r>
    </w:p>
    <w:p>
      <w:pPr>
        <w:pStyle w:val="Heading1"/>
        <w:spacing w:before="240" w:after="120" w:line="480"/>
      </w:pPr>
      <w:r>
        <w:rPr>
          <w:rFonts w:ascii="Arial" w:cs="Arial" w:eastAsia="Arial" w:hAnsi="Arial"/>
          <w:b/>
          <w:bCs/>
          <w:sz w:val="28"/>
          <w:szCs w:val="28"/>
        </w:rPr>
        <w:t xml:space="preserve">Declaration of interest</w:t>
      </w:r>
    </w:p>
    <w:p>
      <w:pPr>
        <w:spacing w:before="120" w:after="120" w:line="480"/>
        <w:jc w:val="left"/>
      </w:pPr>
      <w:r>
        <w:rPr>
          <w:rFonts w:ascii="Arial" w:cs="Arial" w:eastAsia="Arial" w:hAnsi="Arial"/>
          <w:sz w:val="24"/>
          <w:szCs w:val="24"/>
        </w:rPr>
        <w:t xml:space="preserve">None.</w:t>
      </w:r>
    </w:p>
    <w:p>
      <w:pPr>
        <w:spacing w:before="0" w:after="0" w:line="480"/>
      </w:pPr>
      <w:r>
        <w:t xml:space="preserve"/>
      </w:r>
    </w:p>
    <w:p>
      <w:pPr>
        <w:pStyle w:val="Heading1"/>
        <w:spacing w:before="240" w:after="120" w:line="480"/>
      </w:pPr>
      <w:r>
        <w:rPr>
          <w:rFonts w:ascii="Arial" w:cs="Arial" w:eastAsia="Arial" w:hAnsi="Arial"/>
          <w:b/>
          <w:bCs/>
          <w:sz w:val="28"/>
          <w:szCs w:val="28"/>
        </w:rPr>
        <w:t xml:space="preserve">Acknowledgements</w:t>
      </w:r>
    </w:p>
    <w:p>
      <w:pPr>
        <w:spacing w:before="120" w:after="120" w:line="480"/>
        <w:jc w:val="left"/>
      </w:pPr>
      <w:r>
        <w:rPr>
          <w:rFonts w:ascii="Arial" w:cs="Arial" w:eastAsia="Arial" w:hAnsi="Arial"/>
          <w:sz w:val="24"/>
          <w:szCs w:val="24"/>
        </w:rPr>
        <w:t xml:space="preserve">None.</w:t>
      </w:r>
    </w:p>
    <w:p>
      <w:pPr>
        <w:spacing w:before="0" w:after="0" w:line="480"/>
      </w:pPr>
      <w:r>
        <w:t xml:space="preserve"/>
      </w:r>
    </w:p>
    <w:p>
      <w:pPr>
        <w:pStyle w:val="Heading1"/>
        <w:spacing w:before="240" w:after="120" w:line="480"/>
      </w:pPr>
      <w:r>
        <w:rPr>
          <w:rFonts w:ascii="Arial" w:cs="Arial" w:eastAsia="Arial" w:hAnsi="Arial"/>
          <w:b/>
          <w:bCs/>
          <w:sz w:val="28"/>
          <w:szCs w:val="28"/>
        </w:rPr>
        <w:t xml:space="preserve">Financial support statement</w:t>
      </w:r>
    </w:p>
    <w:p>
      <w:pPr>
        <w:spacing w:before="120" w:after="120" w:line="480"/>
        <w:jc w:val="left"/>
      </w:pPr>
      <w:r>
        <w:rPr>
          <w:rFonts w:ascii="Arial" w:cs="Arial" w:eastAsia="Arial" w:hAnsi="Arial"/>
          <w:sz w:val="24"/>
          <w:szCs w:val="24"/>
        </w:rPr>
        <w:t xml:space="preserve">This research received no specific grant from any funding agency, commercial or not-for-profit sector.</w:t>
      </w:r>
    </w:p>
    <w:p>
      <w:pPr>
        <w:spacing w:before="0" w:after="0"/>
      </w:pPr>
      <w:r>
        <w:br w:type="page"/>
      </w:r>
    </w:p>
    <w:p>
      <w:pPr>
        <w:pStyle w:val="Heading1"/>
        <w:spacing w:before="240" w:after="120" w:line="480"/>
      </w:pPr>
      <w:r>
        <w:rPr>
          <w:rFonts w:ascii="Arial" w:cs="Arial" w:eastAsia="Arial" w:hAnsi="Arial"/>
          <w:b/>
          <w:bCs/>
          <w:sz w:val="28"/>
          <w:szCs w:val="28"/>
        </w:rPr>
        <w:t xml:space="preserve">References</w:t>
      </w:r>
    </w:p>
    <w:p>
      <w:pPr>
        <w:spacing w:before="60" w:after="60" w:line="480"/>
        <w:jc w:val="left"/>
      </w:pPr>
      <w:r>
        <w:rPr>
          <w:rFonts w:ascii="Arial" w:cs="Arial" w:eastAsia="Arial" w:hAnsi="Arial"/>
          <w:sz w:val="24"/>
          <w:szCs w:val="24"/>
        </w:rPr>
        <w:t xml:space="preserve">Ahmed, M., Cao, H., Perea, A., Bakir, M., Chen, H., Utsumi, S., 2025. YOLOv8-BS: An integrated method for identifying stationary and moving behaviors of cattle with a newly developed dataset. Smart Agricultural Technology 12, 101153. https://doi.org/10.1016/j.atech.2025.101153</w:t>
      </w:r>
    </w:p>
    <w:p>
      <w:pPr>
        <w:spacing w:before="60" w:after="60" w:line="480"/>
        <w:jc w:val="left"/>
      </w:pPr>
      <w:r>
        <w:rPr>
          <w:rFonts w:ascii="Arial" w:cs="Arial" w:eastAsia="Arial" w:hAnsi="Arial"/>
          <w:sz w:val="24"/>
          <w:szCs w:val="24"/>
        </w:rPr>
        <w:t xml:space="preserve">Arksey, H., O’Malley, L., 2005. Scoping studies: towards a methodological framework. International Journal of Social Research Methodology 8, 19–32. https://doi.org/10.1080/1364557032000119616</w:t>
      </w:r>
    </w:p>
    <w:p>
      <w:pPr>
        <w:spacing w:before="60" w:after="60" w:line="480"/>
        <w:jc w:val="left"/>
      </w:pPr>
      <w:r>
        <w:rPr>
          <w:rFonts w:ascii="Arial" w:cs="Arial" w:eastAsia="Arial" w:hAnsi="Arial"/>
          <w:sz w:val="24"/>
          <w:szCs w:val="24"/>
        </w:rPr>
        <w:t xml:space="preserve">Bati, C., Ser, G., 2023. SHEEPFEARNET: Sheep fear test behaviors classification approach from video data based on optical flow and convolutional neural networks. Computers and Electronics in Agriculture 204, 107540. https://doi.org/10.1016/j.compag.2022.107540</w:t>
      </w:r>
    </w:p>
    <w:p>
      <w:pPr>
        <w:spacing w:before="60" w:after="60" w:line="480"/>
        <w:jc w:val="left"/>
      </w:pPr>
      <w:r>
        <w:rPr>
          <w:rFonts w:ascii="Arial" w:cs="Arial" w:eastAsia="Arial" w:hAnsi="Arial"/>
          <w:sz w:val="24"/>
          <w:szCs w:val="24"/>
        </w:rPr>
        <w:t xml:space="preserve">Benjamin, M., Yik, S., 2019. Precision livestock farming in swine welfare: a review for swine practitioners. Animals 9, 133. https://doi.org/10.3390/ani9040133</w:t>
      </w:r>
    </w:p>
    <w:p>
      <w:pPr>
        <w:spacing w:before="60" w:after="60" w:line="480"/>
        <w:jc w:val="left"/>
      </w:pPr>
      <w:r>
        <w:rPr>
          <w:rFonts w:ascii="Arial" w:cs="Arial" w:eastAsia="Arial" w:hAnsi="Arial"/>
          <w:sz w:val="24"/>
          <w:szCs w:val="24"/>
        </w:rPr>
        <w:t xml:space="preserve">Berckmans, D., 2017. General introduction to precision livestock farming. Animal Frontiers 7, 6–11. https://doi.org/10.2527/af.2017.0102</w:t>
      </w:r>
    </w:p>
    <w:p>
      <w:pPr>
        <w:spacing w:before="60" w:after="60" w:line="480"/>
        <w:jc w:val="left"/>
      </w:pPr>
      <w:r>
        <w:rPr>
          <w:rFonts w:ascii="Arial" w:cs="Arial" w:eastAsia="Arial" w:hAnsi="Arial"/>
          <w:sz w:val="24"/>
          <w:szCs w:val="24"/>
        </w:rPr>
        <w:t xml:space="preserve">Borges Oliveira, D.A., Ribeiro Pereira, L.G., Bresolin, T., Pontes Ferreira, R.E., Reboucas Dorea, J.R., 2021. A review of deep learning algorithms for computer vision systems in livestock. Livestock Science 253, 104700. https://doi.org/10.1016/j.livsci.2021.104700</w:t>
      </w:r>
    </w:p>
    <w:p>
      <w:pPr>
        <w:spacing w:before="60" w:after="60" w:line="480"/>
        <w:jc w:val="left"/>
      </w:pPr>
      <w:r>
        <w:rPr>
          <w:rFonts w:ascii="Arial" w:cs="Arial" w:eastAsia="Arial" w:hAnsi="Arial"/>
          <w:sz w:val="24"/>
          <w:szCs w:val="24"/>
        </w:rPr>
        <w:t xml:space="preserve">Broome, S., Feighelstein, M., Zamansky, A., Carreira Lencioni, G., Haubro Andersen, P., Pessanha, F., et al., 2023. Going deeper than tracking: a survey of computer-vision based recognition of animal pain and emotions. International Journal of Computer Vision 131, 572–590. https://doi.org/10.1007/s11263-022-01716-3</w:t>
      </w:r>
    </w:p>
    <w:p>
      <w:pPr>
        <w:spacing w:before="60" w:after="60" w:line="480"/>
        <w:jc w:val="left"/>
      </w:pPr>
      <w:r>
        <w:rPr>
          <w:rFonts w:ascii="Arial" w:cs="Arial" w:eastAsia="Arial" w:hAnsi="Arial"/>
          <w:sz w:val="24"/>
          <w:szCs w:val="24"/>
        </w:rPr>
        <w:t xml:space="preserve">Çakmakçı, C., Magalhães, D., Pacor, V., Almeida, D., Çakmakçı, Y., Dalga, S., et al., 2023. Discovering the hidden personality of lambs: harnessing the power of deep convolutional neural networks to predict temperament from facial images. Applied Animal Behaviour Science 267, 106060. https://doi.org/10.1016/j.applanim.2023.106060</w:t>
      </w:r>
    </w:p>
    <w:p>
      <w:pPr>
        <w:spacing w:before="60" w:after="60" w:line="480"/>
        <w:jc w:val="left"/>
      </w:pPr>
      <w:r>
        <w:rPr>
          <w:rFonts w:ascii="Arial" w:cs="Arial" w:eastAsia="Arial" w:hAnsi="Arial"/>
          <w:sz w:val="24"/>
          <w:szCs w:val="24"/>
        </w:rPr>
        <w:t xml:space="preserve">Council Directive 98/58/EC of 20 July 1998 concerning the protection of animals kept for farming purposes. Official Journal of the European Communities L 221, 23–27.</w:t>
      </w:r>
    </w:p>
    <w:p>
      <w:pPr>
        <w:spacing w:before="60" w:after="60" w:line="480"/>
        <w:jc w:val="left"/>
      </w:pPr>
      <w:r>
        <w:rPr>
          <w:rFonts w:ascii="Arial" w:cs="Arial" w:eastAsia="Arial" w:hAnsi="Arial"/>
          <w:sz w:val="24"/>
          <w:szCs w:val="24"/>
        </w:rPr>
        <w:t xml:space="preserve">Debauche, O., Mahmoudi, S., Mahmoudi, S.A., Manneback, P., Bindelle, J., Lebeau, F., 2020. Edge computing and artificial intelligence for real-time poultry monitoring. Procedia Computer Science 175, 534–541. https://doi.org/10.1016/j.procs.2020.07.076</w:t>
      </w:r>
    </w:p>
    <w:p>
      <w:pPr>
        <w:spacing w:before="60" w:after="60" w:line="480"/>
        <w:jc w:val="left"/>
      </w:pPr>
      <w:r>
        <w:rPr>
          <w:rFonts w:ascii="Arial" w:cs="Arial" w:eastAsia="Arial" w:hAnsi="Arial"/>
          <w:sz w:val="24"/>
          <w:szCs w:val="24"/>
        </w:rPr>
        <w:t xml:space="preserve">Dhaliwal, Y., Bi, H., Neethirajan, S., 2025. Bimodal data analysis for early detection of lameness in dairy cows using artificial intelligence. Journal of Agriculture and Food Research 21, 101837. https://doi.org/10.1016/j.jafr.2025.101837</w:t>
      </w:r>
    </w:p>
    <w:p>
      <w:pPr>
        <w:spacing w:before="60" w:after="60" w:line="480"/>
        <w:jc w:val="left"/>
      </w:pPr>
      <w:r>
        <w:rPr>
          <w:rFonts w:ascii="Arial" w:cs="Arial" w:eastAsia="Arial" w:hAnsi="Arial"/>
          <w:sz w:val="24"/>
          <w:szCs w:val="24"/>
        </w:rPr>
        <w:t xml:space="preserve">Dong, X., Zhang, Z., Liao, J., Chen, J., Zhang, S., Rao, Y., 2025. An improved YOLOv5 method for accurate recognition of grazing sheep activities. Journal of Animal Science 103, skaf084. https://doi.org/10.1093/jas/skaf084</w:t>
      </w:r>
    </w:p>
    <w:p>
      <w:pPr>
        <w:spacing w:before="60" w:after="60" w:line="480"/>
        <w:jc w:val="left"/>
      </w:pPr>
      <w:r>
        <w:rPr>
          <w:rFonts w:ascii="Arial" w:cs="Arial" w:eastAsia="Arial" w:hAnsi="Arial"/>
          <w:sz w:val="24"/>
          <w:szCs w:val="24"/>
        </w:rPr>
        <w:t xml:space="preserve">Edwards-Callaway, L., Loh, H.Y., Kautsky, C., Sullivan, P., 2025. A comparison of artificial intelligence and human observation in the assessment of cattle handling and slaughter. Animals 15. https://doi.org/10.3390/ani15091325</w:t>
      </w:r>
    </w:p>
    <w:p>
      <w:pPr>
        <w:spacing w:before="60" w:after="60" w:line="480"/>
        <w:jc w:val="left"/>
      </w:pPr>
      <w:r>
        <w:rPr>
          <w:rFonts w:ascii="Arial" w:cs="Arial" w:eastAsia="Arial" w:hAnsi="Arial"/>
          <w:sz w:val="24"/>
          <w:szCs w:val="24"/>
        </w:rPr>
        <w:t xml:space="preserve">FAO, 2023. World Food and Agriculture — Statistical Yearbook 2023. FAO, Rome, Italy. https://doi.org/10.4060/cc8166en</w:t>
      </w:r>
    </w:p>
    <w:p>
      <w:pPr>
        <w:spacing w:before="60" w:after="60" w:line="480" w:lineRule="auto"/>
      </w:pPr>
      <w:r>
        <w:rPr>
          <w:rFonts w:ascii="Arial" w:hAnsi="Arial" w:cs="Arial"/>
          <w:sz w:val="24"/>
          <w:szCs w:val="24"/>
        </w:rPr>
        <w:t xml:space="preserve">Feinstein, A.R., Cicchetti, D.V., 1990. High agreement but low kappa: I. The problems of two paradoxes. Journal of Clinical Epidemiology 43, 543–549. https://doi.org/10.1016/0895-4356(90)90158-L</w:t>
      </w:r>
    </w:p>
    <w:p>
      <w:pPr>
        <w:spacing w:before="60" w:after="60" w:line="480"/>
        <w:jc w:val="left"/>
      </w:pPr>
      <w:r>
        <w:rPr>
          <w:rFonts w:ascii="Arial" w:cs="Arial" w:eastAsia="Arial" w:hAnsi="Arial"/>
          <w:sz w:val="24"/>
          <w:szCs w:val="24"/>
        </w:rPr>
        <w:t xml:space="preserve">Fazzari, E., Ruiz-Garcia, L., Molina-Martinez, J.M., 2025. Animal behavior analysis methods using deep learning: a survey. Expert Systems with Applications 261, 125474. https://doi.org/10.1016/j.eswa.2024.125474</w:t>
      </w:r>
    </w:p>
    <w:p>
      <w:pPr>
        <w:spacing w:before="60" w:after="60" w:line="480"/>
        <w:jc w:val="left"/>
      </w:pPr>
      <w:r>
        <w:rPr>
          <w:rFonts w:ascii="Arial" w:cs="Arial" w:eastAsia="Arial" w:hAnsi="Arial"/>
          <w:sz w:val="24"/>
          <w:szCs w:val="24"/>
        </w:rPr>
        <w:t xml:space="preserve">Feighelstein, M., Luna, S.P., Silva, N.O., Trindade, P.E., Shimshoni, I., van der Linden, D., et al., 2025. Comparison between AI and human expert performance in acute pain assessment in sheep. Scientific Reports 15, 626. https://doi.org/10.1038/s41598-024-83950-y</w:t>
      </w:r>
    </w:p>
    <w:p>
      <w:pPr>
        <w:spacing w:before="60" w:after="60" w:line="480"/>
        <w:jc w:val="left"/>
      </w:pPr>
      <w:r>
        <w:rPr>
          <w:rFonts w:ascii="Arial" w:cs="Arial" w:eastAsia="Arial" w:hAnsi="Arial"/>
          <w:sz w:val="24"/>
          <w:szCs w:val="24"/>
        </w:rPr>
        <w:t xml:space="preserve">Fuentes, A., Yoon, S., Park, J., Park, D., 2020. Deep learning-based hierarchical cattle behavior recognition with spatio-temporal information. Computers and Electronics in Agriculture 177, 105627. https://doi.org/10.1016/j.compag.2020.105627</w:t>
      </w:r>
    </w:p>
    <w:p>
      <w:pPr>
        <w:spacing w:before="60" w:after="60" w:line="480"/>
        <w:jc w:val="left"/>
      </w:pPr>
      <w:r>
        <w:rPr>
          <w:rFonts w:ascii="Arial" w:cs="Arial" w:eastAsia="Arial" w:hAnsi="Arial"/>
          <w:sz w:val="24"/>
          <w:szCs w:val="24"/>
        </w:rPr>
        <w:t xml:space="preserve">Fuentes, A., Han, S., Nasir, M., Park, J., Yoon, S., Park, D., 2023. Multiview monitoring of individual cattle behavior based on action recognition in closed barns using deep learning. Animals 13. https://doi.org/10.3390/ani13122020</w:t>
      </w:r>
    </w:p>
    <w:p>
      <w:pPr>
        <w:spacing w:before="60" w:after="60" w:line="480"/>
        <w:jc w:val="left"/>
      </w:pPr>
      <w:r>
        <w:rPr>
          <w:rFonts w:ascii="Arial" w:cs="Arial" w:eastAsia="Arial" w:hAnsi="Arial"/>
          <w:sz w:val="24"/>
          <w:szCs w:val="24"/>
        </w:rPr>
        <w:t xml:space="preserve">González-Baldizón, Y., Perez, M., Camas-Anzueto, J., Rodríguez-Elias, O., Escobar-Gómez, E., Vázquez-Delgado, H., et al., 2022. Lamb behaviors analysis using a predictive CNN model and a single camera. Applied Sciences 12. https://doi.org/10.3390/app12094712</w:t>
      </w:r>
    </w:p>
    <w:p>
      <w:pPr>
        <w:spacing w:before="60" w:after="60" w:line="480"/>
        <w:jc w:val="left"/>
      </w:pPr>
      <w:r>
        <w:rPr>
          <w:rFonts w:ascii="Arial" w:cs="Arial" w:eastAsia="Arial" w:hAnsi="Arial"/>
          <w:sz w:val="24"/>
          <w:szCs w:val="24"/>
        </w:rPr>
        <w:t xml:space="preserve">Guo, Y., He, D., Chai, L., 2020. A machine vision-based method for monitoring scene-interactive behaviors of dairy calf. Animals 10, 190. https://doi.org/10.3390/ani10020190</w:t>
      </w:r>
    </w:p>
    <w:p>
      <w:pPr>
        <w:spacing w:before="60" w:after="60" w:line="480"/>
        <w:jc w:val="left"/>
      </w:pPr>
      <w:r>
        <w:rPr>
          <w:rFonts w:ascii="Arial" w:cs="Arial" w:eastAsia="Arial" w:hAnsi="Arial"/>
          <w:sz w:val="24"/>
          <w:szCs w:val="24"/>
        </w:rPr>
        <w:t xml:space="preserve">Guzhva, O., 2018. Computer vision algorithms as a modern tool for behavioural analysis in dairy cattle. Doctoral Thesis, Acta Universitatis Agriculturae Sueciae 2018:33. Swedish University of Agricultural Sciences, Alnarp, Sweden.</w:t>
      </w:r>
    </w:p>
    <w:p>
      <w:pPr>
        <w:spacing w:before="60" w:after="60" w:line="480"/>
        <w:jc w:val="left"/>
      </w:pPr>
      <w:r>
        <w:rPr>
          <w:rFonts w:ascii="Arial" w:cs="Arial" w:eastAsia="Arial" w:hAnsi="Arial"/>
          <w:sz w:val="24"/>
          <w:szCs w:val="24"/>
        </w:rPr>
        <w:t xml:space="preserve">Jahn, S., Schmidt, G., Bachmann, L., Louton, H., Homeier-Bachmann, T., Schütz, A., 2024. Individual behavior tracking of heifers by using object detection algorithm YOLOv4. Frontiers in Animal Science 5, 1499253. https://doi.org/10.3389/fanim.2024.1499253</w:t>
      </w:r>
    </w:p>
    <w:p>
      <w:pPr>
        <w:spacing w:before="60" w:after="60" w:line="480"/>
        <w:jc w:val="left"/>
      </w:pPr>
      <w:r>
        <w:rPr>
          <w:rFonts w:ascii="Arial" w:cs="Arial" w:eastAsia="Arial" w:hAnsi="Arial"/>
          <w:sz w:val="24"/>
          <w:szCs w:val="24"/>
        </w:rPr>
        <w:t xml:space="preserve">Jia, Q., Yang, J., Han, S., Du, Z., Liu, J., 2024. CAMLLA-YOLOv8n: cow behavior recognition based on improved YOLOv8n. Animals 14. https://doi.org/10.3390/ani14203033</w:t>
      </w:r>
    </w:p>
    <w:p>
      <w:pPr>
        <w:spacing w:before="60" w:after="60" w:line="480"/>
        <w:jc w:val="left"/>
      </w:pPr>
      <w:r>
        <w:rPr>
          <w:rFonts w:ascii="Arial" w:cs="Arial" w:eastAsia="Arial" w:hAnsi="Arial"/>
          <w:sz w:val="24"/>
          <w:szCs w:val="24"/>
        </w:rPr>
        <w:t xml:space="preserve">Khalil, H., Peters, M., Godfrey, C.M., McInerney, P., Soares, C.B., Parker, D., 2016. An evidence-based approach to scoping reviews. Worldviews on Evidence-Based Nursing 13, 118–123. https://doi.org/10.1111/wvn.12144</w:t>
      </w:r>
    </w:p>
    <w:p>
      <w:pPr>
        <w:spacing w:before="60" w:after="60" w:line="480" w:lineRule="auto"/>
      </w:pPr>
      <w:r>
        <w:rPr>
          <w:rFonts w:ascii="Arial" w:hAnsi="Arial" w:cs="Arial"/>
          <w:sz w:val="24"/>
          <w:szCs w:val="24"/>
        </w:rPr>
        <w:t xml:space="preserve">Landis, J.R., Koch, G.G., 1977. The measurement of observer agreement for categorical data. Biometrics 33, 159–174. https://doi.org/10.2307/2529310</w:t>
      </w:r>
    </w:p>
    <w:p>
      <w:pPr>
        <w:spacing w:before="60" w:after="60" w:line="480"/>
        <w:jc w:val="left"/>
      </w:pPr>
      <w:r>
        <w:rPr>
          <w:rFonts w:ascii="Arial" w:cs="Arial" w:eastAsia="Arial" w:hAnsi="Arial"/>
          <w:sz w:val="24"/>
          <w:szCs w:val="24"/>
        </w:rPr>
        <w:t xml:space="preserve">Koskela, O., Pereira, L., Pölönen, I., Aronen, I., Kunttu, I., 2022. Deep learning image recognition of cow behavior and an open data set acquired near an automatic milking robot. Agricultural and Food Science 31, 89–103. https://doi.org/10.23986/afsci.111665</w:t>
      </w:r>
    </w:p>
    <w:p>
      <w:pPr>
        <w:spacing w:before="60" w:after="60" w:line="480"/>
        <w:jc w:val="left"/>
      </w:pPr>
      <w:r>
        <w:rPr>
          <w:rFonts w:ascii="Arial" w:cs="Arial" w:eastAsia="Arial" w:hAnsi="Arial"/>
          <w:sz w:val="24"/>
          <w:szCs w:val="24"/>
        </w:rPr>
        <w:t xml:space="preserve">Leeb, C., Kovacs, L., Winckler, C., 2009. Assessment time of the Welfare Quality® protocol for dairy cattle on farm. Animal Welfare 18, 185–188.</w:t>
      </w:r>
    </w:p>
    <w:p>
      <w:pPr>
        <w:spacing w:before="60" w:after="60" w:line="480"/>
        <w:jc w:val="left"/>
      </w:pPr>
      <w:r>
        <w:rPr>
          <w:rFonts w:ascii="Arial" w:cs="Arial" w:eastAsia="Arial" w:hAnsi="Arial"/>
          <w:sz w:val="24"/>
          <w:szCs w:val="24"/>
        </w:rPr>
        <w:t xml:space="preserve">Leliveld, L., Brandolese, C., Grotto, M., Marinucci, A., Fossati, N., Lovarelli, D., et al., 2024. Real-time automatic integrated monitoring of barn environment and dairy cattle behaviour: technical implementation and evaluation on three commercial farms. Computers and Electronics in Agriculture 216, 108499. https://doi.org/10.1016/j.compag.2023.108499</w:t>
      </w:r>
    </w:p>
    <w:p>
      <w:pPr>
        <w:spacing w:before="60" w:after="60" w:line="480"/>
        <w:jc w:val="left"/>
      </w:pPr>
      <w:r>
        <w:rPr>
          <w:rFonts w:ascii="Arial" w:cs="Arial" w:eastAsia="Arial" w:hAnsi="Arial"/>
          <w:sz w:val="24"/>
          <w:szCs w:val="24"/>
        </w:rPr>
        <w:t xml:space="preserve">Li, J., Kang, F., Zhang, Y., Liu, Y., Yu, X., 2023. Research on tracking and identification of typical protective behavior of cows based on DeepLabCut. Applied Sciences 13. https://doi.org/10.3390/app13021141</w:t>
      </w:r>
    </w:p>
    <w:p>
      <w:pPr>
        <w:spacing w:before="60" w:after="60" w:line="480"/>
        <w:jc w:val="left"/>
      </w:pPr>
      <w:r>
        <w:rPr>
          <w:rFonts w:ascii="Arial" w:cs="Arial" w:eastAsia="Arial" w:hAnsi="Arial"/>
          <w:sz w:val="24"/>
          <w:szCs w:val="24"/>
        </w:rPr>
        <w:t xml:space="preserve">Mahato, S., Neethirajan, S., 2025. Dairy DigiD: an edge-cloud framework for real-time cattle biometrics and health classification. AI 6. https://doi.org/10.3390/ai6090196</w:t>
      </w:r>
    </w:p>
    <w:p>
      <w:pPr>
        <w:spacing w:before="60" w:after="60" w:line="480"/>
        <w:jc w:val="left"/>
      </w:pPr>
      <w:r>
        <w:rPr>
          <w:rFonts w:ascii="Arial" w:cs="Arial" w:eastAsia="Arial" w:hAnsi="Arial"/>
          <w:sz w:val="24"/>
          <w:szCs w:val="24"/>
        </w:rPr>
        <w:t xml:space="preserve">McVey, C., Hsieh, F., Manriquez, D., Pinedo, P., Horback, K., 2021. Livestock informatics toolkit: a case study in visually characterizing complex behavioral patterns across multiple sensor platforms using novel unsupervised machine learning. Sensors 22, 1. https://doi.org/10.3390/s22010001</w:t>
      </w:r>
    </w:p>
    <w:p>
      <w:pPr>
        <w:spacing w:before="60" w:after="60" w:line="480"/>
        <w:jc w:val="left"/>
      </w:pPr>
      <w:r>
        <w:rPr>
          <w:rFonts w:ascii="Arial" w:cs="Arial" w:eastAsia="Arial" w:hAnsi="Arial"/>
          <w:sz w:val="24"/>
          <w:szCs w:val="24"/>
        </w:rPr>
        <w:t xml:space="preserve">Mellor, D.J., 2017. Operational details of the Five Domains Model and its key applications to the assessment and management of animal welfare. Animals 7, 60. https://doi.org/10.3390/ani7080060</w:t>
      </w:r>
    </w:p>
    <w:p>
      <w:pPr>
        <w:spacing w:before="60" w:after="60" w:line="480"/>
        <w:jc w:val="left"/>
      </w:pPr>
      <w:r>
        <w:rPr>
          <w:rFonts w:ascii="Arial" w:cs="Arial" w:eastAsia="Arial" w:hAnsi="Arial"/>
          <w:sz w:val="24"/>
          <w:szCs w:val="24"/>
        </w:rPr>
        <w:t xml:space="preserve">Michielon, A., Litta, P., Bonelli, F., Don, G., Farisè, S., Giannuzzi, D., et al., 2024. Mind the step: an artificial intelligence-based monitoring platform for animal welfare. Sensors 24. https://doi.org/10.3390/s24248042</w:t>
      </w:r>
    </w:p>
    <w:p>
      <w:pPr>
        <w:spacing w:before="60" w:after="60" w:line="480"/>
        <w:jc w:val="left"/>
      </w:pPr>
      <w:r>
        <w:rPr>
          <w:rFonts w:ascii="Arial" w:cs="Arial" w:eastAsia="Arial" w:hAnsi="Arial"/>
          <w:sz w:val="24"/>
          <w:szCs w:val="24"/>
        </w:rPr>
        <w:t xml:space="preserve">Mu, Y., Hu, J., Wang, H., Li, S., Zhu, H., Luo, L., et al., 2024. Research on the behavior recognition of beef cattle based on the improved lightweight CBR-YOLO model based on YOLOv8 in multi-scene weather. Animals 14. https://doi.org/10.3390/ani14192800</w:t>
      </w:r>
    </w:p>
    <w:p>
      <w:pPr>
        <w:spacing w:before="60" w:after="60" w:line="480"/>
        <w:jc w:val="left"/>
      </w:pPr>
      <w:r>
        <w:rPr>
          <w:rFonts w:ascii="Arial" w:cs="Arial" w:eastAsia="Arial" w:hAnsi="Arial"/>
          <w:sz w:val="24"/>
          <w:szCs w:val="24"/>
        </w:rPr>
        <w:t xml:space="preserve">Negreiro, A., Bresolin, T., Ferreira, R., Dado-Senn, B., Van Os, J., Laporta, J., et al., 2025. Leveraging computer vision systems for monitoring hutch-housed dairy calves. Journal of Dairy Science. In press. https://doi.org/10.3168/jds.2024-25431</w:t>
      </w:r>
    </w:p>
    <w:p>
      <w:pPr>
        <w:spacing w:before="60" w:after="60" w:line="480"/>
        <w:jc w:val="left"/>
      </w:pPr>
      <w:r>
        <w:rPr>
          <w:rFonts w:ascii="Arial" w:cs="Arial" w:eastAsia="Arial" w:hAnsi="Arial"/>
          <w:sz w:val="24"/>
          <w:szCs w:val="24"/>
        </w:rPr>
        <w:t xml:space="preserve">Neethirajan, S., 2021. Digital livestock farming. Sensing and Bio-Sensing Research 32, 100408. https://doi.org/10.1016/j.sbsr.2021.100408</w:t>
      </w:r>
    </w:p>
    <w:p>
      <w:pPr>
        <w:spacing w:before="60" w:after="60" w:line="480"/>
        <w:jc w:val="left"/>
      </w:pPr>
      <w:r>
        <w:rPr>
          <w:rFonts w:ascii="Arial" w:cs="Arial" w:eastAsia="Arial" w:hAnsi="Arial"/>
          <w:sz w:val="24"/>
          <w:szCs w:val="24"/>
        </w:rPr>
        <w:t xml:space="preserve">Neupane, B., Bhattarai, U., McComb, S., et al., 2024. Transfer learning-driven cattle instance segmentation using deep learning. Computers and Electronics in Agriculture 220, 108875. https://doi.org/10.1016/j.compag.2024.108875</w:t>
      </w:r>
    </w:p>
    <w:p>
      <w:pPr>
        <w:spacing w:before="60" w:after="60" w:line="480"/>
        <w:jc w:val="left"/>
      </w:pPr>
      <w:r>
        <w:rPr>
          <w:rFonts w:ascii="Arial" w:cs="Arial" w:eastAsia="Arial" w:hAnsi="Arial"/>
          <w:sz w:val="24"/>
          <w:szCs w:val="24"/>
        </w:rPr>
        <w:t xml:space="preserve">Ozella, L., Magliola, A., Vernengo, S., Ghigo, M., Bartoli, F., Grangetto, M., et al., 2024. A computer vision approach for the automatic detection of social interactions of dairy cows in automatic milking systems. Acta IMEKO 13. https://doi.org/10.21014/actaimeko.v13i3.1628</w:t>
      </w:r>
    </w:p>
    <w:p>
      <w:pPr>
        <w:spacing w:before="60" w:after="60" w:line="480"/>
        <w:jc w:val="left"/>
      </w:pPr>
      <w:r>
        <w:rPr>
          <w:rFonts w:ascii="Arial" w:cs="Arial" w:eastAsia="Arial" w:hAnsi="Arial"/>
          <w:sz w:val="24"/>
          <w:szCs w:val="24"/>
        </w:rPr>
        <w:t xml:space="preserve">Patel, S., Neethirajan, S., 2025. CowPain Check: AI-based facial expression analysis for dairy cow welfare. Journal of Animal Science and Technology. https://doi.org/10.5187/jast.2500286</w:t>
      </w:r>
    </w:p>
    <w:p>
      <w:pPr>
        <w:spacing w:before="60" w:after="60" w:line="480"/>
        <w:jc w:val="left"/>
      </w:pPr>
      <w:r>
        <w:rPr>
          <w:rFonts w:ascii="Arial" w:cs="Arial" w:eastAsia="Arial" w:hAnsi="Arial"/>
          <w:sz w:val="24"/>
          <w:szCs w:val="24"/>
        </w:rPr>
        <w:t xml:space="preserve">Porto, S.M.C., Arcidiacono, C., Anguzza, U., Cascone, G., 2015. The automatic detection of dairy cow feeding and standing behaviours in free-stall barns by a computer vision-based system. Biosystems Engineering 133, 46–55. https://doi.org/10.1016/j.biosystemseng.2015.02.012</w:t>
      </w:r>
    </w:p>
    <w:p>
      <w:pPr>
        <w:spacing w:before="60" w:after="60" w:line="480"/>
        <w:jc w:val="left"/>
      </w:pPr>
      <w:r>
        <w:rPr>
          <w:rFonts w:ascii="Arial" w:cs="Arial" w:eastAsia="Arial" w:hAnsi="Arial"/>
          <w:sz w:val="24"/>
          <w:szCs w:val="24"/>
        </w:rPr>
        <w:t xml:space="preserve">Riekert, M., Klein, T., Adrion, F., Bennewitz, J., Nagel-Eiden, A., Briese, A., et al., 2020. Automatically detecting pig position and posture by 2D camera imaging and deep learning. Computers and Electronics in Agriculture 174, 105391. https://doi.org/10.1016/j.compag.2020.105391</w:t>
      </w:r>
    </w:p>
    <w:p>
      <w:pPr>
        <w:spacing w:before="60" w:after="60" w:line="480"/>
        <w:jc w:val="left"/>
      </w:pPr>
      <w:r>
        <w:rPr>
          <w:rFonts w:ascii="Arial" w:cs="Arial" w:eastAsia="Arial" w:hAnsi="Arial"/>
          <w:sz w:val="24"/>
          <w:szCs w:val="24"/>
        </w:rPr>
        <w:t xml:space="preserve">Rushen, J., Chapinal, N., de Passillé, A.M., 2012. Automated monitoring of behavioural-based animal welfare indicators. Animal Welfare 21, 339–350. https://doi.org/10.7120/09627286.21.3.339</w:t>
      </w:r>
    </w:p>
    <w:p>
      <w:pPr>
        <w:spacing w:before="60" w:after="60" w:line="480"/>
        <w:jc w:val="left"/>
      </w:pPr>
      <w:r>
        <w:rPr>
          <w:rFonts w:ascii="Arial" w:cs="Arial" w:eastAsia="Arial" w:hAnsi="Arial"/>
          <w:sz w:val="24"/>
          <w:szCs w:val="24"/>
        </w:rPr>
        <w:t xml:space="preserve">Sadrzadeh, N., Foris, B., Krahn, J., von Keyserlingk, M.A.G., Weary, D.M., 2024. Automated monitoring of brush use in dairy cattle. PLoS ONE 19, e0305671. https://doi.org/10.1371/journal.pone.0305671</w:t>
      </w:r>
    </w:p>
    <w:p>
      <w:pPr>
        <w:spacing w:before="60" w:after="60" w:line="480"/>
        <w:jc w:val="left"/>
      </w:pPr>
      <w:r>
        <w:rPr>
          <w:rFonts w:ascii="Arial" w:cs="Arial" w:eastAsia="Arial" w:hAnsi="Arial"/>
          <w:sz w:val="24"/>
          <w:szCs w:val="24"/>
        </w:rPr>
        <w:t xml:space="preserve">Saifudin, A., Madyawati, S., Yuadi, I., Rimayanti, R., Mustofa, I., Rulaningtyas, R., et al., 2024. Monitoring cow behavior based on lying, standing, eating, and ruminating recognition using YOLOv8. Turkish Journal of Veterinary and Animal Sciences 48, 190–197. https://doi.org/10.55730/1300-0128.4355</w:t>
      </w:r>
    </w:p>
    <w:p>
      <w:pPr>
        <w:spacing w:before="60" w:after="60" w:line="480"/>
        <w:jc w:val="left"/>
      </w:pPr>
      <w:r>
        <w:rPr>
          <w:rFonts w:ascii="Arial" w:cs="Arial" w:eastAsia="Arial" w:hAnsi="Arial"/>
          <w:sz w:val="24"/>
          <w:szCs w:val="24"/>
        </w:rPr>
        <w:t xml:space="preserve">Smink, M., Liu, H., Döpfer, D., Lee, Y.J., 2024. Computer vision on the edge: individual cattle identification in real-time with ReadMyCow system. Proceedings of the 2024 IEEE/CVF Winter Conference on Applications of Computer Vision (WACV), pp. 7041–7050. https://doi.org/10.1109/WACV57701.2024.00690</w:t>
      </w:r>
    </w:p>
    <w:p>
      <w:pPr>
        <w:spacing w:before="60" w:after="60" w:line="480"/>
        <w:jc w:val="left"/>
      </w:pPr>
      <w:r>
        <w:rPr>
          <w:rFonts w:ascii="Arial" w:cs="Arial" w:eastAsia="Arial" w:hAnsi="Arial"/>
          <w:sz w:val="24"/>
          <w:szCs w:val="24"/>
        </w:rPr>
        <w:t xml:space="preserve">Tassinari, P., Bovo, M., Benni, S., Franzoni, S., Poggi, M., Mammi, L.M.E., et al., 2021. A computer vision approach based on deep learning for the detection of dairy cows in free stall barn. Computers and Electronics in Agriculture 182, 106030. https://doi.org/10.1016/j.compag.2021.106030</w:t>
      </w:r>
    </w:p>
    <w:p>
      <w:pPr>
        <w:spacing w:before="60" w:after="60" w:line="480"/>
        <w:jc w:val="left"/>
      </w:pPr>
      <w:r>
        <w:rPr>
          <w:rFonts w:ascii="Arial" w:cs="Arial" w:eastAsia="Arial" w:hAnsi="Arial"/>
          <w:sz w:val="24"/>
          <w:szCs w:val="24"/>
        </w:rPr>
        <w:t xml:space="preserve">Theurer, M.E., White, B.J., Larson, R.L., Coetzee, J.F., Mosher, R.A., 2012. Pain assessment in cattle: comparing performance of accelerometers, visual analogue scale, and numerical rating scale. Journal of Veterinary Internal Medicine 26, 1030–1040. https://doi.org/10.1111/j.1939-1676.2012.00975.x</w:t>
      </w:r>
    </w:p>
    <w:p>
      <w:pPr>
        <w:spacing w:before="60" w:after="60" w:line="480"/>
        <w:jc w:val="left"/>
      </w:pPr>
      <w:r>
        <w:rPr>
          <w:rFonts w:ascii="Arial" w:cs="Arial" w:eastAsia="Arial" w:hAnsi="Arial"/>
          <w:sz w:val="24"/>
          <w:szCs w:val="24"/>
        </w:rPr>
        <w:t xml:space="preserve">Tricco, A.C., Lillie, E., Zarin, W., O’Brien, K.K., Colquhoun, H., Levac, D., et al., 2018. PRISMA extension for scoping reviews (PRISMA-ScR): checklist and explanation. Annals of Internal Medicine 169, 467–473. https://doi.org/10.7326/M18-0850</w:t>
      </w:r>
    </w:p>
    <w:p>
      <w:pPr>
        <w:spacing w:before="60" w:after="60" w:line="480"/>
        <w:jc w:val="left"/>
      </w:pPr>
      <w:r>
        <w:rPr>
          <w:rFonts w:ascii="Arial" w:cs="Arial" w:eastAsia="Arial" w:hAnsi="Arial"/>
          <w:sz w:val="24"/>
          <w:szCs w:val="24"/>
        </w:rPr>
        <w:t xml:space="preserve">Wang, J., Zhai, Y., Zhu, L., Xu, L., Yuan, H., 2024a. PD-YOLO: a study of daily behavioural detection in housed sheep. PLoS ONE 19. https://doi.org/10.1371/journal.pone.0313412</w:t>
      </w:r>
    </w:p>
    <w:p>
      <w:pPr>
        <w:spacing w:before="60" w:after="60" w:line="480"/>
        <w:jc w:val="left"/>
      </w:pPr>
      <w:r>
        <w:rPr>
          <w:rFonts w:ascii="Arial" w:cs="Arial" w:eastAsia="Arial" w:hAnsi="Arial"/>
          <w:sz w:val="24"/>
          <w:szCs w:val="24"/>
        </w:rPr>
        <w:t xml:space="preserve">Wang, X., Hu, Y., Wang, M., Li, M., Zhao, W., Mao, R., 2024b. A real-time lightweight behavior recognition model for multiple dairy goats. Animals 14, 3667. https://doi.org/10.3390/ani14243667</w:t>
      </w:r>
    </w:p>
    <w:p>
      <w:pPr>
        <w:spacing w:before="60" w:after="60" w:line="480"/>
        <w:jc w:val="left"/>
      </w:pPr>
      <w:r>
        <w:rPr>
          <w:rFonts w:ascii="Arial" w:cs="Arial" w:eastAsia="Arial" w:hAnsi="Arial"/>
          <w:sz w:val="24"/>
          <w:szCs w:val="24"/>
        </w:rPr>
        <w:t xml:space="preserve">Wu, J., Li, S., Wen, B., Nie, J., Liu, N., Cen, H., et al., 2024a. Small target ewe behavior recognition based on ELFN-YOLO. Agriculture 14. https://doi.org/10.3390/agriculture14122272</w:t>
      </w:r>
    </w:p>
    <w:p>
      <w:pPr>
        <w:spacing w:before="60" w:after="60" w:line="480"/>
        <w:jc w:val="left"/>
      </w:pPr>
      <w:r>
        <w:rPr>
          <w:rFonts w:ascii="Arial" w:cs="Arial" w:eastAsia="Arial" w:hAnsi="Arial"/>
          <w:sz w:val="24"/>
          <w:szCs w:val="24"/>
        </w:rPr>
        <w:t xml:space="preserve">Wu, Y., Zhou, S., Wu, Z., Chen, Z., Hu, X., Li, J., 2024b. Accelerated data engine: a faster dataset construction workflow for computer vision applications in commercial livestock farms. Computers and Electronics in Agriculture 226, 109452. https://doi.org/10.1016/j.compag.2024.109452</w:t>
      </w:r>
    </w:p>
    <w:p>
      <w:pPr>
        <w:spacing w:before="60" w:after="60" w:line="480"/>
        <w:jc w:val="left"/>
      </w:pPr>
      <w:r>
        <w:rPr>
          <w:rFonts w:ascii="Arial" w:cs="Arial" w:eastAsia="Arial" w:hAnsi="Arial"/>
          <w:sz w:val="24"/>
          <w:szCs w:val="24"/>
        </w:rPr>
        <w:t xml:space="preserve">Yu, R., Wei, X., Liu, Y., Yang, F., Shen, W., Gu, Z., 2024. Research on automatic recognition of dairy cow daily behaviors based on deep learning. Animals 14. https://doi.org/10.3390/ani14030458</w:t>
      </w:r>
    </w:p>
    <w:p>
      <w:pPr>
        <w:spacing w:before="0" w:after="0"/>
      </w:pPr>
      <w:r>
        <w:br w:type="page"/>
      </w:r>
    </w:p>
    <w:p>
      <w:pPr>
        <w:pStyle w:val="Heading1"/>
        <w:spacing w:before="240" w:after="120" w:line="480"/>
      </w:pPr>
      <w:r>
        <w:rPr>
          <w:rFonts w:ascii="Arial" w:cs="Arial" w:eastAsia="Arial" w:hAnsi="Arial"/>
          <w:b/>
          <w:bCs/>
          <w:sz w:val="28"/>
          <w:szCs w:val="28"/>
        </w:rPr>
        <w:t xml:space="preserve">List of figure captions</w:t>
      </w:r>
    </w:p>
    <w:p>
      <w:pPr>
        <w:spacing w:before="80" w:after="40" w:line="480"/>
        <w:jc w:val="left"/>
      </w:pPr>
      <w:r>
        <w:rPr>
          <w:rFonts w:ascii="Arial" w:cs="Arial" w:eastAsia="Arial" w:hAnsi="Arial"/>
          <w:b/>
          <w:bCs/>
          <w:i w:val="false"/>
          <w:iCs w:val="false"/>
          <w:sz w:val="24"/>
          <w:szCs w:val="24"/>
        </w:rPr>
        <w:t xml:space="preserve">Fig. 1. </w:t>
      </w:r>
      <w:r>
        <w:rPr>
          <w:rFonts w:ascii="Arial" w:cs="Arial" w:eastAsia="Arial" w:hAnsi="Arial"/>
          <w:b w:val="false"/>
          <w:bCs w:val="false"/>
          <w:i w:val="false"/>
          <w:iCs w:val="false"/>
          <w:sz w:val="24"/>
          <w:szCs w:val="24"/>
        </w:rPr>
        <w:t xml:space="preserve">Annual and cumulative publication counts for studies applying computer vision and machine learning to welfare monitoring of farmed ruminant species (cattle, sheep, and goats), 2015–2025 (n = 28). Blue bars show annual counts (left axis); orange line shows cumulative total (right axis; dual axis used to overlay annual and cumulative counts with independent scales). The shaded region indicates the period of accelerated publication growth (2023–2025), accounting for 75% of the corpus. The 2025 bar includes only studies published up to the March 2026 search date.</w:t>
      </w:r>
    </w:p>
    <w:p>
      <w:pPr>
        <w:spacing w:before="80" w:after="40" w:line="480"/>
        <w:jc w:val="left"/>
      </w:pPr>
      <w:r>
        <w:rPr>
          <w:rFonts w:ascii="Arial" w:cs="Arial" w:eastAsia="Arial" w:hAnsi="Arial"/>
          <w:b/>
          <w:bCs/>
          <w:i w:val="false"/>
          <w:iCs w:val="false"/>
          <w:sz w:val="24"/>
          <w:szCs w:val="24"/>
        </w:rPr>
        <w:t xml:space="preserve">Fig. 2. </w:t>
      </w:r>
      <w:r>
        <w:rPr>
          <w:rFonts w:ascii="Arial" w:cs="Arial" w:eastAsia="Arial" w:hAnsi="Arial"/>
          <w:b w:val="false"/>
          <w:bCs w:val="false"/>
          <w:i w:val="false"/>
          <w:iCs w:val="false"/>
          <w:sz w:val="24"/>
          <w:szCs w:val="24"/>
        </w:rPr>
        <w:t xml:space="preserve">Species distribution of included studies (n = 28). (a) Total studies per species; percentages calculated relative to n = 28. (b) Species representation across publication years. ‘Cattle and pig’ denotes one study that examined both species in the same dataset.</w:t>
      </w:r>
    </w:p>
    <w:p>
      <w:pPr>
        <w:spacing w:before="80" w:after="40" w:line="480"/>
        <w:jc w:val="left"/>
      </w:pPr>
      <w:r>
        <w:rPr>
          <w:rFonts w:ascii="Arial" w:cs="Arial" w:eastAsia="Arial" w:hAnsi="Arial"/>
          <w:b/>
          <w:bCs/>
          <w:i w:val="false"/>
          <w:iCs w:val="false"/>
          <w:sz w:val="24"/>
          <w:szCs w:val="24"/>
        </w:rPr>
        <w:t xml:space="preserve">Fig. 3. </w:t>
      </w:r>
      <w:r>
        <w:rPr>
          <w:rFonts w:ascii="Arial" w:cs="Arial" w:eastAsia="Arial" w:hAnsi="Arial"/>
          <w:b w:val="false"/>
          <w:bCs w:val="false"/>
          <w:i w:val="false"/>
          <w:iCs w:val="false"/>
          <w:sz w:val="24"/>
          <w:szCs w:val="24"/>
        </w:rPr>
        <w:t xml:space="preserve">Geographic distribution of included studies by country of institutional affiliation (n = 28). Bubble size is proportional to the number of studies per country; multi-country collaborations were disaggregated and each contributing country counted separately. Regions annotated with italic labels (South Asia; Sub-Saharan Africa; Southeast Asia/Oceania) indicate areas with zero representation in the included literature despite hosting the largest global ruminant populations (FAO, 2023). Bubble shading: dark ≥4 studies; medium = 2–3 studies; light = 1 study. ‘Austria/Hungary’ denotes an Austria–Hungary multi-country collaboration.</w:t>
      </w:r>
    </w:p>
    <w:p>
      <w:pPr>
        <w:spacing w:before="80" w:after="40" w:line="480"/>
        <w:jc w:val="left"/>
      </w:pPr>
      <w:r>
        <w:rPr>
          <w:rFonts w:ascii="Arial" w:cs="Arial" w:eastAsia="Arial" w:hAnsi="Arial"/>
          <w:b/>
          <w:bCs/>
          <w:i w:val="false"/>
          <w:iCs w:val="false"/>
          <w:sz w:val="24"/>
          <w:szCs w:val="24"/>
        </w:rPr>
        <w:t xml:space="preserve">Fig. 4. </w:t>
      </w:r>
      <w:r>
        <w:rPr>
          <w:rFonts w:ascii="Arial" w:cs="Arial" w:eastAsia="Arial" w:hAnsi="Arial"/>
          <w:b w:val="false"/>
          <w:bCs w:val="false"/>
          <w:i w:val="false"/>
          <w:iCs w:val="false"/>
          <w:sz w:val="24"/>
          <w:szCs w:val="24"/>
        </w:rPr>
        <w:t xml:space="preserve">Distribution of AI modelling approaches across included studies (n = 28). Categories are multi-select; percentages are calculated relative to n = 28 and the sum exceeds 100%. DL = deep learning; Classical ML = classical machine learning; Traditional CV = rule-based computer vision.</w:t>
      </w:r>
    </w:p>
    <w:p>
      <w:pPr>
        <w:spacing w:before="80" w:after="40" w:line="480"/>
        <w:jc w:val="left"/>
      </w:pPr>
      <w:r>
        <w:rPr>
          <w:rFonts w:ascii="Arial" w:cs="Arial" w:eastAsia="Arial" w:hAnsi="Arial"/>
          <w:b/>
          <w:bCs/>
          <w:i w:val="false"/>
          <w:iCs w:val="false"/>
          <w:sz w:val="24"/>
          <w:szCs w:val="24"/>
        </w:rPr>
        <w:t xml:space="preserve">Fig. 5. </w:t>
      </w:r>
      <w:r>
        <w:rPr>
          <w:rFonts w:ascii="Arial" w:cs="Arial" w:eastAsia="Arial" w:hAnsi="Arial"/>
          <w:b w:val="false"/>
          <w:bCs w:val="false"/>
          <w:i w:val="false"/>
          <w:iCs w:val="false"/>
          <w:sz w:val="24"/>
          <w:szCs w:val="24"/>
        </w:rPr>
        <w:t xml:space="preserve">Primary study focus categories across included studies (n = 28; multi-select). Total tags exceed n = 28 because individual studies address multiple focus areas. Abbreviations: BR = behaviour recognition/classification; AM = activity monitoring; MAlg = methodological/algorithm innovation; PLM = precision livestock management; PD = posture detection; HW = hardware/device development; FE = facial expression analysis; LD = lameness detection; DD = disease detection; SS = stress-related behaviour.</w:t>
      </w:r>
    </w:p>
    <w:p>
      <w:pPr>
        <w:spacing w:before="80" w:after="40" w:line="480"/>
        <w:jc w:val="left"/>
      </w:pPr>
      <w:r>
        <w:rPr>
          <w:rFonts w:ascii="Arial" w:cs="Arial" w:eastAsia="Arial" w:hAnsi="Arial"/>
          <w:b/>
          <w:bCs/>
          <w:i w:val="false"/>
          <w:iCs w:val="false"/>
          <w:sz w:val="24"/>
          <w:szCs w:val="24"/>
        </w:rPr>
        <w:t xml:space="preserve">Fig. 6. </w:t>
      </w:r>
      <w:r>
        <w:rPr>
          <w:rFonts w:ascii="Arial" w:cs="Arial" w:eastAsia="Arial" w:hAnsi="Arial"/>
          <w:b w:val="false"/>
          <w:bCs w:val="false"/>
          <w:i w:val="false"/>
          <w:iCs w:val="false"/>
          <w:sz w:val="24"/>
          <w:szCs w:val="24"/>
        </w:rPr>
        <w:t xml:space="preserve">Welfare outcome categories across included studies (n = 28), colour-coded by Five Domains Model domain (Mellor, 2017). Categories are multi-select. Grey bars marked with red italic text indicate outcomes absent from all included studies despite falling within the Five Domains framework. Domain mapping: Behavioural Interactions — behavioural measures, activity patterns, posture, feeding/rumination, social behaviour, stress-related behaviour; Health — lameness, disease/health indicators; Mental State — affective state, fear, pain (absent); Nutrition — feed and water access (absent); Physical Environment — thermal comfort and housing conditions (absent). See also Table 3.</w:t>
      </w:r>
    </w:p>
    <w:p>
      <w:pPr>
        <w:spacing w:before="80" w:after="40" w:line="480"/>
        <w:jc w:val="left"/>
      </w:pPr>
      <w:r>
        <w:rPr>
          <w:rFonts w:ascii="Arial" w:cs="Arial" w:eastAsia="Arial" w:hAnsi="Arial"/>
          <w:b/>
          <w:bCs/>
          <w:i w:val="false"/>
          <w:iCs w:val="false"/>
          <w:sz w:val="24"/>
          <w:szCs w:val="24"/>
        </w:rPr>
        <w:t xml:space="preserve">Fig. 7. </w:t>
      </w:r>
      <w:r>
        <w:rPr>
          <w:rFonts w:ascii="Arial" w:cs="Arial" w:eastAsia="Arial" w:hAnsi="Arial"/>
          <w:b w:val="false"/>
          <w:bCs w:val="false"/>
          <w:i w:val="false"/>
          <w:iCs w:val="false"/>
          <w:sz w:val="24"/>
          <w:szCs w:val="24"/>
        </w:rPr>
        <w:t xml:space="preserve">Distribution of primary input modalities across included studies (n = 28). All included studies used standard RGB imaging only; no study used thermal, depth, or hyperspectral imaging as a primary modality, despite the relevance of these modalities to health-domain welfare indicators.</w:t>
      </w:r>
    </w:p>
    <w:p>
      <w:pPr>
        <w:spacing w:before="80" w:after="40" w:line="480"/>
        <w:jc w:val="left"/>
      </w:pPr>
      <w:r>
        <w:rPr>
          <w:rFonts w:ascii="Arial" w:cs="Arial" w:eastAsia="Arial" w:hAnsi="Arial"/>
          <w:b/>
          <w:bCs/>
          <w:i w:val="false"/>
          <w:iCs w:val="false"/>
          <w:sz w:val="24"/>
          <w:szCs w:val="24"/>
        </w:rPr>
        <w:t xml:space="preserve">Fig. 8. </w:t>
      </w:r>
      <w:r>
        <w:rPr>
          <w:rFonts w:ascii="Arial" w:cs="Arial" w:eastAsia="Arial" w:hAnsi="Arial"/>
          <w:b w:val="false"/>
          <w:bCs w:val="false"/>
          <w:i w:val="false"/>
          <w:iCs w:val="false"/>
          <w:sz w:val="24"/>
          <w:szCs w:val="24"/>
        </w:rPr>
        <w:t xml:space="preserve">Temporal evolution of AI modelling approaches by publication period (100% stacked bar; n = 28). Three periods defined: before 2020 (n = 2), 2020–2022 (n = 5), and 2023–2025 (n = 21). Caution: the ‘before 2020’ period contains only two studies; proportional values within this period are illustrative only and should not be interpreted as stable trends.</w:t>
      </w:r>
    </w:p>
    <w:p>
      <w:pPr>
        <w:spacing w:before="80" w:after="40" w:line="480"/>
        <w:jc w:val="left"/>
      </w:pPr>
      <w:r>
        <w:rPr>
          <w:rFonts w:ascii="Arial" w:cs="Arial" w:eastAsia="Arial" w:hAnsi="Arial"/>
          <w:b/>
          <w:bCs/>
          <w:i w:val="false"/>
          <w:iCs w:val="false"/>
          <w:sz w:val="24"/>
          <w:szCs w:val="24"/>
        </w:rPr>
        <w:t xml:space="preserve">Fig. 9. </w:t>
      </w:r>
      <w:r>
        <w:rPr>
          <w:rFonts w:ascii="Arial" w:cs="Arial" w:eastAsia="Arial" w:hAnsi="Arial"/>
          <w:b w:val="false"/>
          <w:bCs w:val="false"/>
          <w:i w:val="false"/>
          <w:iCs w:val="false"/>
          <w:sz w:val="24"/>
          <w:szCs w:val="24"/>
        </w:rPr>
        <w:t xml:space="preserve">Classification of primary research aims across included studies (n = 28; multi-select). The dashed horizontal line separates model-development aims (above) from model-validation aims (below), illustrating the 89% versus 21% development-to-validation imbalance. PoC = proof-of-concept study; CE = commercial evaluation.</w:t>
      </w:r>
    </w:p>
    <w:p>
      <w:pPr>
        <w:spacing w:before="80" w:after="40" w:line="480"/>
        <w:jc w:val="left"/>
      </w:pPr>
      <w:r>
        <w:rPr>
          <w:rFonts w:ascii="Arial" w:cs="Arial" w:eastAsia="Arial" w:hAnsi="Arial"/>
          <w:b/>
          <w:bCs/>
          <w:i w:val="false"/>
          <w:iCs w:val="false"/>
          <w:sz w:val="24"/>
          <w:szCs w:val="24"/>
        </w:rPr>
        <w:t xml:space="preserve">Fig. 10. </w:t>
      </w:r>
      <w:r>
        <w:rPr>
          <w:rFonts w:ascii="Arial" w:cs="Arial" w:eastAsia="Arial" w:hAnsi="Arial"/>
          <w:b w:val="false"/>
          <w:bCs w:val="false"/>
          <w:i w:val="false"/>
          <w:iCs w:val="false"/>
          <w:sz w:val="24"/>
          <w:szCs w:val="24"/>
        </w:rPr>
        <w:t xml:space="preserve">Cross-tabulation of sample setting and practical usability across included studies (n = 28). Each horizontal bar represents a sample setting; bar segments indicate practical usability classification. No outdoor or pasture-deployed system reported real-time performance. PoC = proof-of-concept study.</w:t>
      </w:r>
    </w:p>
    <w:p>
      <w:pPr>
        <w:spacing w:before="80" w:after="40" w:line="480"/>
        <w:jc w:val="left"/>
      </w:pPr>
      <w:r>
        <w:rPr>
          <w:rFonts w:ascii="Arial" w:cs="Arial" w:eastAsia="Arial" w:hAnsi="Arial"/>
          <w:b/>
          <w:bCs/>
          <w:i w:val="false"/>
          <w:iCs w:val="false"/>
          <w:sz w:val="24"/>
          <w:szCs w:val="24"/>
        </w:rPr>
        <w:t xml:space="preserve">Supplementary Fig. S1. </w:t>
      </w:r>
      <w:r>
        <w:rPr>
          <w:rFonts w:ascii="Arial" w:cs="Arial" w:eastAsia="Arial" w:hAnsi="Arial"/>
          <w:b w:val="false"/>
          <w:bCs w:val="false"/>
          <w:i w:val="false"/>
          <w:iCs w:val="false"/>
          <w:sz w:val="24"/>
          <w:szCs w:val="24"/>
        </w:rPr>
        <w:t xml:space="preserve">Evidence network map connecting AI model families (left nodes) with welfare outcome categories (right nodes) across included studies (n = 28). Node size is proportional to degree centrality. Edge labels indicate the number of studies in which a given model family–welfare outcome combination co-occurred; only co-occurrences in two or more studies are shown. The ✕ symbol indicates outcomes absent from all included studies.</w:t>
      </w:r>
    </w:p>
    <w:p>
      <w:pPr>
        <w:spacing w:before="80" w:after="40" w:line="480"/>
        <w:jc w:val="left"/>
      </w:pPr>
      <w:r>
        <w:rPr>
          <w:rFonts w:ascii="Arial" w:cs="Arial" w:eastAsia="Arial" w:hAnsi="Arial"/>
          <w:b/>
          <w:bCs/>
          <w:i w:val="false"/>
          <w:iCs w:val="false"/>
          <w:sz w:val="24"/>
          <w:szCs w:val="24"/>
        </w:rPr>
        <w:t xml:space="preserve">Supplementary Fig. S2. </w:t>
      </w:r>
      <w:r>
        <w:rPr>
          <w:rFonts w:ascii="Arial" w:cs="Arial" w:eastAsia="Arial" w:hAnsi="Arial"/>
          <w:b w:val="false"/>
          <w:bCs w:val="false"/>
          <w:i w:val="false"/>
          <w:iCs w:val="false"/>
          <w:sz w:val="24"/>
          <w:szCs w:val="24"/>
        </w:rPr>
        <w:t xml:space="preserve">Evidence landscape bubble chart for included studies (n = 28). x-axis = publication year; y-axis = target species; bubble colour = AI model family; bubble size = best performance tier (≤85%, 85–94%, ≥95%). A ◆ symbol indicates studies reporting no quantifiable performance metric. Slight jitter applied to reduce point overlap.</w:t>
      </w:r>
    </w:p>
    <w:p>
      <w:pPr>
        <w:spacing w:before="0" w:after="0"/>
      </w:pPr>
      <w:r>
        <w:br w:type="page"/>
      </w:r>
    </w:p>
    <w:p>
      <w:pPr>
        <w:spacing w:before="240" w:after="80"/>
      </w:pPr>
      <w:r>
        <w:rPr>
          <w:rFonts w:ascii="Arial" w:cs="Arial" w:eastAsia="Arial" w:hAnsi="Arial"/>
          <w:b/>
          <w:bCs/>
          <w:sz w:val="24"/>
          <w:szCs w:val="24"/>
        </w:rPr>
        <w:t xml:space="preserve">Table 1. Characteristics of included studies (n = 28).</w:t>
      </w:r>
    </w:p>
    <w:p>
      <w:pPr>
        <w:spacing w:before="40" w:after="40"/>
      </w:pPr>
      <w:r>
        <w:rPr>
          <w:rFonts w:ascii="Arial" w:cs="Arial" w:eastAsia="Arial" w:hAnsi="Arial"/>
          <w:i/>
          <w:iCs/>
          <w:sz w:val="18"/>
          <w:szCs w:val="18"/>
        </w:rPr>
        <w:t xml:space="preserve">Ordered by publication year (ascending), then alphabetically by first author. Multi-ctry = multi-country collaboration. — = not reported or not stated. † Guzhva (2018) is a doctoral thesis; this is acknowledged as a limitation of evidence quality for this entry. ‡ N = 92,592 refers to annotated video frames, not individual animals.</w:t>
      </w:r>
    </w:p>
    <w:p>
      <w:pPr>
        <w:spacing w:before="40" w:after="40"/>
      </w:pPr>
      <w:r>
        <w:rPr>
          <w:rFonts w:ascii="Arial" w:cs="Arial" w:eastAsia="Arial" w:hAnsi="Arial"/>
          <w:i/>
          <w:iCs/>
          <w:sz w:val="18"/>
          <w:szCs w:val="18"/>
        </w:rPr>
        <w:t xml:space="preserve">Abbreviations — Study design: Exp. = experimental; Obs. = observational; DS = dataset/technical study. Primary focus: BR = behaviour recognition; AM = activity monitoring; MAlg = methodological/algorithm innovation; PLM = precision livestock management; PD = posture detection; HW = hardware/device development; FE = facial expression analysis; LD = lameness detection; DD = disease detection; SS = stress-related behaviour; SB = social interaction. Research aim: NM = new model development; IM = improve model; Vld = validation; RT = real-time; PoC = proof-of-concept; CE = commercial evaluation; AC = algorithm comparison; DC = dataset creation; BP = behaviour prediction; ED = edge/embedded deployment. Welfare outcome: BM = behavioural measures; AP = activity patterns; PL = posture/lying/standing; FR = feeding/rumination; SB = social behaviour; SR = stress-related.</w:t>
      </w:r>
    </w:p>
    <w:p>
      <w:pPr>
        <w:spacing w:before="0" w:after="0" w:line="480"/>
      </w:pPr>
      <w: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760"/>
        <w:gridCol w:w="680"/>
        <w:gridCol w:w="640"/>
        <w:gridCol w:w="580"/>
        <w:gridCol w:w="1300"/>
        <w:gridCol w:w="1300"/>
        <w:gridCol w:w="1300"/>
        <w:gridCol w:w="406"/>
      </w:tblGrid>
      <w:tr>
        <w:trPr>
          <w:tblHeader/>
        </w:trPr>
        <w:tc>
          <w:tcPr>
            <w:tcW w:type="dxa" w:w="36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No.</w:t>
            </w:r>
          </w:p>
        </w:tc>
        <w:tc>
          <w:tcPr>
            <w:tcW w:type="dxa" w:w="11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Author
(Year)</w:t>
            </w:r>
          </w:p>
        </w:tc>
        <w:tc>
          <w:tcPr>
            <w:tcW w:type="dxa" w:w="76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Country</w:t>
            </w:r>
          </w:p>
        </w:tc>
        <w:tc>
          <w:tcPr>
            <w:tcW w:type="dxa" w:w="68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Species</w:t>
            </w:r>
          </w:p>
        </w:tc>
        <w:tc>
          <w:tcPr>
            <w:tcW w:type="dxa" w:w="64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Study
design</w:t>
            </w:r>
          </w:p>
        </w:tc>
        <w:tc>
          <w:tcPr>
            <w:tcW w:type="dxa" w:w="58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Setting</w:t>
            </w:r>
          </w:p>
        </w:tc>
        <w:tc>
          <w:tcPr>
            <w:tcW w:type="dxa" w:w="13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Primary
focus</w:t>
            </w:r>
          </w:p>
        </w:tc>
        <w:tc>
          <w:tcPr>
            <w:tcW w:type="dxa" w:w="13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Research
aim</w:t>
            </w:r>
          </w:p>
        </w:tc>
        <w:tc>
          <w:tcPr>
            <w:tcW w:type="dxa" w:w="13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Welfare
outcome</w:t>
            </w:r>
          </w:p>
        </w:tc>
        <w:tc>
          <w:tcPr>
            <w:tcW w:type="dxa" w:w="406"/>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N
animals</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Porto 2015</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Italy</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PD; AM;
MAlg</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IM;
Vld; RT</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
FR; PL</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Guzhva 2018†</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Sweden</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AP; SB</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Not stated</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3</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Fuentes 2020</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 Korea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Obs.;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Farm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15</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4</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Guo 2020</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China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Obs.;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5</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McVey 2021</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USA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Obs.;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Mixed</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MAlg</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PoC</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
FR</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6</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Koskela 2022</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Finland</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Vld</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7</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González-
Baldizón 2022</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Mexico</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Obs.;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50</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8</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Fuentes 2023</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 Korea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Obs.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18</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9</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Bati 2023</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Turkey</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Fear arena</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50</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10</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Çakmakçı
2023</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Multi-ctry</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Lab</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FE</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AC</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44</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11</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Li 2023</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China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PD</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PoC</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SR</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12</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Saifudin
2024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Multi-ctry</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Mixed</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PD;
AM; MAlg</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IM;
PoC</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
FR; PL</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13</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Michielon
2024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Italy</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
&amp; Pig</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AM; PLM;
HW</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RT;
CE</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
PL; SB</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184</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14</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Wu 2024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China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HW</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RT;
CE</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15</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Wang 2024a</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China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MAlg</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IM;
RT; ED</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
FR; PL</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16</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Ozella 2024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Italy</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SB;
PLM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DC;
BP</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240</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17</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Leliveld
2024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Italy</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Field trial</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AM; PLM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Vld; PLM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380</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18</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Sadrzadeh
2024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Multi-ctry</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AM;
PLM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AC;
Vld; CE</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
SB</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24</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19</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Jia 2024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Multi-ctry</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
FR; PL</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20</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Yu 2024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China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MAlg</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IM;
AC; PoC</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
FR; PL</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21</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Jahn 2024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Germany</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PD</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Vld</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PL</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5</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22</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Wang 2024b</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China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Goats</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DD;
DS; MAlg</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IM;
RT; DC</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
PL; SB; SR</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23</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Mu 2024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China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MAlg</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IM;
RT</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AP;
PL</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24</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Negreiro
2025</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USA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Pasture</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PD; AM;
SS; HW</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Vld;
PoC; BP</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PL;
SR</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25</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Edwards-
Callaway 2025</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USA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Obs.;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Slaughter
plant</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PLM</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Vld</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26</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Feighelstein
2025</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Brazil</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DS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Lab</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FE</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AC</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48</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27</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Ahmed
2025</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USA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Exp.;
Obs.</w:t>
            </w:r>
          </w:p>
        </w:tc>
        <w:tc>
          <w:tcPr>
            <w:tcW w:type="dxa" w:w="5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Pasture</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DC</w:t>
            </w:r>
          </w:p>
        </w:tc>
        <w:tc>
          <w:tcPr>
            <w:tcW w:type="dxa" w:w="13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 PL;
SB</w:t>
            </w:r>
          </w:p>
        </w:tc>
        <w:tc>
          <w:tcPr>
            <w:tcW w:type="dxa" w:w="40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92,592‡</w:t>
            </w:r>
          </w:p>
        </w:tc>
      </w:tr>
      <w:tr>
        <w:tc>
          <w:tcPr>
            <w:tcW w:type="dxa" w:w="36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28</w:t>
            </w:r>
          </w:p>
        </w:tc>
        <w:tc>
          <w:tcPr>
            <w:tcW w:type="dxa" w:w="11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Dhaliwal
2025</w:t>
            </w:r>
          </w:p>
        </w:tc>
        <w:tc>
          <w:tcPr>
            <w:tcW w:type="dxa" w:w="76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Canada</w:t>
            </w:r>
          </w:p>
        </w:tc>
        <w:tc>
          <w:tcPr>
            <w:tcW w:type="dxa" w:w="68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64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Obs.; DS</w:t>
            </w:r>
          </w:p>
        </w:tc>
        <w:tc>
          <w:tcPr>
            <w:tcW w:type="dxa" w:w="58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Barn</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BR; LD</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NM; RT;
DD</w:t>
            </w:r>
          </w:p>
        </w:tc>
        <w:tc>
          <w:tcPr>
            <w:tcW w:type="dxa" w:w="13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BM</w:t>
            </w:r>
          </w:p>
        </w:tc>
        <w:tc>
          <w:tcPr>
            <w:tcW w:type="dxa" w:w="40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6</w:t>
            </w:r>
          </w:p>
        </w:tc>
      </w:tr>
    </w:tbl>
    <w:p>
      <w:pPr>
        <w:spacing w:before="0" w:after="0"/>
      </w:pPr>
      <w:r>
        <w:br w:type="page"/>
      </w:r>
    </w:p>
    <w:p>
      <w:pPr>
        <w:spacing w:before="240" w:after="80"/>
      </w:pPr>
      <w:r>
        <w:rPr>
          <w:rFonts w:ascii="Arial" w:cs="Arial" w:eastAsia="Arial" w:hAnsi="Arial"/>
          <w:b/>
          <w:bCs/>
          <w:sz w:val="24"/>
          <w:szCs w:val="24"/>
        </w:rPr>
        <w:t xml:space="preserve">Table 2. AI models, validation methods, and performance metrics for included studies (n = 28).</w:t>
      </w:r>
    </w:p>
    <w:p>
      <w:pPr>
        <w:spacing w:before="40" w:after="40"/>
      </w:pPr>
      <w:r>
        <w:rPr>
          <w:rFonts w:ascii="Arial" w:cs="Arial" w:eastAsia="Arial" w:hAnsi="Arial"/>
          <w:i/>
          <w:iCs/>
          <w:sz w:val="18"/>
          <w:szCs w:val="18"/>
        </w:rPr>
        <w:t xml:space="preserve">Ordered as Table 1. Best Performance Value reports the highest metric stated by the authors on their primary evaluation dataset; values are not directly comparable across studies given differences in metric type, dataset characteristics, and task definition. ‘Best reported; see original’ indicates that best performance values were reported by the authors but were not extractable in a standardised format for this table; full values are available in the original publications. — = not reported. † Doctoral thesis.</w:t>
      </w:r>
    </w:p>
    <w:p>
      <w:pPr>
        <w:spacing w:before="40" w:after="40"/>
      </w:pPr>
      <w:r>
        <w:rPr>
          <w:rFonts w:ascii="Arial" w:cs="Arial" w:eastAsia="Arial" w:hAnsi="Arial"/>
          <w:i/>
          <w:iCs/>
          <w:sz w:val="18"/>
          <w:szCs w:val="18"/>
        </w:rPr>
        <w:t xml:space="preserve">Abbreviations — Validation: Train/test = internal train/test split only; External = independent external dataset; LOAO = leave-one-animal-out cross-validation. Metric: mAP = mean Average Precision; F1 = F1-score; Acc. = Accuracy; Prec. = Precision; AUC = area under ROC curve. AI approach: DL = deep learning; Classical ML = classical machine learning; Traditional CV = rule-based computer vision; Hybrid = combined DL and classical ML. CLIP = contrastive language–image pre-training. Accel. = accelerometer.</w:t>
      </w:r>
    </w:p>
    <w:p>
      <w:pPr>
        <w:spacing w:before="0" w:after="0" w:line="4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1050"/>
        <w:gridCol w:w="680"/>
        <w:gridCol w:w="820"/>
        <w:gridCol w:w="1800"/>
        <w:gridCol w:w="760"/>
        <w:gridCol w:w="1100"/>
        <w:gridCol w:w="820"/>
        <w:gridCol w:w="1636"/>
      </w:tblGrid>
      <w:tr>
        <w:trPr>
          <w:tblHeader/>
        </w:trPr>
        <w:tc>
          <w:tcPr>
            <w:tcW w:type="dxa" w:w="36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No.</w:t>
            </w:r>
          </w:p>
        </w:tc>
        <w:tc>
          <w:tcPr>
            <w:tcW w:type="dxa" w:w="105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Author
(Year)</w:t>
            </w:r>
          </w:p>
        </w:tc>
        <w:tc>
          <w:tcPr>
            <w:tcW w:type="dxa" w:w="68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Species</w:t>
            </w:r>
          </w:p>
        </w:tc>
        <w:tc>
          <w:tcPr>
            <w:tcW w:type="dxa" w:w="82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AI
approach</w:t>
            </w:r>
          </w:p>
        </w:tc>
        <w:tc>
          <w:tcPr>
            <w:tcW w:type="dxa" w:w="18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Model(s) used</w:t>
            </w:r>
          </w:p>
        </w:tc>
        <w:tc>
          <w:tcPr>
            <w:tcW w:type="dxa" w:w="76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Input
modality</w:t>
            </w:r>
          </w:p>
        </w:tc>
        <w:tc>
          <w:tcPr>
            <w:tcW w:type="dxa" w:w="11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Validation
method</w:t>
            </w:r>
          </w:p>
        </w:tc>
        <w:tc>
          <w:tcPr>
            <w:tcW w:type="dxa" w:w="82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Metric
type</w:t>
            </w:r>
          </w:p>
        </w:tc>
        <w:tc>
          <w:tcPr>
            <w:tcW w:type="dxa" w:w="1636"/>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Best performance
value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Porto 2015</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Classical ML</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Viola-Jones;
Cascade classifier</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
External</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Sensitivity;
Precision</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Sens. 84.9%;
Prec. 87.5%</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Guzhva 2018†</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CNN-based cow
detection</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Accuracy</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97% (cow detect.)</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3</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Fuentes 2020</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Faster R-CNN;
YOLOv3</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Qualitative
only</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4</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Guo 2020</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Traditional CV</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Integrated
Background Model</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Manual review</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Accuracy</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96.85%</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5</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McVey 2021</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LIT pipeline;
Ensemble estimator</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Multi-
sensor</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Simulation</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Mutual
information</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6</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Koskela 2022</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Modified VGG-
based CNN</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Precision</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86%</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7</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González-
Baldizón 2022</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YOLOv4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Precision</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83.14%</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8</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Fuentes 2023</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Not specified
by authors</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9</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Bati 2023</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BOF-CNN</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Accuracy</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100%</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10</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Çakmakçı
2023</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C-DCNN;
Xception</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Image</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Accuracy</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81%
(Xception)</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11</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Li 2023</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DeepLabCut
(ResNet backbone)</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Accuracy</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Comparable to
manual</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12</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Saifudin
2024</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YOLOv8n</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
External</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mAP@0.5;
Prec.; Recall</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mAP@0.5: 0.93</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13</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Michielon
2024</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
&amp; Pig</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YOLOv8
(detect/seg/pose)</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mAP50;
Accuracy</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mAP50: 0.984
(pig detect.)</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14</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Wu 2024</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ELFN-YOLO
(proposed)</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
External</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F1; Prec.;
Recall; mAP</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Best reported;
see original</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15</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Wang 2024a</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PD-YOLO
(proposed)</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
External</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mAP50</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Best reported;
see original</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16</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Ozella 2024</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EfficientDet</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17</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Leliveld
2024</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Classical ML</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Proprietary
accel. model</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Accel-
erometer</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Data
availability</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&gt;90% data
availability</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18</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Sadrzadeh
2024</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Hybrid</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Logistic regression;
CNN (bout detect.)</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
External</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F1; Prec.;
Recall</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Best reported;
see original</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19</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Jia 2024</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CAMLLA-YOLOv8n
(proposed)</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
Ablation</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mAP@0.5;
Prec.; Recall</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Improved over
baseline</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20</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Yu 2024</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Res-DenseYOLO
(proposed)</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
Ablation</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mAP@0.5;
Precision</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Prec.: 90.7%</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21</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Jahn 2024</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YOLOv4</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mAP</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Posture
mAP: 99.21%</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22</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Wang 2024b</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Goats</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GSCW-YOLO
(proposed)</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
Comparative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mAP50;
Prec.; Recall</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Best reported;
see original</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23</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Mu 2024</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CBR-YOLO
(proposed)</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mAP@0.5;
Precision</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Prec.: 90.7%</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24</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Negreiro
2025</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YOLOv3</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Acc.; F1;
Prec.; Recall</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&gt;90% all
metrics</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25</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Edwards-
Callaway 2025</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Not specified
by authors</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External val.</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Jaccard Index</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1.00</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26</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Feighelstein
2025</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Sheep/
Lambs</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Hybrid</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CLIP encoder +
Naive Bayes</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Image</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LOAO</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AUC</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0.823</w:t>
            </w:r>
          </w:p>
        </w:tc>
      </w:tr>
      <w:tr>
        <w:tc>
          <w:tcPr>
            <w:tcW w:type="dxa" w:w="3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27</w:t>
            </w:r>
          </w:p>
        </w:tc>
        <w:tc>
          <w:tcPr>
            <w:tcW w:type="dxa" w:w="105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Ahmed
2025</w:t>
            </w:r>
          </w:p>
        </w:tc>
        <w:tc>
          <w:tcPr>
            <w:tcW w:type="dxa" w:w="68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
/ Hybrid</w:t>
            </w:r>
          </w:p>
        </w:tc>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YOLOv8n</w:t>
            </w:r>
          </w:p>
        </w:tc>
        <w:tc>
          <w:tcPr>
            <w:tcW w:type="dxa" w:w="76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Video</w:t>
            </w:r>
          </w:p>
        </w:tc>
        <w:tc>
          <w:tcPr>
            <w:tcW w:type="dxa" w:w="11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F1; Prec.;
Recall</w:t>
            </w:r>
          </w:p>
        </w:tc>
        <w:tc>
          <w:tcPr>
            <w:tcW w:type="dxa" w:w="1636"/>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Per-class;
see original</w:t>
            </w:r>
          </w:p>
        </w:tc>
      </w:tr>
      <w:tr>
        <w:tc>
          <w:tcPr>
            <w:tcW w:type="dxa" w:w="36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28</w:t>
            </w:r>
          </w:p>
        </w:tc>
        <w:tc>
          <w:tcPr>
            <w:tcW w:type="dxa" w:w="105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Dhaliwal
2025</w:t>
            </w:r>
          </w:p>
        </w:tc>
        <w:tc>
          <w:tcPr>
            <w:tcW w:type="dxa" w:w="68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Cattle</w:t>
            </w:r>
          </w:p>
        </w:tc>
        <w:tc>
          <w:tcPr>
            <w:tcW w:type="dxa" w:w="82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Deep Learning
/ Hybrid</w:t>
            </w:r>
          </w:p>
        </w:tc>
        <w:tc>
          <w:tcPr>
            <w:tcW w:type="dxa" w:w="18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DenseNet-121
(multimodal)</w:t>
            </w:r>
          </w:p>
        </w:tc>
        <w:tc>
          <w:tcPr>
            <w:tcW w:type="dxa" w:w="76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Accel-
erometer</w:t>
            </w:r>
          </w:p>
        </w:tc>
        <w:tc>
          <w:tcPr>
            <w:tcW w:type="dxa" w:w="11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Train/test</w:t>
            </w:r>
          </w:p>
        </w:tc>
        <w:tc>
          <w:tcPr>
            <w:tcW w:type="dxa" w:w="82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Accuracy</w:t>
            </w:r>
          </w:p>
        </w:tc>
        <w:tc>
          <w:tcPr>
            <w:tcW w:type="dxa" w:w="1636"/>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99.55%
(multimodal)</w:t>
            </w:r>
          </w:p>
        </w:tc>
      </w:tr>
    </w:tbl>
    <w:p>
      <w:pPr>
        <w:spacing w:before="0" w:after="0"/>
      </w:pPr>
      <w:r>
        <w:br w:type="page"/>
      </w:r>
    </w:p>
    <w:p>
      <w:pPr>
        <w:spacing w:before="240" w:after="80"/>
      </w:pPr>
      <w:r>
        <w:rPr>
          <w:rFonts w:ascii="Arial" w:cs="Arial" w:eastAsia="Arial" w:hAnsi="Arial"/>
          <w:b/>
          <w:bCs/>
          <w:sz w:val="24"/>
          <w:szCs w:val="24"/>
        </w:rPr>
        <w:t xml:space="preserve">Table 3. Welfare outcome coverage mapped to the Five Domains Model of animal welfare (Mellor, 2017) across included studies (n = 28).</w:t>
      </w:r>
    </w:p>
    <w:p>
      <w:pPr>
        <w:spacing w:before="40" w:after="40"/>
      </w:pPr>
      <w:r>
        <w:rPr>
          <w:rFonts w:ascii="Arial" w:cs="Arial" w:eastAsia="Arial" w:hAnsi="Arial"/>
          <w:i/>
          <w:iCs/>
          <w:sz w:val="18"/>
          <w:szCs w:val="18"/>
        </w:rPr>
        <w:t xml:space="preserve">Percentage values are calculated relative to n = 28 total included studies. ‘Critical gap’ indicates that welfare outcomes specified in this domain were absent from all, or all but one, included study. ‘Partial gap’ indicates partial coverage where some outcomes within the domain were addressed but others were not. ‘Strong’ indicates the domain had substantial representation across the included studies. BCS = body condition score. FAU = facial action unit.</w:t>
      </w:r>
    </w:p>
    <w:p>
      <w:pPr>
        <w:spacing w:before="0" w:after="0" w:line="4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800"/>
        <w:gridCol w:w="900"/>
        <w:gridCol w:w="900"/>
      </w:tblGrid>
      <w:tr>
        <w:trPr>
          <w:tblHeader/>
        </w:trPr>
        <w:tc>
          <w:tcPr>
            <w:tcW w:type="dxa" w:w="18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Five Domains
category</w:t>
            </w:r>
          </w:p>
        </w:tc>
        <w:tc>
          <w:tcPr>
            <w:tcW w:type="dxa" w:w="26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Welfare outcomes within domain</w:t>
            </w:r>
          </w:p>
        </w:tc>
        <w:tc>
          <w:tcPr>
            <w:tcW w:type="dxa" w:w="16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Coverage in included
studies (n = 28)</w:t>
            </w:r>
          </w:p>
        </w:tc>
        <w:tc>
          <w:tcPr>
            <w:tcW w:type="dxa" w:w="8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Studies
addressing
(%)</w:t>
            </w:r>
          </w:p>
        </w:tc>
        <w:tc>
          <w:tcPr>
            <w:tcW w:type="dxa" w:w="9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Evidence
status</w:t>
            </w:r>
          </w:p>
        </w:tc>
        <w:tc>
          <w:tcPr>
            <w:tcW w:type="dxa" w:w="900"/>
            <w:tcBorders>
              <w:top w:val="single" w:color="000000" w:sz="8"/>
              <w:left w:val="none" w:color="FFFFFF" w:sz="0"/>
              <w:bottom w:val="single" w:color="000000" w:sz="4"/>
              <w:right w:val="none" w:color="FFFFFF" w:sz="0"/>
            </w:tcBorders>
            <w:shd w:fill="D9D9D9" w:val="clear"/>
            <w:tcMar>
              <w:top w:type="dxa" w:w="50"/>
              <w:left w:type="dxa" w:w="80"/>
              <w:bottom w:type="dxa" w:w="50"/>
              <w:right w:type="dxa" w:w="80"/>
            </w:tcMar>
            <w:vAlign w:val="bottom"/>
          </w:tcPr>
          <w:p>
            <w:pPr>
              <w:spacing w:before="0" w:after="0"/>
            </w:pPr>
            <w:r>
              <w:rPr>
                <w:rFonts w:ascii="Arial" w:cs="Arial" w:eastAsia="Arial" w:hAnsi="Arial"/>
                <w:b/>
                <w:bCs/>
                <w:sz w:val="20"/>
                <w:szCs w:val="20"/>
              </w:rPr>
              <w:t xml:space="preserve">Primary
approach used</w:t>
            </w:r>
          </w:p>
        </w:tc>
      </w:tr>
      <w:tr>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Behavioural
Interactions</w:t>
            </w:r>
          </w:p>
        </w:tc>
        <w:tc>
          <w:tcPr>
            <w:tcW w:type="dxa" w:w="26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Behavioural measures; activity patterns;
posture/lying/standing; feeding/rumination;
social behaviour</w:t>
            </w:r>
          </w:p>
        </w:tc>
        <w:tc>
          <w:tcPr>
            <w:tcW w:type="dxa" w:w="16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All 5 outcome categories
addressed</w:t>
            </w:r>
          </w:p>
        </w:tc>
        <w:tc>
          <w:tcPr>
            <w:tcW w:type="dxa" w:w="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26 (93%)
15 (54%)
11 (39%)
6 (21%)
5 (18%)</w:t>
            </w:r>
          </w:p>
        </w:tc>
        <w:tc>
          <w:tcPr>
            <w:tcW w:type="dxa" w:w="9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Strong</w:t>
            </w:r>
          </w:p>
        </w:tc>
        <w:tc>
          <w:tcPr>
            <w:tcW w:type="dxa" w:w="9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Object detection;
behaviour
classification;
activity tracking</w:t>
            </w:r>
          </w:p>
        </w:tc>
      </w:tr>
      <w:tr>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Health</w:t>
            </w:r>
          </w:p>
        </w:tc>
        <w:tc>
          <w:tcPr>
            <w:tcW w:type="dxa" w:w="26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Lameness/gait; disease/health indicators;
body condition score; wound assessment;
injury scoring</w:t>
            </w:r>
          </w:p>
        </w:tc>
        <w:tc>
          <w:tcPr>
            <w:tcW w:type="dxa" w:w="16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Lameness: 1 study;
disease: 1 study;
BCS, wounds, injury:
not addressed</w:t>
            </w:r>
          </w:p>
        </w:tc>
        <w:tc>
          <w:tcPr>
            <w:tcW w:type="dxa" w:w="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2 (7%)</w:t>
            </w:r>
          </w:p>
        </w:tc>
        <w:tc>
          <w:tcPr>
            <w:tcW w:type="dxa" w:w="9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Critical
gap</w:t>
            </w:r>
          </w:p>
        </w:tc>
        <w:tc>
          <w:tcPr>
            <w:tcW w:type="dxa" w:w="9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Bimodal sensor
(lameness only)</w:t>
            </w:r>
          </w:p>
        </w:tc>
      </w:tr>
      <w:tr>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Mental State</w:t>
            </w:r>
          </w:p>
        </w:tc>
        <w:tc>
          <w:tcPr>
            <w:tcW w:type="dxa" w:w="26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Stress-related behaviour; fear indicators;
pain/nociception (facial action units);
affective state; positive welfare</w:t>
            </w:r>
          </w:p>
        </w:tc>
        <w:tc>
          <w:tcPr>
            <w:tcW w:type="dxa" w:w="16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Stress-related: 3 studies;
pain, fear, affective state,
positive welfare:
not addressed</w:t>
            </w:r>
          </w:p>
        </w:tc>
        <w:tc>
          <w:tcPr>
            <w:tcW w:type="dxa" w:w="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3 (11%)
stress only;
0% for pain
or affective
state</w:t>
            </w:r>
          </w:p>
        </w:tc>
        <w:tc>
          <w:tcPr>
            <w:tcW w:type="dxa" w:w="9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Critical
gap</w:t>
            </w:r>
          </w:p>
        </w:tc>
        <w:tc>
          <w:tcPr>
            <w:tcW w:type="dxa" w:w="9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None for pain
or affective
state</w:t>
            </w:r>
          </w:p>
        </w:tc>
      </w:tr>
      <w:tr>
        <w:tc>
          <w:tcPr>
            <w:tcW w:type="dxa" w:w="1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Nutrition</w:t>
            </w:r>
          </w:p>
        </w:tc>
        <w:tc>
          <w:tcPr>
            <w:tcW w:type="dxa" w:w="26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Feeding behaviour; rumination; access
to feed and water; feed intake</w:t>
            </w:r>
          </w:p>
        </w:tc>
        <w:tc>
          <w:tcPr>
            <w:tcW w:type="dxa" w:w="16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Feeding/rumination
captured under
Behavioural Interactions
only; no water access
or feed intake measure</w:t>
            </w:r>
          </w:p>
        </w:tc>
        <w:tc>
          <w:tcPr>
            <w:tcW w:type="dxa" w:w="8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6 (21%)
feeding only;
no access
measures</w:t>
            </w:r>
          </w:p>
        </w:tc>
        <w:tc>
          <w:tcPr>
            <w:tcW w:type="dxa" w:w="9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Partial
gap</w:t>
            </w:r>
          </w:p>
        </w:tc>
        <w:tc>
          <w:tcPr>
            <w:tcW w:type="dxa" w:w="900"/>
            <w:tcBorders>
              <w:top w:val="none" w:color="FFFFFF" w:sz="0"/>
              <w:left w:val="none" w:color="FFFFFF" w:sz="0"/>
              <w:bottom w:val="single" w:color="AAAAAA" w:sz="2"/>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Behaviour
classification
only</w:t>
            </w:r>
          </w:p>
        </w:tc>
      </w:tr>
      <w:tr>
        <w:tc>
          <w:tcPr>
            <w:tcW w:type="dxa" w:w="18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bCs/>
                <w:sz w:val="20"/>
                <w:szCs w:val="20"/>
              </w:rPr>
              <w:t xml:space="preserve">Physical
Environment</w:t>
            </w:r>
          </w:p>
        </w:tc>
        <w:tc>
          <w:tcPr>
            <w:tcW w:type="dxa" w:w="26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Thermal comfort; space allowance;
housing quality; environmental
complexity; ambient conditions</w:t>
            </w:r>
          </w:p>
        </w:tc>
        <w:tc>
          <w:tcPr>
            <w:tcW w:type="dxa" w:w="16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Not addressed as a
primary welfare outcome
in any included study</w:t>
            </w:r>
          </w:p>
        </w:tc>
        <w:tc>
          <w:tcPr>
            <w:tcW w:type="dxa" w:w="8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0 (0%)</w:t>
            </w:r>
          </w:p>
        </w:tc>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Critical
gap</w:t>
            </w:r>
          </w:p>
        </w:tc>
        <w:tc>
          <w:tcPr>
            <w:tcW w:type="dxa" w:w="900"/>
            <w:tcBorders>
              <w:top w:val="none" w:color="FFFFFF" w:sz="0"/>
              <w:left w:val="none" w:color="FFFFFF" w:sz="0"/>
              <w:bottom w:val="single" w:color="000000" w:sz="8"/>
              <w:right w:val="none" w:color="FFFFFF" w:sz="0"/>
            </w:tcBorders>
            <w:tcMar>
              <w:top w:type="dxa" w:w="50"/>
              <w:left w:type="dxa" w:w="80"/>
              <w:bottom w:type="dxa" w:w="50"/>
              <w:right w:type="dxa" w:w="80"/>
            </w:tcMar>
            <w:vAlign w:val="top"/>
          </w:tcPr>
          <w:p>
            <w:pPr>
              <w:spacing w:before="0" w:after="0"/>
            </w:pPr>
            <w:r>
              <w:rPr>
                <w:rFonts w:ascii="Arial" w:cs="Arial" w:eastAsia="Arial" w:hAnsi="Arial"/>
                <w:b w:val="false"/>
                <w:bCs w:val="false"/>
                <w:sz w:val="20"/>
                <w:szCs w:val="20"/>
              </w:rPr>
              <w:t xml:space="preserve">None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line="48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line="480"/>
      <w:outlineLvl w:val="0"/>
    </w:pPr>
    <w:rPr>
      <w:rFonts w:ascii="Arial" w:cs="Arial" w:eastAsia="Arial" w:hAnsi="Arial"/>
      <w:b/>
      <w:bCs/>
      <w:sz w:val="28"/>
      <w:szCs w:val="28"/>
    </w:rPr>
  </w:style>
  <w:style w:type="paragraph" w:styleId="Heading2">
    <w:name w:val="Heading 2"/>
    <w:basedOn w:val="Normal"/>
    <w:next w:val="Normal"/>
    <w:qFormat/>
    <w:pPr>
      <w:spacing w:before="200" w:after="100" w:line="480"/>
      <w:outlineLvl w:val="1"/>
    </w:pPr>
    <w:rPr>
      <w:rFonts w:ascii="Arial" w:cs="Arial" w:eastAsia="Arial" w:hAnsi="Arial"/>
      <w:b/>
      <w:bCs/>
      <w:sz w:val="24"/>
      <w:szCs w:val="24"/>
    </w:rPr>
  </w:style>
  <w:style w:type="paragraph" w:styleId="Heading3">
    <w:name w:val="Heading 3"/>
    <w:basedOn w:val="Normal"/>
    <w:next w:val="Normal"/>
    <w:qFormat/>
    <w:pPr>
      <w:spacing w:before="160" w:after="80" w:line="480"/>
      <w:outlineLvl w:val="2"/>
    </w:pPr>
    <w:rPr>
      <w:rFonts w:ascii="Arial" w:cs="Arial" w:eastAsia="Arial" w:hAnsi="Arial"/>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2026-03-29T19:19:56.819Z</dcterms:created>
  <dcterms:modified xsi:type="dcterms:W3CDTF">2026-03-29T19:19:56.820Z</dcterms:modified>
</cp:coreProperties>
</file>

<file path=docProps/custom.xml><?xml version="1.0" encoding="utf-8"?>
<Properties xmlns="http://schemas.openxmlformats.org/officeDocument/2006/custom-properties" xmlns:vt="http://schemas.openxmlformats.org/officeDocument/2006/docPropsVTypes"/>
</file>