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E48FD" w14:textId="6B5C446C" w:rsidR="00603FF3" w:rsidRDefault="00000000">
      <w:pPr>
        <w:spacing w:after="100"/>
        <w:jc w:val="center"/>
      </w:pPr>
      <w:proofErr w:type="spellStart"/>
      <w:r>
        <w:rPr>
          <w:b/>
          <w:bCs/>
          <w:sz w:val="32"/>
          <w:szCs w:val="32"/>
        </w:rPr>
        <w:t>HealthConnect</w:t>
      </w:r>
      <w:proofErr w:type="spellEnd"/>
      <w:r>
        <w:rPr>
          <w:b/>
          <w:bCs/>
          <w:sz w:val="32"/>
          <w:szCs w:val="32"/>
        </w:rPr>
        <w:t xml:space="preserve"> Clinic </w:t>
      </w:r>
      <w:r w:rsidR="006A19FD">
        <w:rPr>
          <w:b/>
          <w:bCs/>
          <w:sz w:val="32"/>
          <w:szCs w:val="32"/>
        </w:rPr>
        <w:t>-</w:t>
      </w:r>
      <w:r>
        <w:rPr>
          <w:b/>
          <w:bCs/>
          <w:sz w:val="32"/>
          <w:szCs w:val="32"/>
        </w:rPr>
        <w:t xml:space="preserve"> Week 5 Project Summary</w:t>
      </w:r>
    </w:p>
    <w:p w14:paraId="01B30B4C" w14:textId="297342D2" w:rsidR="00603FF3" w:rsidRDefault="00000000">
      <w:pPr>
        <w:spacing w:after="40"/>
        <w:jc w:val="center"/>
      </w:pPr>
      <w:proofErr w:type="spellStart"/>
      <w:r>
        <w:rPr>
          <w:sz w:val="22"/>
          <w:szCs w:val="22"/>
        </w:rPr>
        <w:t>AnalystLab</w:t>
      </w:r>
      <w:proofErr w:type="spellEnd"/>
      <w:r>
        <w:rPr>
          <w:sz w:val="22"/>
          <w:szCs w:val="22"/>
        </w:rPr>
        <w:t xml:space="preserve"> Africa Experience Lab </w:t>
      </w:r>
      <w:r w:rsidR="006A19FD">
        <w:rPr>
          <w:sz w:val="22"/>
          <w:szCs w:val="22"/>
        </w:rPr>
        <w:t xml:space="preserve">- </w:t>
      </w:r>
      <w:r>
        <w:rPr>
          <w:sz w:val="22"/>
          <w:szCs w:val="22"/>
        </w:rPr>
        <w:t>Data Analytics Track</w:t>
      </w:r>
    </w:p>
    <w:p w14:paraId="4CC51FFA" w14:textId="77777777" w:rsidR="00603FF3" w:rsidRDefault="00000000">
      <w:pPr>
        <w:spacing w:after="300"/>
        <w:jc w:val="center"/>
      </w:pPr>
      <w:r>
        <w:rPr>
          <w:sz w:val="22"/>
          <w:szCs w:val="22"/>
        </w:rPr>
        <w:t>Intern: Adeleke Jubril Adedeji</w:t>
      </w:r>
    </w:p>
    <w:p w14:paraId="41688A98" w14:textId="77777777" w:rsidR="00603FF3" w:rsidRDefault="00000000">
      <w:pPr>
        <w:spacing w:before="280" w:after="120"/>
      </w:pPr>
      <w:r>
        <w:rPr>
          <w:b/>
          <w:bCs/>
          <w:sz w:val="24"/>
          <w:szCs w:val="24"/>
        </w:rPr>
        <w:t>1. What I Planned to Accomplish in Week 5</w:t>
      </w:r>
    </w:p>
    <w:p w14:paraId="6299D2B7" w14:textId="77777777" w:rsidR="00603FF3" w:rsidRDefault="00000000">
      <w:pPr>
        <w:spacing w:after="160"/>
      </w:pPr>
      <w:r>
        <w:t xml:space="preserve">Following the Week 4 foundation, the plan for Week 5 was to calculate and interpret the five proposed KPIs (booking lead time, previous no-show history, reminder status, age group, and appointment type), deepen the exploratory analysis beyond the initial Week 4 checks, build an initial analytical dashboard, and produce at least five business insights for </w:t>
      </w:r>
      <w:proofErr w:type="spellStart"/>
      <w:r>
        <w:t>HealthConnect</w:t>
      </w:r>
      <w:proofErr w:type="spellEnd"/>
      <w:r>
        <w:t xml:space="preserve"> Clinic.</w:t>
      </w:r>
    </w:p>
    <w:p w14:paraId="4235AD18" w14:textId="77777777" w:rsidR="00603FF3" w:rsidRDefault="00000000">
      <w:pPr>
        <w:spacing w:before="280" w:after="120"/>
      </w:pPr>
      <w:r>
        <w:rPr>
          <w:b/>
          <w:bCs/>
          <w:sz w:val="24"/>
          <w:szCs w:val="24"/>
        </w:rPr>
        <w:t>2. What I Actually Completed</w:t>
      </w:r>
    </w:p>
    <w:p w14:paraId="203E39CD" w14:textId="77777777" w:rsidR="00603FF3" w:rsidRDefault="00000000">
      <w:pPr>
        <w:pStyle w:val="ListParagraph"/>
        <w:numPr>
          <w:ilvl w:val="0"/>
          <w:numId w:val="1"/>
        </w:numPr>
        <w:spacing w:after="80"/>
      </w:pPr>
      <w:r>
        <w:t>Re-verified data quality on the same dataset (5,000 rows, no duplicates, missing values confirmed structural, no inconsistent category labels).</w:t>
      </w:r>
    </w:p>
    <w:p w14:paraId="0E3C3D46" w14:textId="77777777" w:rsidR="00603FF3" w:rsidRDefault="00000000">
      <w:pPr>
        <w:pStyle w:val="ListParagraph"/>
        <w:numPr>
          <w:ilvl w:val="0"/>
          <w:numId w:val="1"/>
        </w:numPr>
        <w:spacing w:after="80"/>
      </w:pPr>
      <w:r>
        <w:t>Calculated and interpreted all five KPIs proposed in Week 4, each linked to its business question.</w:t>
      </w:r>
    </w:p>
    <w:p w14:paraId="38076B11" w14:textId="77777777" w:rsidR="00603FF3" w:rsidRDefault="00000000">
      <w:pPr>
        <w:pStyle w:val="ListParagraph"/>
        <w:numPr>
          <w:ilvl w:val="0"/>
          <w:numId w:val="1"/>
        </w:numPr>
        <w:spacing w:after="80"/>
      </w:pPr>
      <w:r>
        <w:t>Extended the exploratory analysis to include an interaction between booking lead time and previous no-show history, and tested whether the reminder effect varies by patient risk level.</w:t>
      </w:r>
    </w:p>
    <w:p w14:paraId="0FA32D57" w14:textId="77777777" w:rsidR="00603FF3" w:rsidRDefault="00000000">
      <w:pPr>
        <w:pStyle w:val="ListParagraph"/>
        <w:numPr>
          <w:ilvl w:val="0"/>
          <w:numId w:val="1"/>
        </w:numPr>
        <w:spacing w:after="80"/>
      </w:pPr>
      <w:r>
        <w:t xml:space="preserve">Built nine supporting </w:t>
      </w:r>
      <w:proofErr w:type="spellStart"/>
      <w:r>
        <w:t>visualisations</w:t>
      </w:r>
      <w:proofErr w:type="spellEnd"/>
      <w:r>
        <w:t xml:space="preserve"> plus a consolidated six-panel dashboard </w:t>
      </w:r>
      <w:proofErr w:type="spellStart"/>
      <w:r>
        <w:t>summarising</w:t>
      </w:r>
      <w:proofErr w:type="spellEnd"/>
      <w:r>
        <w:t xml:space="preserve"> all KPIs.</w:t>
      </w:r>
    </w:p>
    <w:p w14:paraId="020F24FF" w14:textId="77777777" w:rsidR="00603FF3" w:rsidRDefault="00000000">
      <w:pPr>
        <w:pStyle w:val="ListParagraph"/>
        <w:numPr>
          <w:ilvl w:val="0"/>
          <w:numId w:val="1"/>
        </w:numPr>
        <w:spacing w:after="80"/>
      </w:pPr>
      <w:r>
        <w:t xml:space="preserve">Documented six business insights with implications for </w:t>
      </w:r>
      <w:proofErr w:type="spellStart"/>
      <w:r>
        <w:t>HealthConnect</w:t>
      </w:r>
      <w:proofErr w:type="spellEnd"/>
      <w:r>
        <w:t>.</w:t>
      </w:r>
    </w:p>
    <w:p w14:paraId="1A0AFB91" w14:textId="77777777" w:rsidR="00603FF3" w:rsidRDefault="00000000">
      <w:pPr>
        <w:pStyle w:val="ListParagraph"/>
        <w:numPr>
          <w:ilvl w:val="0"/>
          <w:numId w:val="1"/>
        </w:numPr>
        <w:spacing w:after="80"/>
      </w:pPr>
      <w:r>
        <w:t>Reviewed and updated the Week 4 assumptions, limitations, risks, and dependencies.</w:t>
      </w:r>
    </w:p>
    <w:p w14:paraId="3261B49C" w14:textId="77777777" w:rsidR="00603FF3" w:rsidRDefault="00000000">
      <w:pPr>
        <w:pStyle w:val="ListParagraph"/>
        <w:numPr>
          <w:ilvl w:val="0"/>
          <w:numId w:val="1"/>
        </w:numPr>
        <w:spacing w:after="80"/>
      </w:pPr>
      <w:r>
        <w:t>Identified a concrete cross-track collaboration point with the Data Science track.</w:t>
      </w:r>
    </w:p>
    <w:p w14:paraId="695A815D" w14:textId="77777777" w:rsidR="00603FF3" w:rsidRDefault="00000000">
      <w:pPr>
        <w:spacing w:before="280" w:after="120"/>
      </w:pPr>
      <w:r>
        <w:rPr>
          <w:b/>
          <w:bCs/>
          <w:sz w:val="24"/>
          <w:szCs w:val="24"/>
        </w:rPr>
        <w:t>3. Key Findings or Development Outcomes</w:t>
      </w:r>
    </w:p>
    <w:p w14:paraId="5021AB92" w14:textId="77777777" w:rsidR="00603FF3" w:rsidRDefault="00000000">
      <w:pPr>
        <w:pStyle w:val="ListParagraph"/>
        <w:numPr>
          <w:ilvl w:val="0"/>
          <w:numId w:val="1"/>
        </w:numPr>
        <w:spacing w:after="80"/>
      </w:pPr>
      <w:r>
        <w:t>Booking lead time remains the strongest single predictor: no-show rate rises from 29.5% (booked within a week) to 63.9% (booked 31-60 days ahead).</w:t>
      </w:r>
    </w:p>
    <w:p w14:paraId="36BFD143" w14:textId="77777777" w:rsidR="00603FF3" w:rsidRDefault="00000000">
      <w:pPr>
        <w:pStyle w:val="ListParagraph"/>
        <w:numPr>
          <w:ilvl w:val="0"/>
          <w:numId w:val="1"/>
        </w:numPr>
        <w:spacing w:after="80"/>
      </w:pPr>
      <w:r>
        <w:t>Previous no-show history is similarly strong and rises steadily from 46.3% (no prior no-shows) to 70.3% (3+ prior no-shows).</w:t>
      </w:r>
    </w:p>
    <w:p w14:paraId="77CBCD48" w14:textId="45D732A7" w:rsidR="00603FF3" w:rsidRDefault="00000000">
      <w:pPr>
        <w:pStyle w:val="ListParagraph"/>
        <w:numPr>
          <w:ilvl w:val="0"/>
          <w:numId w:val="1"/>
        </w:numPr>
        <w:spacing w:after="80"/>
      </w:pPr>
      <w:r>
        <w:t xml:space="preserve">The two combine: patients with both a long lead time and a history of no-shows reach an 81% no-show </w:t>
      </w:r>
      <w:proofErr w:type="gramStart"/>
      <w:r>
        <w:t>rate  considerably</w:t>
      </w:r>
      <w:proofErr w:type="gramEnd"/>
      <w:r>
        <w:t xml:space="preserve"> higher than either factor alone.</w:t>
      </w:r>
    </w:p>
    <w:p w14:paraId="608F2A1B" w14:textId="77777777" w:rsidR="00603FF3" w:rsidRDefault="00000000">
      <w:pPr>
        <w:pStyle w:val="ListParagraph"/>
        <w:numPr>
          <w:ilvl w:val="0"/>
          <w:numId w:val="1"/>
        </w:numPr>
        <w:spacing w:after="80"/>
      </w:pPr>
      <w:r>
        <w:t>Reminders reduce no-shows by 4.7 points overall, but the effect roughly doubles for patients with two or more prior no-shows, indicating reminders are more valuable when targeted.</w:t>
      </w:r>
    </w:p>
    <w:p w14:paraId="6F4F3DD3" w14:textId="77777777" w:rsidR="00603FF3" w:rsidRDefault="00000000">
      <w:pPr>
        <w:pStyle w:val="ListParagraph"/>
        <w:numPr>
          <w:ilvl w:val="0"/>
          <w:numId w:val="1"/>
        </w:numPr>
        <w:spacing w:after="80"/>
      </w:pPr>
      <w:r>
        <w:t>Distance to the clinic is negligible for most patients but shows a real effect at 20-50km (60.5% no-show rate versus 48.7% for patients living within 5km).</w:t>
      </w:r>
    </w:p>
    <w:p w14:paraId="4E03B6B2" w14:textId="77777777" w:rsidR="00603FF3" w:rsidRDefault="00000000">
      <w:pPr>
        <w:pStyle w:val="ListParagraph"/>
        <w:numPr>
          <w:ilvl w:val="0"/>
          <w:numId w:val="1"/>
        </w:numPr>
        <w:spacing w:after="80"/>
      </w:pPr>
      <w:r>
        <w:t>Age group and gender remain weak predictors, consistent with the Week 4 finding.</w:t>
      </w:r>
    </w:p>
    <w:p w14:paraId="7F84ABFE" w14:textId="77777777" w:rsidR="00603FF3" w:rsidRDefault="00000000">
      <w:pPr>
        <w:spacing w:before="280" w:after="120"/>
      </w:pPr>
      <w:r>
        <w:rPr>
          <w:b/>
          <w:bCs/>
          <w:sz w:val="24"/>
          <w:szCs w:val="24"/>
        </w:rPr>
        <w:t>4. Major Challenges Encountered</w:t>
      </w:r>
    </w:p>
    <w:p w14:paraId="1FC72D9B" w14:textId="77777777" w:rsidR="00603FF3" w:rsidRDefault="00000000">
      <w:pPr>
        <w:spacing w:after="160"/>
      </w:pPr>
      <w:r>
        <w:t>The main challenge was deciding how to treat cancelled appointments in the no-show rate calculation. Cancellations are a distinct outcome from a missed appointment, so no-show rates were calculated as No-Show divided by (Attended + No-Show), excluding cancellations, to avoid understating the true no-show rate among appointments that were not proactively cancelled.</w:t>
      </w:r>
    </w:p>
    <w:p w14:paraId="372D5060" w14:textId="77777777" w:rsidR="00603FF3" w:rsidRDefault="00000000">
      <w:pPr>
        <w:spacing w:before="280" w:after="120"/>
      </w:pPr>
      <w:r>
        <w:rPr>
          <w:b/>
          <w:bCs/>
          <w:sz w:val="24"/>
          <w:szCs w:val="24"/>
        </w:rPr>
        <w:t>5. Important Decisions Made and Why</w:t>
      </w:r>
    </w:p>
    <w:p w14:paraId="60714E23" w14:textId="77777777" w:rsidR="00603FF3" w:rsidRDefault="00000000">
      <w:pPr>
        <w:pStyle w:val="ListParagraph"/>
        <w:numPr>
          <w:ilvl w:val="0"/>
          <w:numId w:val="1"/>
        </w:numPr>
        <w:spacing w:after="80"/>
      </w:pPr>
      <w:r>
        <w:t>Used percentage-based no-show rates (rather than raw counts) for all KPIs, since rates are comparable across groups of different sizes.</w:t>
      </w:r>
    </w:p>
    <w:p w14:paraId="75CF77B1" w14:textId="77777777" w:rsidR="00603FF3" w:rsidRDefault="00000000">
      <w:pPr>
        <w:pStyle w:val="ListParagraph"/>
        <w:numPr>
          <w:ilvl w:val="0"/>
          <w:numId w:val="1"/>
        </w:numPr>
        <w:spacing w:after="80"/>
      </w:pPr>
      <w:r>
        <w:t xml:space="preserve">Bucketed continuous variables (booking lead time, previous no-shows, distance) into ranges rather than </w:t>
      </w:r>
      <w:proofErr w:type="spellStart"/>
      <w:r>
        <w:t>analysing</w:t>
      </w:r>
      <w:proofErr w:type="spellEnd"/>
      <w:r>
        <w:t xml:space="preserve"> them as raw numbers, to make the KPI results easier to interpret and present.</w:t>
      </w:r>
    </w:p>
    <w:p w14:paraId="332FBF7B" w14:textId="77777777" w:rsidR="00603FF3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>Investigated an interaction effect (lead time x previous no-shows) beyond what was strictly required, because the two strongest individual predictors suggested a compounding relationship worth confirming.</w:t>
      </w:r>
    </w:p>
    <w:p w14:paraId="49D1A707" w14:textId="77777777" w:rsidR="00603FF3" w:rsidRDefault="00000000">
      <w:pPr>
        <w:spacing w:before="280" w:after="120"/>
      </w:pPr>
      <w:r>
        <w:rPr>
          <w:b/>
          <w:bCs/>
          <w:sz w:val="24"/>
          <w:szCs w:val="24"/>
        </w:rPr>
        <w:t>6. Changes to the Week 4 Approach</w:t>
      </w:r>
    </w:p>
    <w:p w14:paraId="0B018D1D" w14:textId="77777777" w:rsidR="00603FF3" w:rsidRDefault="00000000">
      <w:pPr>
        <w:spacing w:after="160"/>
      </w:pPr>
      <w:r>
        <w:t>No changes to the overall approach or dataset. Two Week 4 findings were refined rather than reversed: distance to the clinic, initially described as having negligible effect, was found to matter specifically for patients living 20-50km away; and the reminder effect, initially treated as a single modest figure, was found to vary meaningfully by patient risk group.</w:t>
      </w:r>
    </w:p>
    <w:p w14:paraId="558F55A5" w14:textId="77777777" w:rsidR="00603FF3" w:rsidRDefault="00000000">
      <w:pPr>
        <w:spacing w:before="280" w:after="120"/>
      </w:pPr>
      <w:r>
        <w:rPr>
          <w:b/>
          <w:bCs/>
          <w:sz w:val="24"/>
          <w:szCs w:val="24"/>
        </w:rPr>
        <w:t>7. Cross-Track Collaboration Completed</w:t>
      </w:r>
    </w:p>
    <w:p w14:paraId="76D5790C" w14:textId="77777777" w:rsidR="00603FF3" w:rsidRDefault="00000000">
      <w:pPr>
        <w:spacing w:after="160"/>
      </w:pPr>
      <w:r>
        <w:t>Shared the finding on the compounding effect between booking lead time and previous no-show history with the Data Science track, as a candidate engineered feature (a combined risk indicator) for their baseline model, since their Week 5 focus includes feature engineering for a no-show prediction model.</w:t>
      </w:r>
    </w:p>
    <w:p w14:paraId="7691C6F4" w14:textId="77777777" w:rsidR="00603FF3" w:rsidRDefault="00000000">
      <w:pPr>
        <w:spacing w:before="280" w:after="120"/>
      </w:pPr>
      <w:r>
        <w:rPr>
          <w:b/>
          <w:bCs/>
          <w:sz w:val="24"/>
          <w:szCs w:val="24"/>
        </w:rPr>
        <w:t>8. Remaining Work</w:t>
      </w:r>
    </w:p>
    <w:p w14:paraId="518A79BF" w14:textId="77777777" w:rsidR="00603FF3" w:rsidRDefault="00000000">
      <w:pPr>
        <w:pStyle w:val="ListParagraph"/>
        <w:numPr>
          <w:ilvl w:val="0"/>
          <w:numId w:val="1"/>
        </w:numPr>
        <w:spacing w:after="80"/>
      </w:pPr>
      <w:r>
        <w:t>Translate the dashboard visuals into a more polished, interactive report or BI tool.</w:t>
      </w:r>
    </w:p>
    <w:p w14:paraId="486D7F02" w14:textId="77777777" w:rsidR="00603FF3" w:rsidRDefault="00000000">
      <w:pPr>
        <w:pStyle w:val="ListParagraph"/>
        <w:numPr>
          <w:ilvl w:val="0"/>
          <w:numId w:val="1"/>
        </w:numPr>
        <w:spacing w:after="80"/>
      </w:pPr>
      <w:r>
        <w:t>Further investigate the distance effect for the 20-50km patient segment specifically.</w:t>
      </w:r>
    </w:p>
    <w:p w14:paraId="2BAE5BC6" w14:textId="77777777" w:rsidR="00603FF3" w:rsidRDefault="00000000">
      <w:pPr>
        <w:pStyle w:val="ListParagraph"/>
        <w:numPr>
          <w:ilvl w:val="0"/>
          <w:numId w:val="1"/>
        </w:numPr>
        <w:spacing w:after="80"/>
      </w:pPr>
      <w:r>
        <w:t>Coordinate with the Data Science track on how the combined risk indicator performs once tested in their model.</w:t>
      </w:r>
    </w:p>
    <w:p w14:paraId="5B0391EC" w14:textId="77777777" w:rsidR="00603FF3" w:rsidRDefault="00000000">
      <w:pPr>
        <w:spacing w:before="280" w:after="120"/>
      </w:pPr>
      <w:r>
        <w:rPr>
          <w:b/>
          <w:bCs/>
          <w:sz w:val="24"/>
          <w:szCs w:val="24"/>
        </w:rPr>
        <w:t>9. Proposed Focus for Week 6</w:t>
      </w:r>
    </w:p>
    <w:p w14:paraId="3301E027" w14:textId="6BBF0BA1" w:rsidR="00603FF3" w:rsidRDefault="00000000">
      <w:pPr>
        <w:spacing w:after="160"/>
      </w:pPr>
      <w:r>
        <w:t xml:space="preserve">Build on the KPI and insight work completed this week to move toward a more refined, stakeholder-facing analytical </w:t>
      </w:r>
      <w:proofErr w:type="gramStart"/>
      <w:r>
        <w:t>output  incorporating</w:t>
      </w:r>
      <w:proofErr w:type="gramEnd"/>
      <w:r>
        <w:t xml:space="preserve"> the targeted reminder and risk-segmentation findings into concrete recommendations, and continuing to support the Data Science track with analytics-driven feature ideas.</w:t>
      </w:r>
    </w:p>
    <w:sectPr w:rsidR="00603FF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65A0A"/>
    <w:multiLevelType w:val="hybridMultilevel"/>
    <w:tmpl w:val="DE666C56"/>
    <w:lvl w:ilvl="0" w:tplc="AB08C2E2">
      <w:start w:val="1"/>
      <w:numFmt w:val="bullet"/>
      <w:lvlText w:val="●"/>
      <w:lvlJc w:val="left"/>
      <w:pPr>
        <w:ind w:left="720" w:hanging="360"/>
      </w:pPr>
    </w:lvl>
    <w:lvl w:ilvl="1" w:tplc="E06A01C2">
      <w:start w:val="1"/>
      <w:numFmt w:val="bullet"/>
      <w:lvlText w:val="○"/>
      <w:lvlJc w:val="left"/>
      <w:pPr>
        <w:ind w:left="1440" w:hanging="360"/>
      </w:pPr>
    </w:lvl>
    <w:lvl w:ilvl="2" w:tplc="AF76E4B8">
      <w:start w:val="1"/>
      <w:numFmt w:val="bullet"/>
      <w:lvlText w:val="■"/>
      <w:lvlJc w:val="left"/>
      <w:pPr>
        <w:ind w:left="2160" w:hanging="360"/>
      </w:pPr>
    </w:lvl>
    <w:lvl w:ilvl="3" w:tplc="25AED54E">
      <w:start w:val="1"/>
      <w:numFmt w:val="bullet"/>
      <w:lvlText w:val="●"/>
      <w:lvlJc w:val="left"/>
      <w:pPr>
        <w:ind w:left="2880" w:hanging="360"/>
      </w:pPr>
    </w:lvl>
    <w:lvl w:ilvl="4" w:tplc="A82E9F4C">
      <w:start w:val="1"/>
      <w:numFmt w:val="bullet"/>
      <w:lvlText w:val="○"/>
      <w:lvlJc w:val="left"/>
      <w:pPr>
        <w:ind w:left="3600" w:hanging="360"/>
      </w:pPr>
    </w:lvl>
    <w:lvl w:ilvl="5" w:tplc="A4A02306">
      <w:start w:val="1"/>
      <w:numFmt w:val="bullet"/>
      <w:lvlText w:val="■"/>
      <w:lvlJc w:val="left"/>
      <w:pPr>
        <w:ind w:left="4320" w:hanging="360"/>
      </w:pPr>
    </w:lvl>
    <w:lvl w:ilvl="6" w:tplc="FEE2C5F8">
      <w:start w:val="1"/>
      <w:numFmt w:val="bullet"/>
      <w:lvlText w:val="●"/>
      <w:lvlJc w:val="left"/>
      <w:pPr>
        <w:ind w:left="5040" w:hanging="360"/>
      </w:pPr>
    </w:lvl>
    <w:lvl w:ilvl="7" w:tplc="407EB3EC">
      <w:start w:val="1"/>
      <w:numFmt w:val="bullet"/>
      <w:lvlText w:val="●"/>
      <w:lvlJc w:val="left"/>
      <w:pPr>
        <w:ind w:left="5760" w:hanging="360"/>
      </w:pPr>
    </w:lvl>
    <w:lvl w:ilvl="8" w:tplc="E2EC0914">
      <w:start w:val="1"/>
      <w:numFmt w:val="bullet"/>
      <w:lvlText w:val="●"/>
      <w:lvlJc w:val="left"/>
      <w:pPr>
        <w:ind w:left="6480" w:hanging="360"/>
      </w:pPr>
    </w:lvl>
  </w:abstractNum>
  <w:num w:numId="1" w16cid:durableId="14885940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FF3"/>
    <w:rsid w:val="00592A0C"/>
    <w:rsid w:val="005B0DDF"/>
    <w:rsid w:val="00603FF3"/>
    <w:rsid w:val="006A19FD"/>
    <w:rsid w:val="00883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0817D"/>
  <w15:docId w15:val="{BE49A87F-FD4A-4E55-BC03-555988D3F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682</Words>
  <Characters>3890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SUPERBRANDZ .</cp:lastModifiedBy>
  <cp:revision>2</cp:revision>
  <dcterms:created xsi:type="dcterms:W3CDTF">2026-09-01T11:40:00Z</dcterms:created>
  <dcterms:modified xsi:type="dcterms:W3CDTF">2026-09-01T11:40:00Z</dcterms:modified>
</cp:coreProperties>
</file>