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before="0" w:after="120" w:line="240" w:lineRule="auto"/>
        <w:jc w:val="center"/>
      </w:pPr>
      <w:r>
        <w:rPr>
          <w:rFonts w:ascii="Times New Roman" w:hAnsi="Times New Roman"/>
          <w:b/>
          <w:i w:val="0"/>
          <w:sz w:val="28"/>
        </w:rPr>
        <w:t>COMPUTER HYDROLOGICAL FORECASTING</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BY</w:t>
      </w: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UGBODAGA BENEDICT OSIKPEMI</w:t>
      </w:r>
    </w:p>
    <w:p>
      <w:pPr>
        <w:spacing w:before="0" w:after="120" w:line="240" w:lineRule="auto"/>
        <w:jc w:val="center"/>
      </w:pPr>
      <w:r>
        <w:rPr>
          <w:rFonts w:ascii="Times New Roman" w:hAnsi="Times New Roman"/>
          <w:b/>
          <w:i/>
          <w:sz w:val="24"/>
        </w:rPr>
        <w:t>190402003</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A PROJECT REPORT</w:t>
      </w:r>
    </w:p>
    <w:p>
      <w:pPr>
        <w:spacing w:before="0" w:after="120" w:line="240" w:lineRule="auto"/>
        <w:jc w:val="center"/>
      </w:pPr>
      <w:r>
        <w:rPr>
          <w:rFonts w:ascii="Times New Roman" w:hAnsi="Times New Roman"/>
          <w:b/>
          <w:i w:val="0"/>
          <w:sz w:val="24"/>
        </w:rPr>
        <w:t>SUBMITTED TO THE DEPARTMENT OF CIVIL AND ENVIRONMENTAL ENGINEERING</w:t>
      </w:r>
    </w:p>
    <w:p>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SUPERVISED BY</w:t>
      </w:r>
    </w:p>
    <w:p>
      <w:pPr>
        <w:spacing w:before="0" w:after="120" w:line="240" w:lineRule="auto"/>
        <w:jc w:val="center"/>
      </w:pPr>
      <w:r>
        <w:rPr>
          <w:rFonts w:ascii="Times New Roman" w:hAnsi="Times New Roman"/>
          <w:b w:val="0"/>
          <w:i w:val="0"/>
          <w:sz w:val="24"/>
        </w:rPr>
        <w:t>Prof. K. O. Aiyesimoju</w:t>
      </w:r>
    </w:p>
    <w:p>
      <w:pPr>
        <w:spacing w:after="0" w:line="240" w:lineRule="auto"/>
      </w:pP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FEBRUARY, 2026</w:t>
      </w:r>
    </w:p>
    <w:p>
      <w:pPr>
        <w:sectPr>
          <w:footerReference w:type="default" r:id="rId9"/>
          <w:pgSz w:w="11906" w:h="16838"/>
          <w:pgMar w:top="1134" w:right="1134" w:bottom="1134" w:left="1134" w:header="720" w:footer="720" w:gutter="0"/>
          <w:cols w:space="720"/>
          <w:docGrid w:linePitch="360"/>
        </w:sectPr>
      </w:pPr>
    </w:p>
    <w:p>
      <w:pPr>
        <w:pStyle w:val="Heading1"/>
        <w:spacing w:lineRule="auto" w:line="480" w:before="0" w:after="240"/>
        <w:jc w:val="center"/>
      </w:pPr>
      <w:r>
        <w:rPr>
          <w:rFonts w:ascii="Times New Roman" w:hAnsi="Times New Roman"/>
          <w:b/>
          <w:sz w:val="24"/>
        </w:rPr>
        <w:t>ABSTRACT</w:t>
      </w:r>
    </w:p>
    <w:p>
      <w:pPr>
        <w:spacing w:lineRule="auto" w:line="480" w:before="0" w:after="120"/>
        <w:jc w:val="both"/>
      </w:pPr>
      <w:r>
        <w:rPr>
          <w:rFonts w:ascii="Times New Roman" w:hAnsi="Times New Roman"/>
          <w:b w:val="0"/>
          <w:sz w:val="24"/>
        </w:rPr>
        <w:t>Hydrological forecasting underpins flood preparedness, reservoir operation and sustainable water resources planning. Many operational forecasting systems nevertheless remain out of reach in data-limited settings, because they demand meteorological forcing, spatial catchment data, extensive parameter calibration and, frequently, proprietary software. This study develops and evaluates a purely statistical, computer-based framework for monthly hydrological forecasting that depends on each variable's own past record alone. Three independent univariate models — for discharge, rainfall and stage — are identified, estimated and validated by an identical procedure, using the class of autoregressive integrated moving average (ARIMA) models formalised by Box and Jenkins, so that no cross-variable input, meteorological forecast or routing information is required at any stage. The framework is implemented from first principles in Python, comprising modules for monthly data aggregation, stationarity testing, model identification, parameter estimation with standard errors, stochastic ensemble generation and property-based validation. The methodology is demonstrated on thirty-five years of monthly data (1980-2014, 420 months) for the Conecuh River at United States Geological Survey gauge 02371500, drawn from the CAMELS data set and the USGS National Water Information System. Each log-transformed series was tested jointly by the Augmented Dickey-Fuller and Kwiatkowski-Phillips-Schmidt-Shin tests, and its order selected objectively by an iterative grid search minimising the Akaike Information Criterion, which identified ARIMA(4, 0, 1) for discharge, ARIMA(1, 0, 0) for rainfall, and ARIMA(4, 0, 0) for stage, each coefficient reported with its standard error. Rather than a single deterministic forecast, each fitted model generates an ensemble of 1,000 synthetic monthly sequences; validation over the independent 2004-2014 period compares the statistical properties of that ensemble — mean, variability, skewness, month-to-month persistence, seasonal amplitude, dry-spell duration and peak value — to the historical record, rather than a single forecast value to a single observed value, since a stochastic model's individual realisations are not meant to match a specific observed sequence. Discharge and rainfall reproduced all seven properties within the synthetic ensemble's 90 per cent envelope; stage reproduced 6 of 7, an honestly reported shortfall traced to residual seasonal structure not captured by the non-seasonal specification. The study demonstrates that a parsimonious, open-source and fully reproducible statistical framework, applied identically across physically distinct hydrological variables and validated by stochastic properties rather than point comparison, yields a coherent and largely successful account of monthly discharge, rainfall and stage without recourse to costly modelling platforms or dense meteorological monitoring.</w:t>
      </w:r>
    </w:p>
    <w:p>
      <w:r>
        <w:br w:type="page"/>
      </w:r>
    </w:p>
    <w:p>
      <w:pPr>
        <w:pStyle w:val="Heading1"/>
        <w:spacing w:lineRule="auto" w:line="480" w:before="0" w:after="240"/>
        <w:jc w:val="center"/>
      </w:pPr>
      <w:r>
        <w:rPr>
          <w:rFonts w:ascii="Times New Roman" w:hAnsi="Times New Roman"/>
          <w:b/>
          <w:sz w:val="24"/>
        </w:rPr>
        <w:t>CERTIFICATION</w:t>
      </w:r>
    </w:p>
    <w:p>
      <w:pPr>
        <w:spacing w:lineRule="auto" w:line="480" w:before="0" w:after="120"/>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Prof. K. O. Aiyesimoju</w:t>
        <w:tab/>
        <w:tab/>
        <w:tab/>
        <w:tab/>
        <w:t>Date</w:t>
      </w:r>
    </w:p>
    <w:p>
      <w:pPr>
        <w:spacing w:lineRule="auto" w:line="480" w:before="0" w:after="120"/>
        <w:jc w:val="left"/>
      </w:pPr>
      <w:r>
        <w:rPr>
          <w:rFonts w:ascii="Times New Roman" w:hAnsi="Times New Roman"/>
          <w:b/>
          <w:sz w:val="24"/>
        </w:rPr>
        <w:t>Project Supervisor</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Dr. K. O. Olonade</w:t>
        <w:tab/>
        <w:tab/>
        <w:tab/>
        <w:tab/>
        <w:t>Date</w:t>
      </w:r>
    </w:p>
    <w:p>
      <w:pPr>
        <w:spacing w:lineRule="auto" w:line="480" w:before="0" w:after="120"/>
        <w:jc w:val="left"/>
      </w:pPr>
      <w:r>
        <w:rPr>
          <w:rFonts w:ascii="Times New Roman" w:hAnsi="Times New Roman"/>
          <w:b/>
          <w:sz w:val="24"/>
        </w:rPr>
        <w:t>Head of Department</w:t>
      </w:r>
    </w:p>
    <w:p>
      <w:r>
        <w:br w:type="page"/>
      </w:r>
    </w:p>
    <w:p>
      <w:pPr>
        <w:pStyle w:val="Heading1"/>
        <w:spacing w:lineRule="auto" w:line="480" w:before="0" w:after="240"/>
        <w:jc w:val="center"/>
      </w:pPr>
      <w:r>
        <w:rPr>
          <w:rFonts w:ascii="Times New Roman" w:hAnsi="Times New Roman"/>
          <w:b/>
          <w:sz w:val="24"/>
        </w:rPr>
        <w:t>ACKNOWLEDGEMENT</w:t>
      </w:r>
    </w:p>
    <w:p>
      <w:pPr>
        <w:spacing w:lineRule="auto" w:line="480" w:before="0" w:after="120"/>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pPr>
        <w:spacing w:lineRule="auto" w:line="480" w:before="0" w:after="120"/>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pPr>
        <w:spacing w:lineRule="auto" w:line="480" w:before="0" w:after="120"/>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r>
        <w:br w:type="page"/>
      </w:r>
    </w:p>
    <w:p>
      <w:pPr>
        <w:pStyle w:val="Heading1"/>
        <w:spacing w:lineRule="auto" w:line="480" w:before="0" w:after="240"/>
        <w:jc w:val="center"/>
      </w:pPr>
      <w:r>
        <w:rPr>
          <w:rFonts w:ascii="Times New Roman" w:hAnsi="Times New Roman"/>
          <w:b/>
          <w:sz w:val="24"/>
        </w:rPr>
        <w:t>DEDICATION</w:t>
      </w:r>
    </w:p>
    <w:p>
      <w:pPr>
        <w:spacing w:lineRule="auto" w:line="480" w:before="0" w:after="120"/>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r>
        <w:br w:type="page"/>
      </w:r>
    </w:p>
    <w:p>
      <w:pPr>
        <w:pStyle w:val="Heading1"/>
        <w:spacing w:lineRule="auto" w:line="480" w:before="0" w:after="240"/>
        <w:jc w:val="center"/>
      </w:pPr>
      <w:r>
        <w:rPr>
          <w:rFonts w:ascii="Times New Roman" w:hAnsi="Times New Roman"/>
          <w:b/>
          <w:sz w:val="24"/>
        </w:rPr>
        <w:t>ABBREVIATIONS</w:t>
      </w:r>
    </w:p>
    <w:p>
      <w:pPr>
        <w:tabs>
          <w:tab w:pos="2268" w:val="left"/>
        </w:tabs>
        <w:spacing w:lineRule="auto" w:line="480" w:before="0" w:after="0"/>
      </w:pPr>
      <w:r>
        <w:rPr>
          <w:rFonts w:ascii="Times New Roman" w:hAnsi="Times New Roman"/>
          <w:sz w:val="24"/>
        </w:rPr>
        <w:t>ACF</w:t>
        <w:tab/>
        <w:t>Autocorrelation Function</w:t>
      </w:r>
    </w:p>
    <w:p>
      <w:pPr>
        <w:tabs>
          <w:tab w:pos="2268" w:val="left"/>
        </w:tabs>
        <w:spacing w:lineRule="auto" w:line="480" w:before="0" w:after="0"/>
      </w:pPr>
      <w:r>
        <w:rPr>
          <w:rFonts w:ascii="Times New Roman" w:hAnsi="Times New Roman"/>
          <w:sz w:val="24"/>
        </w:rPr>
        <w:t>ADF</w:t>
        <w:tab/>
        <w:t>Augmented Dickey–Fuller (test)</w:t>
      </w:r>
    </w:p>
    <w:p>
      <w:pPr>
        <w:tabs>
          <w:tab w:pos="2268" w:val="left"/>
        </w:tabs>
        <w:spacing w:lineRule="auto" w:line="480" w:before="0" w:after="0"/>
      </w:pPr>
      <w:r>
        <w:rPr>
          <w:rFonts w:ascii="Times New Roman" w:hAnsi="Times New Roman"/>
          <w:sz w:val="24"/>
        </w:rPr>
        <w:t>AIC</w:t>
        <w:tab/>
        <w:t>Akaike Information Criterion</w:t>
      </w:r>
    </w:p>
    <w:p>
      <w:pPr>
        <w:tabs>
          <w:tab w:pos="2268" w:val="left"/>
        </w:tabs>
        <w:spacing w:lineRule="auto" w:line="480" w:before="0" w:after="0"/>
      </w:pPr>
      <w:r>
        <w:rPr>
          <w:rFonts w:ascii="Times New Roman" w:hAnsi="Times New Roman"/>
          <w:sz w:val="24"/>
        </w:rPr>
        <w:t>AR</w:t>
        <w:tab/>
        <w:t>Autoregressive</w:t>
      </w:r>
    </w:p>
    <w:p>
      <w:pPr>
        <w:tabs>
          <w:tab w:pos="2268" w:val="left"/>
        </w:tabs>
        <w:spacing w:lineRule="auto" w:line="480" w:before="0" w:after="0"/>
      </w:pPr>
      <w:r>
        <w:rPr>
          <w:rFonts w:ascii="Times New Roman" w:hAnsi="Times New Roman"/>
          <w:sz w:val="24"/>
        </w:rPr>
        <w:t>ARIMA</w:t>
        <w:tab/>
        <w:t>Autoregressive Integrated Moving Average</w:t>
      </w:r>
    </w:p>
    <w:p>
      <w:pPr>
        <w:tabs>
          <w:tab w:pos="2268" w:val="left"/>
        </w:tabs>
        <w:spacing w:lineRule="auto" w:line="480" w:before="0" w:after="0"/>
      </w:pPr>
      <w:r>
        <w:rPr>
          <w:rFonts w:ascii="Times New Roman" w:hAnsi="Times New Roman"/>
          <w:sz w:val="24"/>
        </w:rPr>
        <w:t>ARIMAX</w:t>
        <w:tab/>
        <w:t>Autoregressive Integrated Moving Average with Exogenous inputs</w:t>
      </w:r>
    </w:p>
    <w:p>
      <w:pPr>
        <w:tabs>
          <w:tab w:pos="2268" w:val="left"/>
        </w:tabs>
        <w:spacing w:lineRule="auto" w:line="480" w:before="0" w:after="0"/>
      </w:pPr>
      <w:r>
        <w:rPr>
          <w:rFonts w:ascii="Times New Roman" w:hAnsi="Times New Roman"/>
          <w:sz w:val="24"/>
        </w:rPr>
        <w:t>ARMA</w:t>
        <w:tab/>
        <w:t>Autoregressive Moving Average</w:t>
      </w:r>
    </w:p>
    <w:p>
      <w:pPr>
        <w:tabs>
          <w:tab w:pos="2268" w:val="left"/>
        </w:tabs>
        <w:spacing w:lineRule="auto" w:line="480" w:before="0" w:after="0"/>
      </w:pPr>
      <w:r>
        <w:rPr>
          <w:rFonts w:ascii="Times New Roman" w:hAnsi="Times New Roman"/>
          <w:sz w:val="24"/>
        </w:rPr>
        <w:t>BIC</w:t>
        <w:tab/>
        <w:t>Bayesian Information Criterion</w:t>
      </w:r>
    </w:p>
    <w:p>
      <w:pPr>
        <w:tabs>
          <w:tab w:pos="2268" w:val="left"/>
        </w:tabs>
        <w:spacing w:lineRule="auto" w:line="480" w:before="0" w:after="0"/>
      </w:pPr>
      <w:r>
        <w:rPr>
          <w:rFonts w:ascii="Times New Roman" w:hAnsi="Times New Roman"/>
          <w:sz w:val="24"/>
        </w:rPr>
        <w:t>B.Sc.</w:t>
        <w:tab/>
        <w:t>Bachelor of Science</w:t>
      </w:r>
    </w:p>
    <w:p>
      <w:pPr>
        <w:tabs>
          <w:tab w:pos="2268" w:val="left"/>
        </w:tabs>
        <w:spacing w:lineRule="auto" w:line="480" w:before="0" w:after="0"/>
      </w:pPr>
      <w:r>
        <w:rPr>
          <w:rFonts w:ascii="Times New Roman" w:hAnsi="Times New Roman"/>
          <w:sz w:val="24"/>
        </w:rPr>
        <w:t>CAMELS</w:t>
        <w:tab/>
        <w:t>Catchment Attributes and Meteorology for Large-sample Studies</w:t>
      </w:r>
    </w:p>
    <w:p>
      <w:pPr>
        <w:tabs>
          <w:tab w:pos="2268" w:val="left"/>
        </w:tabs>
        <w:spacing w:lineRule="auto" w:line="480" w:before="0" w:after="0"/>
      </w:pPr>
      <w:r>
        <w:rPr>
          <w:rFonts w:ascii="Times New Roman" w:hAnsi="Times New Roman"/>
          <w:sz w:val="24"/>
        </w:rPr>
        <w:t>CSS</w:t>
        <w:tab/>
        <w:t>Conditional Sum of Squares</w:t>
      </w:r>
    </w:p>
    <w:p>
      <w:pPr>
        <w:tabs>
          <w:tab w:pos="2268" w:val="left"/>
        </w:tabs>
        <w:spacing w:lineRule="auto" w:line="480" w:before="0" w:after="0"/>
      </w:pPr>
      <w:r>
        <w:rPr>
          <w:rFonts w:ascii="Times New Roman" w:hAnsi="Times New Roman"/>
          <w:sz w:val="24"/>
        </w:rPr>
        <w:t>KPSS</w:t>
        <w:tab/>
        <w:t>Kwiatkowski–Phillips–Schmidt–Shin (test)</w:t>
      </w:r>
    </w:p>
    <w:p>
      <w:pPr>
        <w:tabs>
          <w:tab w:pos="2268" w:val="left"/>
        </w:tabs>
        <w:spacing w:lineRule="auto" w:line="480" w:before="0" w:after="0"/>
      </w:pPr>
      <w:r>
        <w:rPr>
          <w:rFonts w:ascii="Times New Roman" w:hAnsi="Times New Roman"/>
          <w:sz w:val="24"/>
        </w:rPr>
        <w:t>MA</w:t>
        <w:tab/>
        <w:t>Moving Average</w:t>
      </w:r>
    </w:p>
    <w:p>
      <w:pPr>
        <w:tabs>
          <w:tab w:pos="2268" w:val="left"/>
        </w:tabs>
        <w:spacing w:lineRule="auto" w:line="480" w:before="0" w:after="0"/>
      </w:pPr>
      <w:r>
        <w:rPr>
          <w:rFonts w:ascii="Times New Roman" w:hAnsi="Times New Roman"/>
          <w:sz w:val="24"/>
        </w:rPr>
        <w:t>MAE</w:t>
        <w:tab/>
        <w:t>Mean Absolute Error</w:t>
      </w:r>
    </w:p>
    <w:p>
      <w:pPr>
        <w:tabs>
          <w:tab w:pos="2268" w:val="left"/>
        </w:tabs>
        <w:spacing w:lineRule="auto" w:line="480" w:before="0" w:after="0"/>
      </w:pPr>
      <w:r>
        <w:rPr>
          <w:rFonts w:ascii="Times New Roman" w:hAnsi="Times New Roman"/>
          <w:sz w:val="24"/>
        </w:rPr>
        <w:t>MSE</w:t>
        <w:tab/>
        <w:t>Mean Squared Error</w:t>
      </w:r>
    </w:p>
    <w:p>
      <w:pPr>
        <w:tabs>
          <w:tab w:pos="2268" w:val="left"/>
        </w:tabs>
        <w:spacing w:lineRule="auto" w:line="480" w:before="0" w:after="0"/>
      </w:pPr>
      <w:r>
        <w:rPr>
          <w:rFonts w:ascii="Times New Roman" w:hAnsi="Times New Roman"/>
          <w:sz w:val="24"/>
        </w:rPr>
        <w:t>NSE</w:t>
        <w:tab/>
        <w:t>Nash–Sutcliffe Efficiency</w:t>
      </w:r>
    </w:p>
    <w:p>
      <w:pPr>
        <w:tabs>
          <w:tab w:pos="2268" w:val="left"/>
        </w:tabs>
        <w:spacing w:lineRule="auto" w:line="480" w:before="0" w:after="0"/>
      </w:pPr>
      <w:r>
        <w:rPr>
          <w:rFonts w:ascii="Times New Roman" w:hAnsi="Times New Roman"/>
          <w:sz w:val="24"/>
        </w:rPr>
        <w:t>PACF</w:t>
        <w:tab/>
        <w:t>Partial Autocorrelation Function</w:t>
      </w:r>
    </w:p>
    <w:p>
      <w:pPr>
        <w:tabs>
          <w:tab w:pos="2268" w:val="left"/>
        </w:tabs>
        <w:spacing w:lineRule="auto" w:line="480" w:before="0" w:after="0"/>
      </w:pPr>
      <w:r>
        <w:rPr>
          <w:rFonts w:ascii="Times New Roman" w:hAnsi="Times New Roman"/>
          <w:sz w:val="24"/>
        </w:rPr>
        <w:t>PBIAS</w:t>
        <w:tab/>
        <w:t>Percent Bias</w:t>
      </w:r>
    </w:p>
    <w:p>
      <w:pPr>
        <w:tabs>
          <w:tab w:pos="2268" w:val="left"/>
        </w:tabs>
        <w:spacing w:lineRule="auto" w:line="480" w:before="0" w:after="0"/>
      </w:pPr>
      <w:r>
        <w:rPr>
          <w:rFonts w:ascii="Times New Roman" w:hAnsi="Times New Roman"/>
          <w:sz w:val="24"/>
        </w:rPr>
        <w:t>PSS</w:t>
        <w:tab/>
        <w:t>Persistence Skill Score</w:t>
      </w:r>
    </w:p>
    <w:p>
      <w:pPr>
        <w:tabs>
          <w:tab w:pos="2268" w:val="left"/>
        </w:tabs>
        <w:spacing w:lineRule="auto" w:line="480" w:before="0" w:after="0"/>
      </w:pPr>
      <w:r>
        <w:rPr>
          <w:rFonts w:ascii="Times New Roman" w:hAnsi="Times New Roman"/>
          <w:sz w:val="24"/>
        </w:rPr>
        <w:t>R²</w:t>
        <w:tab/>
        <w:t>Coefficient of Determination</w:t>
      </w:r>
    </w:p>
    <w:p>
      <w:pPr>
        <w:tabs>
          <w:tab w:pos="2268" w:val="left"/>
        </w:tabs>
        <w:spacing w:lineRule="auto" w:line="480" w:before="0" w:after="0"/>
      </w:pPr>
      <w:r>
        <w:rPr>
          <w:rFonts w:ascii="Times New Roman" w:hAnsi="Times New Roman"/>
          <w:sz w:val="24"/>
        </w:rPr>
        <w:t>RMSE</w:t>
        <w:tab/>
        <w:t>Root Mean Square Error</w:t>
      </w:r>
    </w:p>
    <w:p>
      <w:pPr>
        <w:tabs>
          <w:tab w:pos="2268" w:val="left"/>
        </w:tabs>
        <w:spacing w:lineRule="auto" w:line="480" w:before="0" w:after="0"/>
      </w:pPr>
      <w:r>
        <w:rPr>
          <w:rFonts w:ascii="Times New Roman" w:hAnsi="Times New Roman"/>
          <w:sz w:val="24"/>
        </w:rPr>
        <w:t>USGS</w:t>
        <w:tab/>
        <w:t>United States Geological Survey</w:t>
      </w:r>
    </w:p>
    <w:p>
      <w:pPr>
        <w:tabs>
          <w:tab w:pos="2268" w:val="left"/>
        </w:tabs>
        <w:spacing w:lineRule="auto" w:line="480" w:before="0" w:after="0"/>
      </w:pPr>
      <w:r>
        <w:rPr>
          <w:rFonts w:ascii="Times New Roman" w:hAnsi="Times New Roman"/>
          <w:sz w:val="24"/>
        </w:rPr>
        <w:t>WMO</w:t>
        <w:tab/>
        <w:t>World Meteorological Organization</w:t>
      </w:r>
    </w:p>
    <w:p>
      <w:r>
        <w:br w:type="page"/>
      </w:r>
    </w:p>
    <w:p>
      <w:pPr>
        <w:pStyle w:val="Heading1"/>
        <w:spacing w:lineRule="auto" w:line="480" w:before="0" w:after="240"/>
        <w:jc w:val="center"/>
      </w:pPr>
      <w:r>
        <w:rPr>
          <w:rFonts w:ascii="Times New Roman" w:hAnsi="Times New Roman"/>
          <w:b/>
          <w:sz w:val="24"/>
        </w:rPr>
        <w:t>DEFINITION OF TERMS</w:t>
      </w:r>
    </w:p>
    <w:p>
      <w:pPr>
        <w:spacing w:lineRule="auto" w:line="480" w:before="0" w:after="0"/>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pPr>
        <w:spacing w:lineRule="auto" w:line="480" w:before="0" w:after="0"/>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pPr>
        <w:spacing w:lineRule="auto" w:line="480" w:before="0" w:after="0"/>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pPr>
        <w:spacing w:lineRule="auto" w:line="480" w:before="0" w:after="0"/>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pPr>
        <w:spacing w:lineRule="auto" w:line="480" w:before="0" w:after="0"/>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pPr>
        <w:spacing w:lineRule="auto" w:line="480" w:before="0" w:after="0"/>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pPr>
        <w:spacing w:lineRule="auto" w:line="480" w:before="0" w:after="0"/>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pPr>
        <w:spacing w:lineRule="auto" w:line="480" w:before="0" w:after="0"/>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pPr>
        <w:spacing w:lineRule="auto" w:line="480" w:before="0" w:after="0"/>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pPr>
        <w:spacing w:lineRule="auto" w:line="480" w:before="0" w:after="0"/>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pPr>
        <w:spacing w:lineRule="auto" w:line="480" w:before="0" w:after="0"/>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pPr>
        <w:spacing w:lineRule="auto" w:line="480" w:before="0" w:after="0"/>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pPr>
        <w:spacing w:lineRule="auto" w:line="480" w:before="0" w:after="0"/>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pPr>
        <w:spacing w:lineRule="auto" w:line="480" w:before="0" w:after="0"/>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pPr>
        <w:spacing w:lineRule="auto" w:line="480" w:before="0" w:after="0"/>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r>
        <w:br w:type="page"/>
      </w:r>
    </w:p>
    <w:p>
      <w:pPr>
        <w:pStyle w:val="Heading1"/>
        <w:spacing w:lineRule="auto" w:line="480" w:before="0" w:after="240"/>
        <w:jc w:val="center"/>
      </w:pPr>
      <w:r>
        <w:rPr>
          <w:rFonts w:ascii="Times New Roman" w:hAnsi="Times New Roman"/>
          <w:b/>
          <w:sz w:val="24"/>
        </w:rPr>
        <w:t>LIST OF FIGURES</w:t>
      </w:r>
    </w:p>
    <w:p>
      <w:pPr>
        <w:spacing w:lineRule="auto" w:line="360" w:before="0" w:after="120"/>
      </w:pPr>
      <w:r>
        <w:fldChar w:fldCharType="begin"/>
      </w:r>
      <w:r>
        <w:instrText xml:space="preserve"> TOC \h \z \t "FigureCaption,1" </w:instrText>
      </w:r>
      <w:r>
        <w:fldChar w:fldCharType="separate"/>
      </w:r>
      <w:r>
        <w:rPr>
          <w:rFonts w:ascii="Times New Roman" w:hAnsi="Times New Roman"/>
          <w:sz w:val="24"/>
        </w:rPr>
        <w:t>[Select the whole document and press F9 to build the list of figures.]</w:t>
      </w:r>
      <w:r>
        <w:fldChar w:fldCharType="end"/>
      </w:r>
    </w:p>
    <w:p>
      <w:r>
        <w:br w:type="page"/>
      </w:r>
    </w:p>
    <w:p>
      <w:pPr>
        <w:pStyle w:val="Heading1"/>
        <w:spacing w:lineRule="auto" w:line="480" w:before="0" w:after="240"/>
        <w:jc w:val="center"/>
      </w:pPr>
      <w:r>
        <w:rPr>
          <w:rFonts w:ascii="Times New Roman" w:hAnsi="Times New Roman"/>
          <w:b/>
          <w:sz w:val="24"/>
        </w:rPr>
        <w:t>LIST OF TABLES</w:t>
      </w:r>
    </w:p>
    <w:p>
      <w:pPr>
        <w:spacing w:lineRule="auto" w:line="360" w:before="0" w:after="120"/>
      </w:pPr>
      <w:r>
        <w:fldChar w:fldCharType="begin"/>
      </w:r>
      <w:r>
        <w:instrText xml:space="preserve"> TOC \h \z \t "TableCaption,1" </w:instrText>
      </w:r>
      <w:r>
        <w:fldChar w:fldCharType="separate"/>
      </w:r>
      <w:r>
        <w:rPr>
          <w:rFonts w:ascii="Times New Roman" w:hAnsi="Times New Roman"/>
          <w:sz w:val="24"/>
        </w:rPr>
        <w:t>[Select the whole document and press F9 to build the list of tables.]</w:t>
      </w:r>
      <w:r>
        <w:fldChar w:fldCharType="end"/>
      </w:r>
    </w:p>
    <w:p>
      <w:r>
        <w:br w:type="page"/>
      </w:r>
    </w:p>
    <w:p>
      <w:pPr>
        <w:pStyle w:val="Heading1"/>
        <w:spacing w:lineRule="auto" w:line="480" w:before="0" w:after="240"/>
        <w:jc w:val="center"/>
      </w:pPr>
      <w:r>
        <w:rPr>
          <w:rFonts w:ascii="Times New Roman" w:hAnsi="Times New Roman"/>
          <w:b/>
          <w:sz w:val="24"/>
        </w:rPr>
        <w:t>TABLE OF CONTENTS</w:t>
      </w:r>
    </w:p>
    <w:p>
      <w:pPr>
        <w:spacing w:lineRule="auto" w:line="360" w:before="0" w:after="120"/>
      </w:pPr>
      <w:r>
        <w:fldChar w:fldCharType="begin"/>
      </w:r>
      <w:r>
        <w:instrText xml:space="preserve"> TOC \o "1-2" \h \z \u </w:instrText>
      </w:r>
      <w:r>
        <w:fldChar w:fldCharType="separate"/>
      </w:r>
      <w:r>
        <w:rPr>
          <w:rFonts w:ascii="Times New Roman" w:hAnsi="Times New Roman"/>
          <w:sz w:val="24"/>
        </w:rPr>
        <w:t>[Select the whole document and press F9 to build the table of contents.]</w:t>
      </w:r>
      <w:r>
        <w:fldChar w:fldCharType="end"/>
      </w:r>
    </w:p>
    <w:p>
      <w:pPr>
        <w:sectPr>
          <w:footerReference w:type="default" r:id="rId10"/>
          <w:pgSz w:w="11906" w:h="16838"/>
          <w:pgMar w:top="1134" w:right="1134" w:bottom="1134" w:left="1134" w:header="720" w:footer="720" w:gutter="0"/>
          <w:cols w:space="720"/>
          <w:docGrid w:linePitch="360"/>
          <w:pgNumType w:fmt="lowerRoman" w:start="1"/>
        </w:sectPr>
      </w:pPr>
    </w:p>
    <w:p>
      <w:pPr>
        <w:pStyle w:val="Heading1"/>
        <w:spacing w:lineRule="auto" w:line="480" w:before="0" w:after="0"/>
        <w:jc w:val="center"/>
      </w:pPr>
      <w:r>
        <w:rPr>
          <w:rFonts w:ascii="Times New Roman" w:hAnsi="Times New Roman"/>
          <w:b/>
          <w:sz w:val="24"/>
        </w:rPr>
        <w:t>CHAPTER ONE</w:t>
      </w:r>
    </w:p>
    <w:p>
      <w:pPr>
        <w:pStyle w:val="Heading1"/>
        <w:spacing w:lineRule="auto" w:line="480" w:before="0" w:after="240"/>
        <w:jc w:val="center"/>
      </w:pPr>
      <w:r>
        <w:rPr>
          <w:rFonts w:ascii="Times New Roman" w:hAnsi="Times New Roman"/>
          <w:b/>
          <w:sz w:val="24"/>
        </w:rPr>
        <w:t>INTRODUCTION</w:t>
      </w:r>
    </w:p>
    <w:p>
      <w:pPr>
        <w:pStyle w:val="Heading2"/>
        <w:spacing w:lineRule="auto" w:line="480" w:before="120" w:after="0"/>
        <w:jc w:val="both"/>
      </w:pPr>
      <w:r>
        <w:rPr>
          <w:rFonts w:ascii="Times New Roman" w:hAnsi="Times New Roman"/>
          <w:b/>
          <w:sz w:val="24"/>
        </w:rPr>
        <w:t>1.1 Background to the Study</w:t>
      </w:r>
    </w:p>
    <w:p>
      <w:pPr>
        <w:spacing w:lineRule="auto" w:line="480" w:before="0" w:after="120"/>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characterise how a river's discharge, rainfall and water level are likely to vary over the coming months to years is fundamental to reservoir operation, the design of hydraulic structures such as spillways, and long-term water-resources planning.</w:t>
      </w:r>
    </w:p>
    <w:p>
      <w:pPr>
        <w:spacing w:lineRule="auto" w:line="480" w:before="0" w:after="120"/>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to multi-year. This study is concerned with the last of these: monthly-timestep forecasting over horizons of months to decades, the timescale relevant to reservoir sizing, spillway design and long-term water-resources planning (World Meteorological Organization, 2011), as distinct from the hours-to-days timescale of operational flood early warning, which is outside this study's scope.</w:t>
      </w:r>
    </w:p>
    <w:p>
      <w:pPr>
        <w:spacing w:lineRule="auto" w:line="480" w:before="0" w:after="120"/>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pPr>
        <w:spacing w:lineRule="auto" w:line="480" w:before="0" w:after="120"/>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pPr>
        <w:spacing w:lineRule="auto" w:line="480" w:before="0" w:after="120"/>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pPr>
        <w:spacing w:lineRule="auto" w:line="480" w:before="0" w:after="120"/>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pPr>
        <w:pStyle w:val="Heading2"/>
        <w:spacing w:lineRule="auto" w:line="480" w:before="120" w:after="0"/>
        <w:jc w:val="both"/>
      </w:pPr>
      <w:r>
        <w:rPr>
          <w:rFonts w:ascii="Times New Roman" w:hAnsi="Times New Roman"/>
          <w:b/>
          <w:sz w:val="24"/>
        </w:rPr>
        <w:t>1.2 Statement of the Problem</w:t>
      </w:r>
    </w:p>
    <w:p>
      <w:pPr>
        <w:spacing w:lineRule="auto" w:line="480" w:before="0" w:after="120"/>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pPr>
        <w:spacing w:lineRule="auto" w:line="480" w:before="0" w:after="120"/>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pPr>
        <w:spacing w:lineRule="auto" w:line="480" w:before="0" w:after="120"/>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pPr>
        <w:pStyle w:val="Heading2"/>
        <w:spacing w:lineRule="auto" w:line="480" w:before="120" w:after="0"/>
        <w:jc w:val="both"/>
      </w:pPr>
      <w:r>
        <w:rPr>
          <w:rFonts w:ascii="Times New Roman" w:hAnsi="Times New Roman"/>
          <w:b/>
          <w:sz w:val="24"/>
        </w:rPr>
        <w:t>1.3 Aim and Objectives of the Study</w:t>
      </w:r>
    </w:p>
    <w:p>
      <w:pPr>
        <w:spacing w:lineRule="auto" w:line="480" w:before="0" w:after="120"/>
        <w:jc w:val="both"/>
      </w:pPr>
      <w:r>
        <w:rPr>
          <w:rFonts w:ascii="Times New Roman" w:hAnsi="Times New Roman"/>
          <w:b w:val="0"/>
          <w:sz w:val="24"/>
        </w:rPr>
        <w:t>The aim of this study is to design and develop a computer-based statistical forecasting framework that predicts monthly river discharge, rainfall and stage, each from that variable's own past values alone, and to evaluate the resulting forecasts honestly by the statistical properties they reproduce, appropriate to their stochastic nature.</w:t>
      </w:r>
    </w:p>
    <w:p>
      <w:pPr>
        <w:spacing w:lineRule="auto" w:line="480" w:before="0" w:after="120"/>
        <w:jc w:val="both"/>
      </w:pPr>
      <w:r>
        <w:rPr>
          <w:rFonts w:ascii="Times New Roman" w:hAnsi="Times New Roman"/>
          <w:b/>
          <w:sz w:val="24"/>
        </w:rPr>
        <w:t>The specific objectives are:</w:t>
      </w:r>
    </w:p>
    <w:p>
      <w:pPr>
        <w:pStyle w:val="ListBullet"/>
        <w:spacing w:lineRule="auto" w:line="360" w:before="0" w:after="40"/>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pPr>
        <w:pStyle w:val="ListBullet"/>
        <w:spacing w:lineRule="auto" w:line="360" w:before="0" w:after="40"/>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pPr>
        <w:pStyle w:val="ListBullet"/>
        <w:spacing w:lineRule="auto" w:line="360" w:before="0" w:after="40"/>
        <w:jc w:val="both"/>
      </w:pPr>
      <w:r>
        <w:rPr>
          <w:rFonts w:ascii="Times New Roman" w:hAnsi="Times New Roman"/>
          <w:sz w:val="24"/>
        </w:rPr>
        <w:t>to estimate a standard error for every coefficient of every selected model, distinguishing the choice of model order from the estimation of the model's actual parameters;</w:t>
      </w:r>
    </w:p>
    <w:p>
      <w:pPr>
        <w:pStyle w:val="ListBullet"/>
        <w:spacing w:lineRule="auto" w:line="360" w:before="0" w:after="40"/>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pPr>
        <w:pStyle w:val="ListBullet"/>
        <w:spacing w:lineRule="auto" w:line="360" w:before="0" w:after="40"/>
        <w:jc w:val="both"/>
      </w:pPr>
      <w:r>
        <w:rPr>
          <w:rFonts w:ascii="Times New Roman" w:hAnsi="Times New Roman"/>
          <w:sz w:val="24"/>
        </w:rPr>
        <w:t>to verify the statistical adequacy of each fitted model through residual diagnostics.</w:t>
      </w:r>
    </w:p>
    <w:p>
      <w:pPr>
        <w:pStyle w:val="Heading2"/>
        <w:spacing w:lineRule="auto" w:line="480" w:before="120" w:after="0"/>
        <w:jc w:val="both"/>
      </w:pPr>
      <w:r>
        <w:rPr>
          <w:rFonts w:ascii="Times New Roman" w:hAnsi="Times New Roman"/>
          <w:b/>
          <w:sz w:val="24"/>
        </w:rPr>
        <w:t>1.4 Significance of the Study</w:t>
      </w:r>
    </w:p>
    <w:p>
      <w:pPr>
        <w:spacing w:lineRule="auto" w:line="480" w:before="0" w:after="120"/>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identification-estimation-validation procedure requires no input beyond a variable's own monthly record, and runs unmodified on any such record: demonstrated directly within the primary basin by applying it to three variables, and, as a supplementary check (Section 4.8), by applying it without modification to two further basins in climate regimes distinct from the primary one. That check found the procedure itself transfers — order selection, estimation and diagnostics complete successfully on unfamiliar data — while the specific qualitative pattern found at the primary basin does not universally repeat, which is the expected and honest outcome for different basins with different hydrology, not a failure of the method.</w:t>
      </w:r>
    </w:p>
    <w:p>
      <w:pPr>
        <w:spacing w:lineRule="auto" w:line="480" w:before="0" w:after="120"/>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pPr>
        <w:pStyle w:val="Heading2"/>
        <w:spacing w:lineRule="auto" w:line="480" w:before="120" w:after="0"/>
        <w:jc w:val="both"/>
      </w:pPr>
      <w:r>
        <w:rPr>
          <w:rFonts w:ascii="Times New Roman" w:hAnsi="Times New Roman"/>
          <w:b/>
          <w:sz w:val="24"/>
        </w:rPr>
        <w:t>1.5 Scope of the Study</w:t>
      </w:r>
    </w:p>
    <w:p>
      <w:pPr>
        <w:spacing w:lineRule="auto" w:line="480" w:before="0" w:after="120"/>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pPr>
        <w:spacing w:lineRule="auto" w:line="480" w:before="0" w:after="120"/>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pPr>
        <w:spacing w:lineRule="auto" w:line="480" w:before="0" w:after="120"/>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r>
        <w:br w:type="page"/>
      </w:r>
    </w:p>
    <w:p>
      <w:pPr>
        <w:pStyle w:val="Heading1"/>
        <w:spacing w:lineRule="auto" w:line="480" w:before="0" w:after="0"/>
        <w:jc w:val="center"/>
      </w:pPr>
      <w:r>
        <w:rPr>
          <w:rFonts w:ascii="Times New Roman" w:hAnsi="Times New Roman"/>
          <w:b/>
          <w:sz w:val="24"/>
        </w:rPr>
        <w:t>CHAPTER TWO</w:t>
      </w:r>
    </w:p>
    <w:p>
      <w:pPr>
        <w:pStyle w:val="Heading1"/>
        <w:spacing w:lineRule="auto" w:line="480" w:before="0" w:after="240"/>
        <w:jc w:val="center"/>
      </w:pPr>
      <w:r>
        <w:rPr>
          <w:rFonts w:ascii="Times New Roman" w:hAnsi="Times New Roman"/>
          <w:b/>
          <w:sz w:val="24"/>
        </w:rPr>
        <w:t>LITERATURE REVIEW</w:t>
      </w:r>
    </w:p>
    <w:p>
      <w:pPr>
        <w:pStyle w:val="Heading2"/>
        <w:spacing w:lineRule="auto" w:line="480" w:before="120" w:after="0"/>
        <w:jc w:val="both"/>
      </w:pPr>
      <w:r>
        <w:rPr>
          <w:rFonts w:ascii="Times New Roman" w:hAnsi="Times New Roman"/>
          <w:b/>
          <w:sz w:val="24"/>
        </w:rPr>
        <w:t>2.1 Introduction</w:t>
      </w:r>
    </w:p>
    <w:p>
      <w:pPr>
        <w:spacing w:lineRule="auto" w:line="480" w:before="0" w:after="120"/>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pPr>
        <w:spacing w:lineRule="auto" w:line="480" w:before="0" w:after="120"/>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pPr>
        <w:pStyle w:val="Heading2"/>
        <w:spacing w:lineRule="auto" w:line="480" w:before="120" w:after="0"/>
        <w:jc w:val="both"/>
      </w:pPr>
      <w:r>
        <w:rPr>
          <w:rFonts w:ascii="Times New Roman" w:hAnsi="Times New Roman"/>
          <w:b/>
          <w:sz w:val="24"/>
        </w:rPr>
        <w:t>2.2 The Hydrological Cycle and Catchment Response</w:t>
      </w:r>
    </w:p>
    <w:p>
      <w:pPr>
        <w:spacing w:lineRule="auto" w:line="480" w:before="0" w:after="120"/>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pPr>
        <w:tabs>
          <w:tab w:pos="9638" w:val="right"/>
        </w:tabs>
        <w:spacing w:lineRule="auto" w:line="360" w:before="120" w:after="120"/>
        <w:jc w:val="center"/>
      </w:pPr>
      <w:r>
        <w:rPr>
          <w:rFonts w:ascii="Times New Roman" w:hAnsi="Times New Roman"/>
          <w:i/>
          <w:sz w:val="24"/>
        </w:rPr>
        <w:t>dS/dt = P − Q − ET − L</w:t>
      </w:r>
      <w:r>
        <w:rPr>
          <w:rFonts w:ascii="Times New Roman" w:hAnsi="Times New Roman"/>
          <w:sz w:val="24"/>
        </w:rPr>
        <w:tab/>
        <w:t>(1)</w:t>
      </w:r>
    </w:p>
    <w:p>
      <w:pPr>
        <w:spacing w:lineRule="auto" w:line="480" w:before="0" w:after="120"/>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pPr>
        <w:spacing w:lineRule="auto" w:line="480" w:before="0" w:after="120"/>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pPr>
        <w:pStyle w:val="Heading2"/>
        <w:spacing w:lineRule="auto" w:line="480" w:before="120" w:after="0"/>
        <w:jc w:val="both"/>
      </w:pPr>
      <w:r>
        <w:rPr>
          <w:rFonts w:ascii="Times New Roman" w:hAnsi="Times New Roman"/>
          <w:b/>
          <w:sz w:val="24"/>
        </w:rPr>
        <w:t>2.3 Classification of Hydrological Forecasting Models</w:t>
      </w:r>
    </w:p>
    <w:p>
      <w:pPr>
        <w:spacing w:lineRule="auto" w:line="480" w:before="0" w:after="120"/>
        <w:jc w:val="both"/>
      </w:pPr>
      <w:r>
        <w:rPr>
          <w:rFonts w:ascii="Times New Roman" w:hAnsi="Times New Roman"/>
          <w:b w:val="0"/>
          <w:sz w:val="24"/>
        </w:rPr>
        <w:t>Hydrological models are conventionally grouped into three families according to how much physical process representation they contain.</w:t>
      </w:r>
    </w:p>
    <w:p>
      <w:pPr>
        <w:spacing w:lineRule="auto" w:line="480" w:before="0" w:after="120"/>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pPr>
        <w:spacing w:lineRule="auto" w:line="480" w:before="0" w:after="120"/>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pPr>
        <w:spacing w:lineRule="auto" w:line="480" w:before="0" w:after="120"/>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pPr>
        <w:spacing w:lineRule="auto" w:line="480" w:before="0" w:after="120"/>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pPr>
        <w:pStyle w:val="Heading2"/>
        <w:spacing w:lineRule="auto" w:line="480" w:before="120" w:after="0"/>
        <w:jc w:val="both"/>
      </w:pPr>
      <w:r>
        <w:rPr>
          <w:rFonts w:ascii="Times New Roman" w:hAnsi="Times New Roman"/>
          <w:b/>
          <w:sz w:val="24"/>
        </w:rPr>
        <w:t>2.4 Statistical Time-Series Modelling of Streamflow</w:t>
      </w:r>
    </w:p>
    <w:p>
      <w:pPr>
        <w:spacing w:lineRule="auto" w:line="480" w:before="0" w:after="120"/>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pPr>
        <w:spacing w:lineRule="auto" w:line="480" w:before="0" w:after="120"/>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pPr>
        <w:tabs>
          <w:tab w:pos="9638" w:val="right"/>
        </w:tabs>
        <w:spacing w:lineRule="auto" w:line="360" w:before="120" w:after="120"/>
        <w:jc w:val="center"/>
      </w:pPr>
      <w:r>
        <w:rPr>
          <w:rFonts w:ascii="Times New Roman" w:hAnsi="Times New Roman"/>
          <w:i/>
          <w:sz w:val="24"/>
        </w:rPr>
        <w:t>z(t) = c + φ1 z(t−1) + … + φp z(t−p) + a(t)</w:t>
      </w:r>
      <w:r>
        <w:rPr>
          <w:rFonts w:ascii="Times New Roman" w:hAnsi="Times New Roman"/>
          <w:sz w:val="24"/>
        </w:rPr>
        <w:tab/>
        <w:t>(2)</w:t>
      </w:r>
    </w:p>
    <w:p>
      <w:pPr>
        <w:spacing w:lineRule="auto" w:line="480" w:before="0" w:after="120"/>
        <w:jc w:val="both"/>
      </w:pPr>
      <w:r>
        <w:rPr>
          <w:rFonts w:ascii="Times New Roman" w:hAnsi="Times New Roman"/>
          <w:b w:val="0"/>
          <w:sz w:val="24"/>
        </w:rPr>
        <w:t>In a moving-average model of order q, written MA(q), the present value depends instead on the q previous random shocks:</w:t>
      </w:r>
    </w:p>
    <w:p>
      <w:pPr>
        <w:tabs>
          <w:tab w:pos="9638" w:val="right"/>
        </w:tabs>
        <w:spacing w:lineRule="auto" w:line="360" w:before="120" w:after="120"/>
        <w:jc w:val="center"/>
      </w:pPr>
      <w:r>
        <w:rPr>
          <w:rFonts w:ascii="Times New Roman" w:hAnsi="Times New Roman"/>
          <w:i/>
          <w:sz w:val="24"/>
        </w:rPr>
        <w:t>z(t) = μ + a(t) + θ1 a(t−1) + … + θq a(t−q)</w:t>
      </w:r>
      <w:r>
        <w:rPr>
          <w:rFonts w:ascii="Times New Roman" w:hAnsi="Times New Roman"/>
          <w:sz w:val="24"/>
        </w:rPr>
        <w:tab/>
        <w:t>(3)</w:t>
      </w:r>
    </w:p>
    <w:p>
      <w:pPr>
        <w:spacing w:lineRule="auto" w:line="480" w:before="0" w:after="120"/>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pPr>
        <w:spacing w:lineRule="auto" w:line="480" w:before="0" w:after="120"/>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pPr>
        <w:spacing w:lineRule="auto" w:line="480" w:before="0" w:after="120"/>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of the three variables.</w:t>
      </w:r>
    </w:p>
    <w:p>
      <w:pPr>
        <w:pStyle w:val="Heading2"/>
        <w:spacing w:lineRule="auto" w:line="480" w:before="120" w:after="0"/>
        <w:jc w:val="both"/>
      </w:pPr>
      <w:r>
        <w:rPr>
          <w:rFonts w:ascii="Times New Roman" w:hAnsi="Times New Roman"/>
          <w:b/>
          <w:sz w:val="24"/>
        </w:rPr>
        <w:t>2.5 Stationarity, Transformation and Differencing</w:t>
      </w:r>
    </w:p>
    <w:p>
      <w:pPr>
        <w:spacing w:lineRule="auto" w:line="480" w:before="0" w:after="120"/>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pPr>
        <w:spacing w:lineRule="auto" w:line="480" w:before="0" w:after="120"/>
        <w:jc w:val="both"/>
      </w:pPr>
      <w:r>
        <w:rPr>
          <w:rFonts w:ascii="Times New Roman" w:hAnsi="Times New Roman"/>
          <w:b w:val="0"/>
          <w:sz w:val="24"/>
        </w:rPr>
        <w:t>The transformation carries a consequence that matters for a deterministic, single-valued forecast and is frequently overlooked there. Because the exponential function is convex, exponentiating a single point forecast made on the logarithmic scale recovers the median rather than the mean of the predictive distribution, and therefore systematically under-estimates the expected value by an amount that grows with the forecast variance. Duan (1983) proposed a nonparametric smearing estimator to correct this retransformation bias, and an analytical log-normal correction is available as an alternative. Chapter Three does not use either: because this study forecasts by generating a stochastic ensemble rather than a single point value (Section 3.6), each ensemble member is exponentiated individually and the ensemble mean is then a Monte Carlo estimate of the true expected value, unbiased by construction without any explicit correction term. The retransformation-bias problem this section describes is real, but it is a problem for point forecasting specifically, and the ensemble approach adopted here sidesteps it rather than correcting for it after the fact.</w:t>
      </w:r>
    </w:p>
    <w:p>
      <w:pPr>
        <w:spacing w:lineRule="auto" w:line="480" w:before="0" w:after="120"/>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pPr>
        <w:pStyle w:val="Heading2"/>
        <w:spacing w:lineRule="auto" w:line="480" w:before="120" w:after="0"/>
        <w:jc w:val="both"/>
      </w:pPr>
      <w:r>
        <w:rPr>
          <w:rFonts w:ascii="Times New Roman" w:hAnsi="Times New Roman"/>
          <w:b/>
          <w:sz w:val="24"/>
        </w:rPr>
        <w:t>2.6 Model Identification, Estimation and Order Selection</w:t>
      </w:r>
    </w:p>
    <w:p>
      <w:pPr>
        <w:spacing w:lineRule="auto" w:line="480" w:before="0" w:after="120"/>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pPr>
        <w:spacing w:lineRule="auto" w:line="480" w:before="0" w:after="120"/>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pPr>
        <w:spacing w:lineRule="auto" w:line="480" w:before="0" w:after="120"/>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pPr>
        <w:spacing w:lineRule="auto" w:line="480" w:before="0" w:after="120"/>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pPr>
        <w:pStyle w:val="Heading2"/>
        <w:spacing w:lineRule="auto" w:line="480" w:before="120" w:after="0"/>
        <w:jc w:val="both"/>
      </w:pPr>
      <w:r>
        <w:rPr>
          <w:rFonts w:ascii="Times New Roman" w:hAnsi="Times New Roman"/>
          <w:b/>
          <w:sz w:val="24"/>
        </w:rPr>
        <w:t>2.7 Forecast Verification and the Choice of Benchmark</w:t>
      </w:r>
    </w:p>
    <w:p>
      <w:pPr>
        <w:spacing w:lineRule="auto" w:line="480" w:before="0" w:after="120"/>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pPr>
        <w:spacing w:lineRule="auto" w:line="480" w:before="0" w:after="120"/>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conventional response, for a model that issues a single deterministic forecast value at each lead time, is to score it against persistence directly by means of a skill score, defined as one minus the ratio of the model's mean squared error to that of persistence.</w:t>
      </w:r>
    </w:p>
    <w:p>
      <w:pPr>
        <w:spacing w:lineRule="auto" w:line="480" w:before="0" w:after="120"/>
        <w:jc w:val="both"/>
      </w:pPr>
      <w:r>
        <w:rPr>
          <w:rFonts w:ascii="Times New Roman" w:hAnsi="Times New Roman"/>
          <w:b w:val="0"/>
          <w:sz w:val="24"/>
        </w:rPr>
        <w:t>This entire verification tradition — efficiency, skill score, rolling-origin evaluation against a point-forecast benchmark — presupposes that the model produces one forecast value to be scored against one observed value. That precondition does not hold for the stochastic models developed in this study (Section 3.6): each model generates an ensemble of plausible future sequences, not a single value, so there is no single forecast to place in the numerator of an efficiency or skill-score calculation without arbitrarily collapsing the ensemble to one number and discarding the very information the stochastic approach exists to represent. Section 2.8 develops the alternative this study actually adopts: validation by the statistical properties an ensemble reproduces, rather than by scoring a single collapsed value against a single observed one. The efficiency and skill-score literature reviewed above remains the right standard for a deterministic point-forecasting model; it is reviewed here because it motivated the property-based alternative by showing what a benchmark-aware verification standard should demand, not because this study computes it.</w:t>
      </w:r>
    </w:p>
    <w:p>
      <w:pPr>
        <w:pStyle w:val="Heading2"/>
        <w:spacing w:lineRule="auto" w:line="480" w:before="120" w:after="0"/>
        <w:jc w:val="both"/>
      </w:pPr>
      <w:r>
        <w:rPr>
          <w:rFonts w:ascii="Times New Roman" w:hAnsi="Times New Roman"/>
          <w:b/>
          <w:sz w:val="24"/>
        </w:rPr>
        <w:t>2.8 Forecast Uncertainty and Error Growth with Lead Time</w:t>
      </w:r>
    </w:p>
    <w:p>
      <w:pPr>
        <w:spacing w:lineRule="auto" w:line="480" w:before="0" w:after="120"/>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pPr>
        <w:spacing w:lineRule="auto" w:line="480" w:before="0" w:after="120"/>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pPr>
        <w:pStyle w:val="Heading2"/>
        <w:spacing w:lineRule="auto" w:line="480" w:before="120" w:after="0"/>
        <w:jc w:val="both"/>
      </w:pPr>
      <w:r>
        <w:rPr>
          <w:rFonts w:ascii="Times New Roman" w:hAnsi="Times New Roman"/>
          <w:b/>
          <w:sz w:val="24"/>
        </w:rPr>
        <w:t>2.9 Computational Hydrology and Open-Source Implementation</w:t>
      </w:r>
    </w:p>
    <w:p>
      <w:pPr>
        <w:spacing w:lineRule="auto" w:line="480" w:before="0" w:after="120"/>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pPr>
        <w:spacing w:lineRule="auto" w:line="480" w:before="0" w:after="120"/>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pPr>
        <w:pStyle w:val="Heading2"/>
        <w:spacing w:lineRule="auto" w:line="480" w:before="120" w:after="0"/>
        <w:jc w:val="both"/>
      </w:pPr>
      <w:r>
        <w:rPr>
          <w:rFonts w:ascii="Times New Roman" w:hAnsi="Times New Roman"/>
          <w:b/>
          <w:sz w:val="24"/>
        </w:rPr>
        <w:t>2.10 Research Gap</w:t>
      </w:r>
    </w:p>
    <w:p>
      <w:pPr>
        <w:spacing w:lineRule="auto" w:line="480" w:before="0" w:after="120"/>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pPr>
        <w:spacing w:lineRule="auto" w:line="480" w:before="0" w:after="120"/>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r>
        <w:br w:type="page"/>
      </w:r>
    </w:p>
    <w:p>
      <w:pPr>
        <w:pStyle w:val="Heading1"/>
        <w:spacing w:lineRule="auto" w:line="480" w:before="0" w:after="0"/>
        <w:jc w:val="center"/>
      </w:pPr>
      <w:r>
        <w:rPr>
          <w:rFonts w:ascii="Times New Roman" w:hAnsi="Times New Roman"/>
          <w:b/>
          <w:sz w:val="24"/>
        </w:rPr>
        <w:t>CHAPTER THREE</w:t>
      </w:r>
    </w:p>
    <w:p>
      <w:pPr>
        <w:pStyle w:val="Heading1"/>
        <w:spacing w:lineRule="auto" w:line="480" w:before="0" w:after="240"/>
        <w:jc w:val="center"/>
      </w:pPr>
      <w:r>
        <w:rPr>
          <w:rFonts w:ascii="Times New Roman" w:hAnsi="Times New Roman"/>
          <w:b/>
          <w:sz w:val="24"/>
        </w:rPr>
        <w:t>MATERIALS AND METHODS</w:t>
      </w:r>
    </w:p>
    <w:p>
      <w:pPr>
        <w:pStyle w:val="Heading2"/>
        <w:spacing w:lineRule="auto" w:line="480" w:before="120" w:after="0"/>
        <w:jc w:val="both"/>
      </w:pPr>
      <w:r>
        <w:rPr>
          <w:rFonts w:ascii="Times New Roman" w:hAnsi="Times New Roman"/>
          <w:b/>
          <w:sz w:val="24"/>
        </w:rPr>
        <w:t>3.1 Introduction</w:t>
      </w:r>
    </w:p>
    <w:p>
      <w:pPr>
        <w:spacing w:lineRule="auto" w:line="480" w:before="0" w:after="120"/>
        <w:jc w:val="both"/>
      </w:pPr>
      <w:r>
        <w:rPr>
          <w:rFonts w:ascii="Times New Roman" w:hAnsi="Times New Roman"/>
          <w:b w:val="0"/>
          <w:sz w:val="24"/>
        </w:rPr>
        <w:t>This chapter presents the materials and methods used to develop and evaluate a statistical hydrological forecasting framework for the Conecuh River at Brantley, Alabama, USA (USGS 02371500). The approach is purely statistical and, in a specific sense, deliberately threefold: rather than building a single model that forecasts discharge, three independent univariate ARIMA models are identified, estimated and validated, one each for discharge, rainfall and stage, each from its own past monthly values only. No variable is used to forecast another.</w:t>
      </w:r>
    </w:p>
    <w:p>
      <w:pPr>
        <w:spacing w:lineRule="auto" w:line="480" w:before="0" w:after="120"/>
        <w:jc w:val="both"/>
      </w:pPr>
      <w:r>
        <w:rPr>
          <w:rFonts w:ascii="Times New Roman" w:hAnsi="Times New Roman"/>
          <w:b w:val="0"/>
          <w:sz w:val="24"/>
        </w:rPr>
        <w:t>The chapter describes the study basin and data sources, the aggregation of daily records to a monthly timestep, the theoretical basis of the ARIMA model, the Box–Jenkins identification and estimation procedure applied independently to each variable, the stochastic forecasting and property-based validation procedure that replaces point-forecast comparison, the software implementation, and the interactive web application built on it.</w:t>
      </w:r>
    </w:p>
    <w:p>
      <w:pPr>
        <w:spacing w:lineRule="auto" w:line="480" w:before="0" w:after="120"/>
        <w:jc w:val="both"/>
      </w:pPr>
      <w:r>
        <w:rPr>
          <w:rFonts w:ascii="Times New Roman" w:hAnsi="Times New Roman"/>
          <w:b w:val="0"/>
          <w:sz w:val="24"/>
        </w:rPr>
        <w:t>The motivation for a monthly, rather than daily, timestep is methodological. Differencing a daily discharge series, which never genuinely trends over the timescale of a differencing operation, gains little: the operation is intended to remove trend and seasonal drift, and a daily river rarely has enough of either within the span the differencing operator addresses for the operation to matter. A monthly series is a different proposition: monthly totals and means carry a real annual cycle, so differencing can do genuine work in removing it. The choice of timestep is therefore tied to what the differencing step in ARIMA is actually for, not merely a matter of convenience.</w:t>
      </w:r>
    </w:p>
    <w:p>
      <w:pPr>
        <w:spacing w:lineRule="auto" w:line="480" w:before="0" w:after="120"/>
        <w:jc w:val="both"/>
      </w:pPr>
      <w:r>
        <w:rPr>
          <w:rFonts w:ascii="Times New Roman" w:hAnsi="Times New Roman"/>
          <w:b w:val="0"/>
          <w:sz w:val="24"/>
        </w:rPr>
        <w:t>The motivation for validating by statistical properties rather than by point comparison is equally methodological, and follows from the nature of a stochastic model. A single forecast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the exact future trajectory but its statistical character — its mean, its variability, its persistence, its seasonality and the severity of its extremes — which is precisely the information required for applications such as reservoir and spillway sizing. Section 3.6 develops the ensemble-generation and property-comparison procedure used to test this.</w:t>
      </w:r>
    </w:p>
    <w:p>
      <w:pPr>
        <w:pStyle w:val="Heading2"/>
        <w:spacing w:lineRule="auto" w:line="480" w:before="120" w:after="0"/>
        <w:jc w:val="both"/>
      </w:pPr>
      <w:r>
        <w:rPr>
          <w:rFonts w:ascii="Times New Roman" w:hAnsi="Times New Roman"/>
          <w:b/>
          <w:sz w:val="24"/>
        </w:rPr>
        <w:t>3.2 Study Area and Data Sources</w:t>
      </w:r>
    </w:p>
    <w:p>
      <w:pPr>
        <w:spacing w:lineRule="auto" w:line="480" w:before="0" w:after="120"/>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pPr>
        <w:spacing w:lineRule="auto" w:line="480" w:before="0" w:after="120"/>
        <w:jc w:val="both"/>
      </w:pPr>
      <w:r>
        <w:rPr>
          <w:rFonts w:ascii="Times New Roman" w:hAnsi="Times New Roman"/>
          <w:b w:val="0"/>
          <w:sz w:val="24"/>
        </w:rPr>
        <w:t>Three variables were assembled for this basin, each from its primary public source, and each independently modelled:</w:t>
      </w:r>
    </w:p>
    <w:p>
      <w:pPr>
        <w:spacing w:lineRule="auto" w:line="480" w:before="0" w:after="120"/>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pPr>
        <w:spacing w:lineRule="auto" w:line="480" w:before="0" w:after="120"/>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pPr>
        <w:spacing w:lineRule="auto" w:line="480" w:before="0" w:after="120"/>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pPr>
        <w:spacing w:lineRule="auto" w:line="480" w:before="0" w:after="120"/>
        <w:jc w:val="both"/>
      </w:pPr>
      <w:r>
        <w:rPr>
          <w:rFonts w:ascii="Times New Roman" w:hAnsi="Times New Roman"/>
          <w:b w:val="0"/>
          <w:sz w:val="24"/>
        </w:rPr>
        <w:t>No variable was used as an input to forecast another: each of the three ARIMA models depends solely on that variable's own past. This is a deliberate design choice, not a data limitation — it demonstrates that the same statistical machinery generalises across variable types, an explicit requirement of the methodology, rather than being a bespoke discharge-forecasting device.</w:t>
      </w:r>
    </w:p>
    <w:p>
      <w:pPr>
        <w:spacing w:lineRule="auto" w:line="480" w:before="0" w:after="120"/>
        <w:jc w:val="both"/>
      </w:pPr>
      <w:r>
        <w:rPr>
          <w:rFonts w:ascii="Times New Roman" w:hAnsi="Times New Roman"/>
          <w:b w:val="0"/>
          <w:sz w:val="24"/>
        </w:rPr>
        <w:t>One qualification to that generalisation claim should be stated plainly rather than left implicit. Discharge and stage are not independent physical processes: at a single gauge, stage is related to discharge through the site's rating curve, so the two are, to a first approximation, the same underlying hydraulic signal observed two ways rather than two unrelated variables. Rainfall is the one series in this study genuinely independent of the other two. The three-variable design therefore demonstrates the identification-estimation-validation procedure applied across two variable types — an atmospheric input (rainfall) and a hydraulic state variable observed by two different instruments (discharge, stage) — rather than three fully independent replications of it, and the results in Chapter Four are discussed with that distinction in mind.</w:t>
      </w:r>
    </w:p>
    <w:p>
      <w:pPr>
        <w:pStyle w:val="Heading2"/>
        <w:spacing w:lineRule="auto" w:line="480" w:before="120" w:after="0"/>
        <w:jc w:val="both"/>
      </w:pPr>
      <w:r>
        <w:rPr>
          <w:rFonts w:ascii="Times New Roman" w:hAnsi="Times New Roman"/>
          <w:b/>
          <w:sz w:val="24"/>
        </w:rPr>
        <w:t>3.3 Data Pre-processing</w:t>
      </w:r>
    </w:p>
    <w:p>
      <w:pPr>
        <w:spacing w:lineRule="auto" w:line="480" w:before="0" w:after="120"/>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1).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pPr>
        <w:spacing w:lineRule="auto" w:line="480" w:before="0" w:after="120"/>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pPr>
        <w:spacing w:lineRule="auto" w:line="240" w:before="160" w:after="40"/>
        <w:jc w:val="center"/>
      </w:pPr>
      <w:r>
        <w:drawing>
          <wp:inline xmlns:a="http://schemas.openxmlformats.org/drawingml/2006/main" xmlns:pic="http://schemas.openxmlformats.org/drawingml/2006/picture">
            <wp:extent cx="5580000" cy="4311818"/>
            <wp:docPr id="1" name="Picture 1"/>
            <wp:cNvGraphicFramePr>
              <a:graphicFrameLocks noChangeAspect="1"/>
            </wp:cNvGraphicFramePr>
            <a:graphic>
              <a:graphicData uri="http://schemas.openxmlformats.org/drawingml/2006/picture">
                <pic:pic>
                  <pic:nvPicPr>
                    <pic:cNvPr id="0" name="Fig1_DischargeTimeSeries.png"/>
                    <pic:cNvPicPr/>
                  </pic:nvPicPr>
                  <pic:blipFill>
                    <a:blip r:embed="rId12"/>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p>
    <w:p>
      <w:pPr>
        <w:pStyle w:val="Heading2"/>
        <w:spacing w:lineRule="auto" w:line="480" w:before="120" w:after="0"/>
        <w:jc w:val="both"/>
      </w:pPr>
      <w:r>
        <w:rPr>
          <w:rFonts w:ascii="Times New Roman" w:hAnsi="Times New Roman"/>
          <w:b/>
          <w:sz w:val="24"/>
        </w:rPr>
        <w:t>3.4 Theoretical Framework</w:t>
      </w:r>
    </w:p>
    <w:p>
      <w:pPr>
        <w:spacing w:lineRule="auto" w:line="480" w:before="0" w:after="120"/>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forecasting, and — the point developed in Section 2.4 — applies it identically to three different hydrological variables to demonstrate that the methodology, not any single fitted model, is what transfers.</w:t>
      </w:r>
    </w:p>
    <w:p>
      <w:pPr>
        <w:spacing w:lineRule="auto" w:line="480" w:before="0" w:after="120"/>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pPr>
        <w:tabs>
          <w:tab w:pos="9638" w:val="right"/>
        </w:tabs>
        <w:spacing w:lineRule="auto" w:line="360" w:before="120" w:after="120"/>
        <w:jc w:val="center"/>
      </w:pPr>
      <w:r>
        <w:rPr>
          <w:rFonts w:ascii="Times New Roman" w:hAnsi="Times New Roman"/>
          <w:i/>
          <w:sz w:val="24"/>
        </w:rPr>
        <w:t>φ(B) (1 − B)^d z(t) = c + θ(B) a(t)</w:t>
      </w:r>
      <w:r>
        <w:rPr>
          <w:rFonts w:ascii="Times New Roman" w:hAnsi="Times New Roman"/>
          <w:sz w:val="24"/>
        </w:rPr>
        <w:tab/>
        <w:t>(4)</w:t>
      </w:r>
    </w:p>
    <w:p>
      <w:pPr>
        <w:spacing w:lineRule="auto" w:line="480" w:before="0" w:after="120"/>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pPr>
        <w:tabs>
          <w:tab w:pos="9638" w:val="right"/>
        </w:tabs>
        <w:spacing w:lineRule="auto" w:line="360" w:before="120" w:after="120"/>
        <w:jc w:val="center"/>
      </w:pPr>
      <w:r>
        <w:rPr>
          <w:rFonts w:ascii="Times New Roman" w:hAnsi="Times New Roman"/>
          <w:i/>
          <w:sz w:val="24"/>
        </w:rPr>
        <w:t>w(t) = c + φ1 w(t−1) + … + φp w(t−p) + a(t) + θ1 a(t−1) + … + θq a(t−q)</w:t>
      </w:r>
      <w:r>
        <w:rPr>
          <w:rFonts w:ascii="Times New Roman" w:hAnsi="Times New Roman"/>
          <w:sz w:val="24"/>
        </w:rPr>
        <w:tab/>
        <w:t>(5)</w:t>
      </w:r>
    </w:p>
    <w:p>
      <w:pPr>
        <w:spacing w:lineRule="auto" w:line="480" w:before="0" w:after="120"/>
        <w:jc w:val="both"/>
      </w:pPr>
      <w:r>
        <w:rPr>
          <w:rFonts w:ascii="Times New Roman" w:hAnsi="Times New Roman"/>
          <w:b w:val="0"/>
          <w:sz w:val="24"/>
        </w:rPr>
        <w:t>For each of the three variables, the task of model building is to determine the orders p, d and q and to estimate the coefficients φ, θ and c, independently. This is accomplished through the Box–Jenkins procedure described in the following section.</w:t>
      </w:r>
    </w:p>
    <w:p>
      <w:pPr>
        <w:pStyle w:val="Heading2"/>
        <w:spacing w:lineRule="auto" w:line="480" w:before="120" w:after="0"/>
        <w:jc w:val="both"/>
      </w:pPr>
      <w:r>
        <w:rPr>
          <w:rFonts w:ascii="Times New Roman" w:hAnsi="Times New Roman"/>
          <w:b/>
          <w:sz w:val="24"/>
        </w:rPr>
        <w:t>3.5 Model Identification and Estimation</w:t>
      </w:r>
    </w:p>
    <w:p>
      <w:pPr>
        <w:spacing w:lineRule="auto" w:line="480" w:before="0" w:after="120"/>
        <w:jc w:val="both"/>
      </w:pPr>
      <w:r>
        <w:rPr>
          <w:rFonts w:ascii="Times New Roman" w:hAnsi="Times New Roman"/>
          <w:b w:val="0"/>
          <w:sz w:val="24"/>
        </w:rPr>
        <w:t>ARIMA modelling requires the differenced series to be stationary, that is, to have a mean, variance and autocorrelation structure that do not change over time. For each variable, two complementary hypothesis tests were used, jointly, to determine its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pPr>
        <w:tabs>
          <w:tab w:pos="9638" w:val="right"/>
        </w:tabs>
        <w:spacing w:lineRule="auto" w:line="360" w:before="120" w:after="120"/>
        <w:jc w:val="center"/>
      </w:pPr>
      <w:r>
        <w:rPr>
          <w:rFonts w:ascii="Times New Roman" w:hAnsi="Times New Roman"/>
          <w:i/>
          <w:sz w:val="24"/>
        </w:rPr>
        <w:t>Δy(t) = a + γ y(t−1) + Σ βi Δy(t−i) + e(t)</w:t>
      </w:r>
      <w:r>
        <w:rPr>
          <w:rFonts w:ascii="Times New Roman" w:hAnsi="Times New Roman"/>
          <w:sz w:val="24"/>
        </w:rPr>
        <w:tab/>
        <w:t>(6)</w:t>
      </w:r>
    </w:p>
    <w:p>
      <w:pPr>
        <w:spacing w:lineRule="auto" w:line="480" w:before="0" w:after="120"/>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pPr>
        <w:spacing w:lineRule="auto" w:line="480" w:before="0" w:after="120"/>
        <w:jc w:val="both"/>
      </w:pPr>
      <w:r>
        <w:rPr>
          <w:rFonts w:ascii="Times New Roman" w:hAnsi="Times New Roman"/>
          <w:b w:val="0"/>
          <w:sz w:val="24"/>
        </w:rPr>
        <w:t>For each variable, candidate values of the autoregressive order p and moving-average order q were identified from the sample autocorrelation function (ACF) and partial autocorrelation function (PACF) of the differenced monthly series, shown in Figure 2, and then confirmed by an objective grid search: all candidate ARIMA(p, d, q) models over the ranges p = 0 to 4 and q = 0 to 2, with d fixed as above, were fitted independently to each variable's training series and ranked by the Akaike Information Criterion (AIC; Hyndman &amp; Athanasopoulos, 2021),</w:t>
      </w:r>
    </w:p>
    <w:p>
      <w:pPr>
        <w:tabs>
          <w:tab w:pos="9638" w:val="right"/>
        </w:tabs>
        <w:spacing w:lineRule="auto" w:line="360" w:before="120" w:after="120"/>
        <w:jc w:val="center"/>
      </w:pPr>
      <w:r>
        <w:rPr>
          <w:rFonts w:ascii="Times New Roman" w:hAnsi="Times New Roman"/>
          <w:i/>
          <w:sz w:val="24"/>
        </w:rPr>
        <w:t>AIC = n ln(σ²) + 2k</w:t>
      </w:r>
      <w:r>
        <w:rPr>
          <w:rFonts w:ascii="Times New Roman" w:hAnsi="Times New Roman"/>
          <w:sz w:val="24"/>
        </w:rPr>
        <w:tab/>
        <w:t>(7)</w:t>
      </w:r>
    </w:p>
    <w:p>
      <w:pPr>
        <w:spacing w:lineRule="auto" w:line="480" w:before="0" w:after="120"/>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pPr>
        <w:spacing w:lineRule="auto" w:line="240" w:before="160" w:after="40"/>
        <w:jc w:val="center"/>
      </w:pPr>
      <w:r>
        <w:drawing>
          <wp:inline xmlns:a="http://schemas.openxmlformats.org/drawingml/2006/main" xmlns:pic="http://schemas.openxmlformats.org/drawingml/2006/picture">
            <wp:extent cx="5580000" cy="4819091"/>
            <wp:docPr id="2" name="Picture 2"/>
            <wp:cNvGraphicFramePr>
              <a:graphicFrameLocks noChangeAspect="1"/>
            </wp:cNvGraphicFramePr>
            <a:graphic>
              <a:graphicData uri="http://schemas.openxmlformats.org/drawingml/2006/picture">
                <pic:pic>
                  <pic:nvPicPr>
                    <pic:cNvPr id="0" name="Fig2_ACF_PACF.png"/>
                    <pic:cNvPicPr/>
                  </pic:nvPicPr>
                  <pic:blipFill>
                    <a:blip r:embed="rId13"/>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p>
    <w:p>
      <w:pPr>
        <w:spacing w:lineRule="auto" w:line="480" w:before="0" w:after="120"/>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pPr>
        <w:spacing w:lineRule="auto" w:line="480" w:before="0" w:after="120"/>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pPr>
        <w:pStyle w:val="Heading2"/>
        <w:spacing w:lineRule="auto" w:line="480" w:before="120" w:after="0"/>
        <w:jc w:val="both"/>
      </w:pPr>
      <w:r>
        <w:rPr>
          <w:rFonts w:ascii="Times New Roman" w:hAnsi="Times New Roman"/>
          <w:b/>
          <w:sz w:val="24"/>
        </w:rPr>
        <w:t>3.6 Stochastic Forecasting and Property-Based Validation</w:t>
      </w:r>
    </w:p>
    <w:p>
      <w:pPr>
        <w:spacing w:lineRule="auto" w:line="480" w:before="0" w:after="120"/>
        <w:jc w:val="both"/>
      </w:pPr>
      <w:r>
        <w:rPr>
          <w:rFonts w:ascii="Times New Roman" w:hAnsi="Times New Roman"/>
          <w:b w:val="0"/>
          <w:sz w:val="24"/>
        </w:rPr>
        <w:t>The forecasting procedure departs from a conventional point forecast. Rather than issuing a single deterministic value at each lead time, each fitted model generates an ensemble of independent synthetic monthly sequences: at each of a large number of repetitions, a fresh sequence of random innovations, drawn from a Normal distribution with the model's own estimated error variance, is propagated recursively through the fitted ARMA recursion, after a burn-in period discarded so that the simulated process reaches its stationary distribution before the retained window begins. Each simulated sequence is then integrated back through any differencing and the log transform to recover natural units. This is the direct computational expression of the point made in Section 3.1: the model does not produce one future, it produces a distribution over futures. The simulation routine is listed in Appendix F.</w:t>
      </w:r>
    </w:p>
    <w:p>
      <w:pPr>
        <w:spacing w:lineRule="auto" w:line="480" w:before="0" w:after="120"/>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pPr>
        <w:spacing w:lineRule="auto" w:line="480" w:before="0" w:after="120"/>
        <w:jc w:val="both"/>
      </w:pPr>
      <w:r>
        <w:rPr>
          <w:rFonts w:ascii="Times New Roman" w:hAnsi="Times New Roman"/>
          <w:b w:val="0"/>
          <w:sz w:val="24"/>
        </w:rPr>
        <w:t>This procedure directly answers the question point comparison cannot: not 'did the model predict what happened', which for a stochastic process is close to meaningless, but 'is what happened a plausible draw from what the model says can happen', which is the question that actually bears on a design application such as sizing a reservoir or a spillway against a range of possible future inflow sequences.</w:t>
      </w:r>
    </w:p>
    <w:p>
      <w:pPr>
        <w:pStyle w:val="Heading2"/>
        <w:spacing w:lineRule="auto" w:line="480" w:before="120" w:after="0"/>
        <w:jc w:val="both"/>
      </w:pPr>
      <w:r>
        <w:rPr>
          <w:rFonts w:ascii="Times New Roman" w:hAnsi="Times New Roman"/>
          <w:b/>
          <w:sz w:val="24"/>
        </w:rPr>
        <w:t>3.7 Software and Implementation</w:t>
      </w:r>
    </w:p>
    <w:p>
      <w:pPr>
        <w:spacing w:lineRule="auto" w:line="480" w:before="0" w:after="120"/>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pPr>
        <w:pStyle w:val="Heading2"/>
        <w:spacing w:lineRule="auto" w:line="480" w:before="120" w:after="0"/>
        <w:jc w:val="both"/>
      </w:pPr>
      <w:r>
        <w:rPr>
          <w:rFonts w:ascii="Times New Roman" w:hAnsi="Times New Roman"/>
          <w:b/>
          <w:sz w:val="24"/>
        </w:rPr>
        <w:t>3.8 The Web Application</w:t>
      </w:r>
    </w:p>
    <w:p>
      <w:pPr>
        <w:spacing w:lineRule="auto" w:line="480" w:before="0" w:after="120"/>
        <w:jc w:val="both"/>
      </w:pPr>
      <w:r>
        <w:rPr>
          <w:rFonts w:ascii="Times New Roman" w:hAnsi="Times New Roman"/>
          <w:b w:val="0"/>
          <w:sz w:val="24"/>
        </w:rPr>
        <w:t>The framework is also deployed as an interactive web application ("River Outlook", built with Streamlit), so that the model can be exercised directly rather than taken on faith from a static report. The application never re-estimates a model: it loads each variable's coefficients from the same results.json produced by run_pipeline.py, so the figures a user sees are generated by exactly the models reported in this chapter, not a separate live fit. Figure 3 shows the application after a forecast has been run: a single action generates a stochastic ensemble for all three variables at once, and the interface reports, per variable, the expected trend, how the outlook compares to the long-term typical level, and a synthetic 90 per cent uncertainty band plotted against the observed history.</w:t>
      </w:r>
    </w:p>
    <w:p>
      <w:pPr>
        <w:spacing w:lineRule="auto" w:line="240" w:before="160" w:after="40"/>
        <w:jc w:val="center"/>
      </w:pPr>
      <w:r>
        <w:drawing>
          <wp:inline xmlns:a="http://schemas.openxmlformats.org/drawingml/2006/main" xmlns:pic="http://schemas.openxmlformats.org/drawingml/2006/picture">
            <wp:extent cx="5940000" cy="3341250"/>
            <wp:docPr id="3" name="Picture 3"/>
            <wp:cNvGraphicFramePr>
              <a:graphicFrameLocks noChangeAspect="1"/>
            </wp:cNvGraphicFramePr>
            <a:graphic>
              <a:graphicData uri="http://schemas.openxmlformats.org/drawingml/2006/picture">
                <pic:pic>
                  <pic:nvPicPr>
                    <pic:cNvPr id="0" name="Fig7_AppDashboard.png"/>
                    <pic:cNvPicPr/>
                  </pic:nvPicPr>
                  <pic:blipFill>
                    <a:blip r:embed="rId14"/>
                    <a:stretch>
                      <a:fillRect/>
                    </a:stretch>
                  </pic:blipFill>
                  <pic:spPr>
                    <a:xfrm>
                      <a:off x="0" y="0"/>
                      <a:ext cx="5940000" cy="3341250"/>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3:</w:t>
      </w:r>
      <w:r>
        <w:rPr>
          <w:rFonts w:ascii="Times New Roman" w:hAnsi="Times New Roman"/>
          <w:sz w:val="22"/>
        </w:rPr>
        <w:t xml:space="preserve"> The River Outlook web application after generating a 12-month stochastic outlook for all three variables, showing the observed history, the synthetic uncertainty band, and the expected path for river flow.</w:t>
      </w:r>
    </w:p>
    <w:p>
      <w:pPr>
        <w:spacing w:lineRule="auto" w:line="480" w:before="0" w:after="120"/>
        <w:jc w:val="both"/>
      </w:pPr>
      <w:r>
        <w:rPr>
          <w:rFonts w:ascii="Times New Roman" w:hAnsi="Times New Roman"/>
          <w:b w:val="0"/>
          <w:sz w:val="24"/>
        </w:rPr>
        <w:t>A second panel, "For the curious", exposes the statistical detail behind each headline number rather than asking a reader to take the model's adequacy on trust: the fitted order, the estimated AR/MA coefficients with their standard errors, the stationarity test evidence for the chosen differencing order, and the full property-based validation table. Figure 4 shows this panel for discharge, reproducing the same coefficient and validation values reported in Tables 5 and 7.</w:t>
      </w:r>
    </w:p>
    <w:p>
      <w:pPr>
        <w:spacing w:lineRule="auto" w:line="240" w:before="160" w:after="40"/>
        <w:jc w:val="center"/>
      </w:pPr>
      <w:r>
        <w:drawing>
          <wp:inline xmlns:a="http://schemas.openxmlformats.org/drawingml/2006/main" xmlns:pic="http://schemas.openxmlformats.org/drawingml/2006/picture">
            <wp:extent cx="5940000" cy="3341250"/>
            <wp:docPr id="4" name="Picture 4"/>
            <wp:cNvGraphicFramePr>
              <a:graphicFrameLocks noChangeAspect="1"/>
            </wp:cNvGraphicFramePr>
            <a:graphic>
              <a:graphicData uri="http://schemas.openxmlformats.org/drawingml/2006/picture">
                <pic:pic>
                  <pic:nvPicPr>
                    <pic:cNvPr id="0" name="Fig8_AppCoefficients.png"/>
                    <pic:cNvPicPr/>
                  </pic:nvPicPr>
                  <pic:blipFill>
                    <a:blip r:embed="rId15"/>
                    <a:stretch>
                      <a:fillRect/>
                    </a:stretch>
                  </pic:blipFill>
                  <pic:spPr>
                    <a:xfrm>
                      <a:off x="0" y="0"/>
                      <a:ext cx="5940000" cy="3341250"/>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4:</w:t>
      </w:r>
      <w:r>
        <w:rPr>
          <w:rFonts w:ascii="Times New Roman" w:hAnsi="Times New Roman"/>
          <w:sz w:val="22"/>
        </w:rPr>
        <w:t xml:space="preserve"> The application's 'For the curious' panel for discharge, showing the estimated AR/MA coefficients with standard errors, the stationarity evidence, and the property-based validation table live from the same results reported in Chapter Four.</w:t>
      </w:r>
    </w:p>
    <w:p>
      <w:r>
        <w:br w:type="page"/>
      </w:r>
    </w:p>
    <w:p>
      <w:pPr>
        <w:pStyle w:val="Heading1"/>
        <w:spacing w:lineRule="auto" w:line="480" w:before="0" w:after="0"/>
        <w:jc w:val="center"/>
      </w:pPr>
      <w:r>
        <w:rPr>
          <w:rFonts w:ascii="Times New Roman" w:hAnsi="Times New Roman"/>
          <w:b/>
          <w:sz w:val="24"/>
        </w:rPr>
        <w:t>CHAPTER FOUR</w:t>
      </w:r>
    </w:p>
    <w:p>
      <w:pPr>
        <w:pStyle w:val="Heading1"/>
        <w:spacing w:lineRule="auto" w:line="480" w:before="0" w:after="240"/>
        <w:jc w:val="center"/>
      </w:pPr>
      <w:r>
        <w:rPr>
          <w:rFonts w:ascii="Times New Roman" w:hAnsi="Times New Roman"/>
          <w:b/>
          <w:sz w:val="24"/>
        </w:rPr>
        <w:t>RESULTS AND DISCUSSION</w:t>
      </w:r>
    </w:p>
    <w:p>
      <w:pPr>
        <w:pStyle w:val="Heading2"/>
        <w:spacing w:lineRule="auto" w:line="480" w:before="120" w:after="0"/>
        <w:jc w:val="both"/>
      </w:pPr>
      <w:r>
        <w:rPr>
          <w:rFonts w:ascii="Times New Roman" w:hAnsi="Times New Roman"/>
          <w:b/>
          <w:sz w:val="24"/>
        </w:rPr>
        <w:t>4.1 Characteristics of the Monthly Records</w:t>
      </w:r>
    </w:p>
    <w:p>
      <w:pPr>
        <w:spacing w:lineRule="auto" w:line="480" w:before="0" w:after="120"/>
        <w:jc w:val="both"/>
      </w:pPr>
      <w:r>
        <w:rPr>
          <w:rFonts w:ascii="Times New Roman" w:hAnsi="Times New Roman"/>
          <w:b w:val="0"/>
          <w:sz w:val="24"/>
        </w:rPr>
        <w:t>The three monthly records span January 1980 to December 2014, 420 months each. Their completeness is high: discharge required interpolation in 0 month(s), rainfall in 0 month(s), and stage in 3 month(s), out of 420. Summary statistics for the training period, on which every model is identified and estimated, are given in Table 1. All three series are right-skewed, consistent with the log transform adopted in Section 3.3, and none contains a non-positive value anywhere in the 420-month record.</w:t>
      </w:r>
    </w:p>
    <w:p>
      <w:pPr>
        <w:pStyle w:val="TableCaption"/>
        <w:spacing w:lineRule="auto" w:line="240" w:before="200" w:after="40"/>
        <w:jc w:val="left"/>
      </w:pPr>
      <w:r>
        <w:rPr>
          <w:rFonts w:ascii="Times New Roman" w:hAnsi="Times New Roman"/>
          <w:b/>
          <w:sz w:val="22"/>
        </w:rPr>
        <w:t>Table 1:</w:t>
      </w:r>
      <w:r>
        <w:rPr>
          <w:rFonts w:ascii="Times New Roman" w:hAnsi="Times New Roman"/>
          <w:sz w:val="22"/>
        </w:rPr>
        <w:t xml:space="preserve"> Summary statistics of the three monthly series, training period (1980-2003).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Mean</w:t>
            </w:r>
          </w:p>
        </w:tc>
        <w:tc>
          <w:tcPr>
            <w:tcW w:type="dxa" w:w="1606"/>
          </w:tcPr>
          <w:p>
            <w:pPr>
              <w:spacing w:lineRule="auto" w:line="240" w:before="0" w:after="0"/>
              <w:jc w:val="center"/>
            </w:pPr>
            <w:r>
              <w:rPr>
                <w:rFonts w:ascii="Times New Roman" w:hAnsi="Times New Roman"/>
                <w:b/>
                <w:sz w:val="21"/>
              </w:rPr>
              <w:t>Std. dev.</w:t>
            </w:r>
          </w:p>
        </w:tc>
        <w:tc>
          <w:tcPr>
            <w:tcW w:type="dxa" w:w="1606"/>
          </w:tcPr>
          <w:p>
            <w:pPr>
              <w:spacing w:lineRule="auto" w:line="240" w:before="0" w:after="0"/>
              <w:jc w:val="center"/>
            </w:pPr>
            <w:r>
              <w:rPr>
                <w:rFonts w:ascii="Times New Roman" w:hAnsi="Times New Roman"/>
                <w:b/>
                <w:sz w:val="21"/>
              </w:rPr>
              <w:t>Skewness</w:t>
            </w:r>
          </w:p>
        </w:tc>
        <w:tc>
          <w:tcPr>
            <w:tcW w:type="dxa" w:w="1606"/>
          </w:tcPr>
          <w:p>
            <w:pPr>
              <w:spacing w:lineRule="auto" w:line="240" w:before="0" w:after="0"/>
              <w:jc w:val="center"/>
            </w:pPr>
            <w:r>
              <w:rPr>
                <w:rFonts w:ascii="Times New Roman" w:hAnsi="Times New Roman"/>
                <w:b/>
                <w:sz w:val="21"/>
              </w:rPr>
              <w:t>Peak</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17.44</w:t>
            </w:r>
          </w:p>
        </w:tc>
        <w:tc>
          <w:tcPr>
            <w:tcW w:type="dxa" w:w="1606"/>
          </w:tcPr>
          <w:p>
            <w:pPr>
              <w:spacing w:lineRule="auto" w:line="240" w:before="0" w:after="0"/>
              <w:jc w:val="center"/>
            </w:pPr>
            <w:r>
              <w:rPr>
                <w:rFonts w:ascii="Times New Roman" w:hAnsi="Times New Roman"/>
                <w:sz w:val="21"/>
              </w:rPr>
              <w:t>18.56</w:t>
            </w:r>
          </w:p>
        </w:tc>
        <w:tc>
          <w:tcPr>
            <w:tcW w:type="dxa" w:w="1606"/>
          </w:tcPr>
          <w:p>
            <w:pPr>
              <w:spacing w:lineRule="auto" w:line="240" w:before="0" w:after="0"/>
              <w:jc w:val="center"/>
            </w:pPr>
            <w:r>
              <w:rPr>
                <w:rFonts w:ascii="Times New Roman" w:hAnsi="Times New Roman"/>
                <w:sz w:val="21"/>
              </w:rPr>
              <w:t>1.90</w:t>
            </w:r>
          </w:p>
        </w:tc>
        <w:tc>
          <w:tcPr>
            <w:tcW w:type="dxa" w:w="1606"/>
          </w:tcPr>
          <w:p>
            <w:pPr>
              <w:spacing w:lineRule="auto" w:line="240" w:before="0" w:after="0"/>
              <w:jc w:val="center"/>
            </w:pPr>
            <w:r>
              <w:rPr>
                <w:rFonts w:ascii="Times New Roman" w:hAnsi="Times New Roman"/>
                <w:sz w:val="21"/>
              </w:rPr>
              <w:t>109.73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118.46</w:t>
            </w:r>
          </w:p>
        </w:tc>
        <w:tc>
          <w:tcPr>
            <w:tcW w:type="dxa" w:w="1606"/>
          </w:tcPr>
          <w:p>
            <w:pPr>
              <w:spacing w:lineRule="auto" w:line="240" w:before="0" w:after="0"/>
              <w:jc w:val="center"/>
            </w:pPr>
            <w:r>
              <w:rPr>
                <w:rFonts w:ascii="Times New Roman" w:hAnsi="Times New Roman"/>
                <w:sz w:val="21"/>
              </w:rPr>
              <w:t>67.59</w:t>
            </w:r>
          </w:p>
        </w:tc>
        <w:tc>
          <w:tcPr>
            <w:tcW w:type="dxa" w:w="1606"/>
          </w:tcPr>
          <w:p>
            <w:pPr>
              <w:spacing w:lineRule="auto" w:line="240" w:before="0" w:after="0"/>
              <w:jc w:val="center"/>
            </w:pPr>
            <w:r>
              <w:rPr>
                <w:rFonts w:ascii="Times New Roman" w:hAnsi="Times New Roman"/>
                <w:sz w:val="21"/>
              </w:rPr>
              <w:t>1.22</w:t>
            </w:r>
          </w:p>
        </w:tc>
        <w:tc>
          <w:tcPr>
            <w:tcW w:type="dxa" w:w="1606"/>
          </w:tcPr>
          <w:p>
            <w:pPr>
              <w:spacing w:lineRule="auto" w:line="240" w:before="0" w:after="0"/>
              <w:jc w:val="center"/>
            </w:pPr>
            <w:r>
              <w:rPr>
                <w:rFonts w:ascii="Times New Roman" w:hAnsi="Times New Roman"/>
                <w:sz w:val="21"/>
              </w:rPr>
              <w:t>424.47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1.28</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4.01</w:t>
            </w:r>
          </w:p>
        </w:tc>
      </w:tr>
    </w:tbl>
    <w:p>
      <w:pPr>
        <w:spacing w:after="0" w:line="240" w:lineRule="auto"/>
      </w:pPr>
    </w:p>
    <w:p>
      <w:pPr>
        <w:pStyle w:val="Heading2"/>
        <w:spacing w:lineRule="auto" w:line="480" w:before="120" w:after="0"/>
        <w:jc w:val="both"/>
      </w:pPr>
      <w:r>
        <w:rPr>
          <w:rFonts w:ascii="Times New Roman" w:hAnsi="Times New Roman"/>
          <w:b/>
          <w:sz w:val="24"/>
        </w:rPr>
        <w:t>4.2 Stationarity and Order of Differencing</w:t>
      </w:r>
    </w:p>
    <w:p>
      <w:pPr>
        <w:spacing w:lineRule="auto" w:line="480" w:before="0" w:after="120"/>
        <w:jc w:val="both"/>
      </w:pPr>
      <w:r>
        <w:rPr>
          <w:rFonts w:ascii="Times New Roman" w:hAnsi="Times New Roman"/>
          <w:b w:val="0"/>
          <w:sz w:val="24"/>
        </w:rPr>
        <w:t>The stationarity tests of Section 3.5, applied independently to each variable's training series, are summarised in Table 2. For all three variables the joint ADF/KPSS evidence supported the undifferenced series (d = 0): the data did not, on this evidence, call for the differencing operation that removes trend or slow seasonal drift.</w:t>
      </w:r>
    </w:p>
    <w:p>
      <w:pPr>
        <w:pStyle w:val="TableCaption"/>
        <w:spacing w:lineRule="auto" w:line="240" w:before="200" w:after="40"/>
        <w:jc w:val="left"/>
      </w:pPr>
      <w:r>
        <w:rPr>
          <w:rFonts w:ascii="Times New Roman" w:hAnsi="Times New Roman"/>
          <w:b/>
          <w:sz w:val="22"/>
        </w:rPr>
        <w:t>Table 2:</w:t>
      </w:r>
      <w:r>
        <w:rPr>
          <w:rFonts w:ascii="Times New Roman" w:hAnsi="Times New Roman"/>
          <w:sz w:val="22"/>
        </w:rPr>
        <w:t xml:space="preserve"> Stationarity test results and selected differencing order,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-4.176</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0.085</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-3.708</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0.096</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-4.381</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0.048</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p>
      <w:pPr>
        <w:spacing w:lineRule="auto" w:line="480" w:before="0" w:after="120"/>
        <w:jc w:val="both"/>
      </w:pPr>
      <w:r>
        <w:rPr>
          <w:rFonts w:ascii="Times New Roman" w:hAnsi="Times New Roman"/>
          <w:b w:val="0"/>
          <w:sz w:val="24"/>
        </w:rPr>
        <w:t>This result is worth setting explicitly against the reasoning of Section 3.1: the motivation for moving to a monthly timestep was that differencing can remove genuine seasonal drift at that timestep, where it could not do useful work at a daily one. That differencing was nonetheless not selected for any of the three variables here is not a contradiction of that reasoning; it is the data-driven procedure of Section 3.5 reporting, honestly, that this particular basin's monthly series are already sufficiently stationary in level, so that the autoregressive and moving-average terms alone are enough to satisfy the ADF/KPSS evidence. The seasonal cycle visible in Figure 1 is, in each case, evidently being absorbed by the autoregressive structure rather than by explicit differencing — a point returned to in Section 4.5, where residual diagnostics show that some seasonal structure remains for discharge and stage, an acknowledged limitation of a non-seasonal ARIMA specification (Section 5.3).</w:t>
      </w:r>
    </w:p>
    <w:p>
      <w:pPr>
        <w:pStyle w:val="Heading2"/>
        <w:spacing w:lineRule="auto" w:line="480" w:before="120" w:after="0"/>
        <w:jc w:val="both"/>
      </w:pPr>
      <w:r>
        <w:rPr>
          <w:rFonts w:ascii="Times New Roman" w:hAnsi="Times New Roman"/>
          <w:b/>
          <w:sz w:val="24"/>
        </w:rPr>
        <w:t>4.3 Model Identification and Selection</w:t>
      </w:r>
    </w:p>
    <w:p>
      <w:pPr>
        <w:spacing w:lineRule="auto" w:line="480" w:before="0" w:after="120"/>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2. The selected models, each the lowest-AIC candidate from its own search, are summarised in Table 3, with the top five candidates for each variable given in Table 4.</w:t>
      </w:r>
    </w:p>
    <w:p>
      <w:pPr>
        <w:pStyle w:val="TableCaption"/>
        <w:spacing w:lineRule="auto" w:line="240" w:before="200" w:after="40"/>
        <w:jc w:val="left"/>
      </w:pPr>
      <w:r>
        <w:rPr>
          <w:rFonts w:ascii="Times New Roman" w:hAnsi="Times New Roman"/>
          <w:b/>
          <w:sz w:val="22"/>
        </w:rPr>
        <w:t>Table 3:</w:t>
      </w:r>
      <w:r>
        <w:rPr>
          <w:rFonts w:ascii="Times New Roman" w:hAnsi="Times New Roman"/>
          <w:sz w:val="22"/>
        </w:rPr>
        <w:t xml:space="preserve"> Selected ARIMA model, by variable.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21"/>
              </w:rPr>
              <w:t>Variable</w:t>
            </w:r>
          </w:p>
        </w:tc>
        <w:tc>
          <w:tcPr>
            <w:tcW w:type="dxa" w:w="2409"/>
          </w:tcPr>
          <w:p>
            <w:pPr>
              <w:spacing w:lineRule="auto" w:line="240" w:before="0" w:after="0"/>
              <w:jc w:val="center"/>
            </w:pPr>
            <w:r>
              <w:rPr>
                <w:rFonts w:ascii="Times New Roman" w:hAnsi="Times New Roman"/>
                <w:b/>
                <w:sz w:val="21"/>
              </w:rPr>
              <w:t>Model</w:t>
            </w:r>
          </w:p>
        </w:tc>
        <w:tc>
          <w:tcPr>
            <w:tcW w:type="dxa" w:w="2409"/>
          </w:tcPr>
          <w:p>
            <w:pPr>
              <w:spacing w:lineRule="auto" w:line="240" w:before="0" w:after="0"/>
              <w:jc w:val="center"/>
            </w:pPr>
            <w:r>
              <w:rPr>
                <w:rFonts w:ascii="Times New Roman" w:hAnsi="Times New Roman"/>
                <w:b/>
                <w:sz w:val="21"/>
              </w:rPr>
              <w:t>AIC</w:t>
            </w:r>
          </w:p>
        </w:tc>
        <w:tc>
          <w:tcPr>
            <w:tcW w:type="dxa" w:w="2409"/>
          </w:tcPr>
          <w:p>
            <w:pPr>
              <w:spacing w:lineRule="auto" w:line="240" w:before="0" w:after="0"/>
              <w:jc w:val="center"/>
            </w:pPr>
            <w:r>
              <w:rPr>
                <w:rFonts w:ascii="Times New Roman" w:hAnsi="Times New Roman"/>
                <w:b/>
                <w:sz w:val="21"/>
              </w:rPr>
              <w:t>BIC</w:t>
            </w:r>
          </w:p>
        </w:tc>
      </w:tr>
      <w:tr>
        <w:tc>
          <w:tcPr>
            <w:tcW w:type="dxa" w:w="2409"/>
          </w:tcPr>
          <w:p>
            <w:pPr>
              <w:spacing w:lineRule="auto" w:line="240" w:before="0" w:after="0"/>
              <w:jc w:val="center"/>
            </w:pPr>
            <w:r>
              <w:rPr>
                <w:rFonts w:ascii="Times New Roman" w:hAnsi="Times New Roman"/>
                <w:sz w:val="21"/>
              </w:rPr>
              <w:t>Discharge</w:t>
            </w:r>
          </w:p>
        </w:tc>
        <w:tc>
          <w:tcPr>
            <w:tcW w:type="dxa" w:w="2409"/>
          </w:tcPr>
          <w:p>
            <w:pPr>
              <w:spacing w:lineRule="auto" w:line="240" w:before="0" w:after="0"/>
              <w:jc w:val="center"/>
            </w:pPr>
            <w:r>
              <w:rPr>
                <w:rFonts w:ascii="Times New Roman" w:hAnsi="Times New Roman"/>
                <w:sz w:val="21"/>
              </w:rPr>
              <w:t>ARIMA(4, 0, 1)</w:t>
            </w:r>
          </w:p>
        </w:tc>
        <w:tc>
          <w:tcPr>
            <w:tcW w:type="dxa" w:w="2409"/>
          </w:tcPr>
          <w:p>
            <w:pPr>
              <w:spacing w:lineRule="auto" w:line="240" w:before="0" w:after="0"/>
              <w:jc w:val="center"/>
            </w:pPr>
            <w:r>
              <w:rPr>
                <w:rFonts w:ascii="Times New Roman" w:hAnsi="Times New Roman"/>
                <w:sz w:val="21"/>
              </w:rPr>
              <w:t>-139.3</w:t>
            </w:r>
          </w:p>
        </w:tc>
        <w:tc>
          <w:tcPr>
            <w:tcW w:type="dxa" w:w="2409"/>
          </w:tcPr>
          <w:p>
            <w:pPr>
              <w:spacing w:lineRule="auto" w:line="240" w:before="0" w:after="0"/>
              <w:jc w:val="center"/>
            </w:pPr>
            <w:r>
              <w:rPr>
                <w:rFonts w:ascii="Times New Roman" w:hAnsi="Times New Roman"/>
                <w:sz w:val="21"/>
              </w:rPr>
              <w:t>-113.8</w:t>
            </w:r>
          </w:p>
        </w:tc>
      </w:tr>
      <w:tr>
        <w:tc>
          <w:tcPr>
            <w:tcW w:type="dxa" w:w="2409"/>
          </w:tcPr>
          <w:p>
            <w:pPr>
              <w:spacing w:lineRule="auto" w:line="240" w:before="0" w:after="0"/>
              <w:jc w:val="center"/>
            </w:pPr>
            <w:r>
              <w:rPr>
                <w:rFonts w:ascii="Times New Roman" w:hAnsi="Times New Roman"/>
                <w:sz w:val="21"/>
              </w:rPr>
              <w:t>Rainfall</w:t>
            </w:r>
          </w:p>
        </w:tc>
        <w:tc>
          <w:tcPr>
            <w:tcW w:type="dxa" w:w="2409"/>
          </w:tcPr>
          <w:p>
            <w:pPr>
              <w:spacing w:lineRule="auto" w:line="240" w:before="0" w:after="0"/>
              <w:jc w:val="center"/>
            </w:pPr>
            <w:r>
              <w:rPr>
                <w:rFonts w:ascii="Times New Roman" w:hAnsi="Times New Roman"/>
                <w:sz w:val="21"/>
              </w:rPr>
              <w:t>ARIMA(1, 0, 0)</w:t>
            </w:r>
          </w:p>
        </w:tc>
        <w:tc>
          <w:tcPr>
            <w:tcW w:type="dxa" w:w="2409"/>
          </w:tcPr>
          <w:p>
            <w:pPr>
              <w:spacing w:lineRule="auto" w:line="240" w:before="0" w:after="0"/>
              <w:jc w:val="center"/>
            </w:pPr>
            <w:r>
              <w:rPr>
                <w:rFonts w:ascii="Times New Roman" w:hAnsi="Times New Roman"/>
                <w:sz w:val="21"/>
              </w:rPr>
              <w:t>-258.2</w:t>
            </w:r>
          </w:p>
        </w:tc>
        <w:tc>
          <w:tcPr>
            <w:tcW w:type="dxa" w:w="2409"/>
          </w:tcPr>
          <w:p>
            <w:pPr>
              <w:spacing w:lineRule="auto" w:line="240" w:before="0" w:after="0"/>
              <w:jc w:val="center"/>
            </w:pPr>
            <w:r>
              <w:rPr>
                <w:rFonts w:ascii="Times New Roman" w:hAnsi="Times New Roman"/>
                <w:sz w:val="21"/>
              </w:rPr>
              <w:t>-247.3</w:t>
            </w:r>
          </w:p>
        </w:tc>
      </w:tr>
      <w:tr>
        <w:tc>
          <w:tcPr>
            <w:tcW w:type="dxa" w:w="2409"/>
          </w:tcPr>
          <w:p>
            <w:pPr>
              <w:spacing w:lineRule="auto" w:line="240" w:before="0" w:after="0"/>
              <w:jc w:val="center"/>
            </w:pPr>
            <w:r>
              <w:rPr>
                <w:rFonts w:ascii="Times New Roman" w:hAnsi="Times New Roman"/>
                <w:sz w:val="21"/>
              </w:rPr>
              <w:t>Stage</w:t>
            </w:r>
          </w:p>
        </w:tc>
        <w:tc>
          <w:tcPr>
            <w:tcW w:type="dxa" w:w="2409"/>
          </w:tcPr>
          <w:p>
            <w:pPr>
              <w:spacing w:lineRule="auto" w:line="240" w:before="0" w:after="0"/>
              <w:jc w:val="center"/>
            </w:pPr>
            <w:r>
              <w:rPr>
                <w:rFonts w:ascii="Times New Roman" w:hAnsi="Times New Roman"/>
                <w:sz w:val="21"/>
              </w:rPr>
              <w:t>ARIMA(4, 0, 0)</w:t>
            </w:r>
          </w:p>
        </w:tc>
        <w:tc>
          <w:tcPr>
            <w:tcW w:type="dxa" w:w="2409"/>
          </w:tcPr>
          <w:p>
            <w:pPr>
              <w:spacing w:lineRule="auto" w:line="240" w:before="0" w:after="0"/>
              <w:jc w:val="center"/>
            </w:pPr>
            <w:r>
              <w:rPr>
                <w:rFonts w:ascii="Times New Roman" w:hAnsi="Times New Roman"/>
                <w:sz w:val="21"/>
              </w:rPr>
              <w:t>-472.9</w:t>
            </w:r>
          </w:p>
        </w:tc>
        <w:tc>
          <w:tcPr>
            <w:tcW w:type="dxa" w:w="2409"/>
          </w:tcPr>
          <w:p>
            <w:pPr>
              <w:spacing w:lineRule="auto" w:line="240" w:before="0" w:after="0"/>
              <w:jc w:val="center"/>
            </w:pPr>
            <w:r>
              <w:rPr>
                <w:rFonts w:ascii="Times New Roman" w:hAnsi="Times New Roman"/>
                <w:sz w:val="21"/>
              </w:rPr>
              <w:t>-451.0</w:t>
            </w:r>
          </w:p>
        </w:tc>
      </w:tr>
    </w:tbl>
    <w:p>
      <w:pPr>
        <w:spacing w:after="0" w:line="240" w:lineRule="auto"/>
      </w:pPr>
    </w:p>
    <w:p>
      <w:pPr>
        <w:pStyle w:val="TableCaption"/>
        <w:spacing w:lineRule="auto" w:line="240" w:before="200" w:after="40"/>
        <w:jc w:val="left"/>
      </w:pPr>
      <w:r>
        <w:rPr>
          <w:rFonts w:ascii="Times New Roman" w:hAnsi="Times New Roman"/>
          <w:b/>
          <w:sz w:val="22"/>
        </w:rPr>
        <w:t>Table 4:</w:t>
      </w:r>
      <w:r>
        <w:rPr>
          <w:rFonts w:ascii="Times New Roman" w:hAnsi="Times New Roman"/>
          <w:sz w:val="22"/>
        </w:rPr>
        <w:t xml:space="preserve"> Top five candidate models by variable, ranked by the Akaike Information Criterion.</w:t>
      </w:r>
    </w:p>
    <w:p>
      <w:pPr>
        <w:spacing w:lineRule="auto" w:line="480" w:before="0" w:after="120"/>
        <w:jc w:val="both"/>
      </w:pPr>
      <w:r>
        <w:rPr>
          <w:rFonts w:ascii="Times New Roman" w:hAnsi="Times New Roman"/>
          <w:b/>
          <w:sz w:val="24"/>
        </w:rPr>
        <w:t>Discharge: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-139.3</w:t>
            </w:r>
          </w:p>
        </w:tc>
        <w:tc>
          <w:tcPr>
            <w:tcW w:type="dxa" w:w="2409"/>
          </w:tcPr>
          <w:p>
            <w:pPr>
              <w:spacing w:lineRule="auto" w:line="240" w:before="0" w:after="0"/>
              <w:jc w:val="center"/>
            </w:pPr>
            <w:r>
              <w:rPr>
                <w:rFonts w:ascii="Times New Roman" w:hAnsi="Times New Roman"/>
                <w:sz w:val="19"/>
              </w:rPr>
              <w:t>-113.8</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-108.3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-115.5</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-134.6</w:t>
            </w:r>
          </w:p>
        </w:tc>
        <w:tc>
          <w:tcPr>
            <w:tcW w:type="dxa" w:w="2409"/>
          </w:tcPr>
          <w:p>
            <w:pPr>
              <w:spacing w:lineRule="auto" w:line="240" w:before="0" w:after="0"/>
              <w:jc w:val="center"/>
            </w:pPr>
            <w:r>
              <w:rPr>
                <w:rFonts w:ascii="Times New Roman" w:hAnsi="Times New Roman"/>
                <w:sz w:val="19"/>
              </w:rPr>
              <w:t>-109.0</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-133.0</w:t>
            </w:r>
          </w:p>
        </w:tc>
        <w:tc>
          <w:tcPr>
            <w:tcW w:type="dxa" w:w="2409"/>
          </w:tcPr>
          <w:p>
            <w:pPr>
              <w:spacing w:lineRule="auto" w:line="240" w:before="0" w:after="0"/>
              <w:jc w:val="center"/>
            </w:pPr>
            <w:r>
              <w:rPr>
                <w:rFonts w:ascii="Times New Roman" w:hAnsi="Times New Roman"/>
                <w:sz w:val="19"/>
              </w:rPr>
              <w:t>-111.1</w:t>
            </w:r>
          </w:p>
        </w:tc>
      </w:tr>
    </w:tbl>
    <w:p>
      <w:pPr>
        <w:spacing w:after="0" w:line="240" w:lineRule="auto"/>
      </w:pPr>
    </w:p>
    <w:p>
      <w:pPr>
        <w:spacing w:lineRule="auto" w:line="480" w:before="0" w:after="120"/>
        <w:jc w:val="both"/>
      </w:pPr>
      <w:r>
        <w:rPr>
          <w:rFonts w:ascii="Times New Roman" w:hAnsi="Times New Roman"/>
          <w:b/>
          <w:sz w:val="24"/>
        </w:rPr>
        <w:t>Rainfall: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ARIMA(0, 0, 1)</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ARIMA(0, 0, 2)</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-255.7</w:t>
            </w:r>
          </w:p>
        </w:tc>
        <w:tc>
          <w:tcPr>
            <w:tcW w:type="dxa" w:w="2409"/>
          </w:tcPr>
          <w:p>
            <w:pPr>
              <w:spacing w:lineRule="auto" w:line="240" w:before="0" w:after="0"/>
              <w:jc w:val="center"/>
            </w:pPr>
            <w:r>
              <w:rPr>
                <w:rFonts w:ascii="Times New Roman" w:hAnsi="Times New Roman"/>
                <w:sz w:val="19"/>
              </w:rPr>
              <w:t>-241.1</w:t>
            </w:r>
          </w:p>
        </w:tc>
      </w:tr>
    </w:tbl>
    <w:p>
      <w:pPr>
        <w:spacing w:after="0" w:line="240" w:lineRule="auto"/>
      </w:pPr>
    </w:p>
    <w:p>
      <w:pPr>
        <w:spacing w:lineRule="auto" w:line="480" w:before="0" w:after="120"/>
        <w:jc w:val="both"/>
      </w:pPr>
      <w:r>
        <w:rPr>
          <w:rFonts w:ascii="Times New Roman" w:hAnsi="Times New Roman"/>
          <w:b/>
          <w:sz w:val="24"/>
        </w:rPr>
        <w:t>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-472.9</w:t>
            </w:r>
          </w:p>
        </w:tc>
        <w:tc>
          <w:tcPr>
            <w:tcW w:type="dxa" w:w="2409"/>
          </w:tcPr>
          <w:p>
            <w:pPr>
              <w:spacing w:lineRule="auto" w:line="240" w:before="0" w:after="0"/>
              <w:jc w:val="center"/>
            </w:pPr>
            <w:r>
              <w:rPr>
                <w:rFonts w:ascii="Times New Roman" w:hAnsi="Times New Roman"/>
                <w:sz w:val="19"/>
              </w:rPr>
              <w:t>-451.0</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-472.2</w:t>
            </w:r>
          </w:p>
        </w:tc>
        <w:tc>
          <w:tcPr>
            <w:tcW w:type="dxa" w:w="2409"/>
          </w:tcPr>
          <w:p>
            <w:pPr>
              <w:spacing w:lineRule="auto" w:line="240" w:before="0" w:after="0"/>
              <w:jc w:val="center"/>
            </w:pPr>
            <w:r>
              <w:rPr>
                <w:rFonts w:ascii="Times New Roman" w:hAnsi="Times New Roman"/>
                <w:sz w:val="19"/>
              </w:rPr>
              <w:t>-443.0</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-470.1</w:t>
            </w:r>
          </w:p>
        </w:tc>
        <w:tc>
          <w:tcPr>
            <w:tcW w:type="dxa" w:w="2409"/>
          </w:tcPr>
          <w:p>
            <w:pPr>
              <w:spacing w:lineRule="auto" w:line="240" w:before="0" w:after="0"/>
              <w:jc w:val="center"/>
            </w:pPr>
            <w:r>
              <w:rPr>
                <w:rFonts w:ascii="Times New Roman" w:hAnsi="Times New Roman"/>
                <w:sz w:val="19"/>
              </w:rPr>
              <w:t>-444.6</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-469.2</w:t>
            </w:r>
          </w:p>
        </w:tc>
        <w:tc>
          <w:tcPr>
            <w:tcW w:type="dxa" w:w="2409"/>
          </w:tcPr>
          <w:p>
            <w:pPr>
              <w:spacing w:lineRule="auto" w:line="240" w:before="0" w:after="0"/>
              <w:jc w:val="center"/>
            </w:pPr>
            <w:r>
              <w:rPr>
                <w:rFonts w:ascii="Times New Roman" w:hAnsi="Times New Roman"/>
                <w:sz w:val="19"/>
              </w:rPr>
              <w:t>-443.7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-465.9</w:t>
            </w:r>
          </w:p>
        </w:tc>
        <w:tc>
          <w:tcPr>
            <w:tcW w:type="dxa" w:w="2409"/>
          </w:tcPr>
          <w:p>
            <w:pPr>
              <w:spacing w:lineRule="auto" w:line="240" w:before="0" w:after="0"/>
              <w:jc w:val="center"/>
            </w:pPr>
            <w:r>
              <w:rPr>
                <w:rFonts w:ascii="Times New Roman" w:hAnsi="Times New Roman"/>
                <w:sz w:val="19"/>
              </w:rPr>
              <w:t>-444.0</w:t>
            </w:r>
          </w:p>
        </w:tc>
      </w:tr>
    </w:tbl>
    <w:p>
      <w:pPr>
        <w:spacing w:after="0" w:line="240" w:lineRule="auto"/>
      </w:pPr>
    </w:p>
    <w:p>
      <w:pPr>
        <w:spacing w:lineRule="auto" w:line="480" w:before="0" w:after="120"/>
        <w:jc w:val="both"/>
      </w:pPr>
      <w:r>
        <w:rPr>
          <w:rFonts w:ascii="Times New Roman" w:hAnsi="Times New Roman"/>
          <w:b w:val="0"/>
          <w:sz w:val="24"/>
        </w:rPr>
        <w:t>Two disagreements in Table 4 are worth stating rather than passing over. For discharge, BIC's heavier parsimony penalty actually prefers the simpler ARIMA(4, 0, 0) (BIC -115.5) over the AIC-selected ARIMA(4, 0, 1) (BIC -113.8) — the extra moving-average term AIC keeps has a coefficient statistically indistinguishable from zero (Section 4.4), so BIC's dissent is not unreasonable. AIC was retained as the primary criterion because it is the more common default for forecasting applications (Hyndman &amp; Athanasopoulos, 2021) and the two orders differ only by one weakly-identified term, not in their qualitative conclusion about discharge's persistence. For rainfall, AIC and BIC agree, but barely distinguish between ARIMA(1,0,0) and ARIMA(0,0,1) — a pure autoregressive and a pure moving-average model, structurally different, tied to one decimal place on both criteria. Section 4.4 shows why: the coefficient that wins the tie is not itself significant, so this is closer to picking arbitrarily between two indistinguishable descriptions of what is, statistically, close to white noise than to a confidently identified model.</w:t>
      </w:r>
    </w:p>
    <w:p>
      <w:pPr>
        <w:pStyle w:val="Heading2"/>
        <w:spacing w:lineRule="auto" w:line="480" w:before="120" w:after="0"/>
        <w:jc w:val="both"/>
      </w:pPr>
      <w:r>
        <w:rPr>
          <w:rFonts w:ascii="Times New Roman" w:hAnsi="Times New Roman"/>
          <w:b/>
          <w:sz w:val="24"/>
        </w:rPr>
        <w:t>4.4 Parameter Estimates and Standard Errors</w:t>
      </w:r>
    </w:p>
    <w:p>
      <w:pPr>
        <w:spacing w:lineRule="auto" w:line="480" w:before="0" w:after="120"/>
        <w:jc w:val="both"/>
      </w:pPr>
      <w:r>
        <w:rPr>
          <w:rFonts w:ascii="Times New Roman" w:hAnsi="Times New Roman"/>
          <w:b w:val="0"/>
          <w:sz w:val="24"/>
        </w:rPr>
        <w:t>The estimated coefficients of each selected model, with their standard errors from Section 3.5, are given in Table 5. This is the answer to the question order selection alone does not provide: not only what structure was chosen, but what the fitted relationship actually is, and how precisely each part of it is known. Figure 5 shows the same information graphically, as 95 per cent confidence intervals for every coefficient of every model.</w:t>
      </w:r>
    </w:p>
    <w:p>
      <w:pPr>
        <w:pStyle w:val="TableCaption"/>
        <w:spacing w:lineRule="auto" w:line="240" w:before="200" w:after="40"/>
        <w:jc w:val="left"/>
      </w:pPr>
      <w:r>
        <w:rPr>
          <w:rFonts w:ascii="Times New Roman" w:hAnsi="Times New Roman"/>
          <w:b/>
          <w:sz w:val="22"/>
        </w:rPr>
        <w:t>Table 5:</w:t>
      </w:r>
      <w:r>
        <w:rPr>
          <w:rFonts w:ascii="Times New Roman" w:hAnsi="Times New Roman"/>
          <w:sz w:val="22"/>
        </w:rPr>
        <w:t xml:space="preserve"> Estimated AR/MA coefficients and standard errors, by variable.</w:t>
      </w:r>
    </w:p>
    <w:p>
      <w:pPr>
        <w:spacing w:lineRule="auto" w:line="480" w:before="0" w:after="120"/>
        <w:jc w:val="both"/>
      </w:pPr>
      <w:r>
        <w:rPr>
          <w:rFonts w:ascii="Times New Roman" w:hAnsi="Times New Roman"/>
          <w:b/>
          <w:sz w:val="24"/>
        </w:rPr>
        <w:t>Discharge (ARIMA(4,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0.9284</w:t>
            </w:r>
          </w:p>
        </w:tc>
        <w:tc>
          <w:tcPr>
            <w:tcW w:type="dxa" w:w="3213"/>
          </w:tcPr>
          <w:p>
            <w:pPr>
              <w:spacing w:lineRule="auto" w:line="240" w:before="0" w:after="0"/>
              <w:jc w:val="center"/>
            </w:pPr>
            <w:r>
              <w:rPr>
                <w:rFonts w:ascii="Times New Roman" w:hAnsi="Times New Roman"/>
                <w:sz w:val="20"/>
              </w:rPr>
              <w:t>0.1838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0.9990</w:t>
            </w:r>
          </w:p>
        </w:tc>
        <w:tc>
          <w:tcPr>
            <w:tcW w:type="dxa" w:w="3213"/>
          </w:tcPr>
          <w:p>
            <w:pPr>
              <w:spacing w:lineRule="auto" w:line="240" w:before="0" w:after="0"/>
              <w:jc w:val="center"/>
            </w:pPr>
            <w:r>
              <w:rPr>
                <w:rFonts w:ascii="Times New Roman" w:hAnsi="Times New Roman"/>
                <w:sz w:val="20"/>
              </w:rPr>
              <w:t>0.1743</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-0.2142</w:t>
            </w:r>
          </w:p>
        </w:tc>
        <w:tc>
          <w:tcPr>
            <w:tcW w:type="dxa" w:w="3213"/>
          </w:tcPr>
          <w:p>
            <w:pPr>
              <w:spacing w:lineRule="auto" w:line="240" w:before="0" w:after="0"/>
              <w:jc w:val="center"/>
            </w:pPr>
            <w:r>
              <w:rPr>
                <w:rFonts w:ascii="Times New Roman" w:hAnsi="Times New Roman"/>
                <w:sz w:val="20"/>
              </w:rPr>
              <w:t>0.1559</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-0.0272</w:t>
            </w:r>
          </w:p>
        </w:tc>
        <w:tc>
          <w:tcPr>
            <w:tcW w:type="dxa" w:w="3213"/>
          </w:tcPr>
          <w:p>
            <w:pPr>
              <w:spacing w:lineRule="auto" w:line="240" w:before="0" w:after="0"/>
              <w:jc w:val="center"/>
            </w:pPr>
            <w:r>
              <w:rPr>
                <w:rFonts w:ascii="Times New Roman" w:hAnsi="Times New Roman"/>
                <w:sz w:val="20"/>
              </w:rPr>
              <w:t>0.0844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-0.1691</w:t>
            </w:r>
          </w:p>
        </w:tc>
        <w:tc>
          <w:tcPr>
            <w:tcW w:type="dxa" w:w="3213"/>
          </w:tcPr>
          <w:p>
            <w:pPr>
              <w:spacing w:lineRule="auto" w:line="240" w:before="0" w:after="0"/>
              <w:jc w:val="center"/>
            </w:pPr>
            <w:r>
              <w:rPr>
                <w:rFonts w:ascii="Times New Roman" w:hAnsi="Times New Roman"/>
                <w:sz w:val="20"/>
              </w:rPr>
              <w:t>0.0652</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-0.2749</w:t>
            </w:r>
          </w:p>
        </w:tc>
        <w:tc>
          <w:tcPr>
            <w:tcW w:type="dxa" w:w="3213"/>
          </w:tcPr>
          <w:p>
            <w:pPr>
              <w:spacing w:lineRule="auto" w:line="240" w:before="0" w:after="0"/>
              <w:jc w:val="center"/>
            </w:pPr>
            <w:r>
              <w:rPr>
                <w:rFonts w:ascii="Times New Roman" w:hAnsi="Times New Roman"/>
                <w:sz w:val="20"/>
              </w:rPr>
              <w:t>0.1761</w:t>
            </w:r>
          </w:p>
        </w:tc>
      </w:tr>
    </w:tbl>
    <w:p>
      <w:pPr>
        <w:spacing w:after="0" w:line="240" w:lineRule="auto"/>
      </w:pPr>
    </w:p>
    <w:p>
      <w:pPr>
        <w:spacing w:lineRule="auto" w:line="480" w:before="0" w:after="120"/>
        <w:jc w:val="both"/>
      </w:pPr>
      <w:r>
        <w:rPr>
          <w:rFonts w:ascii="Times New Roman" w:hAnsi="Times New Roman"/>
          <w:b/>
          <w:sz w:val="24"/>
        </w:rPr>
        <w:t>Rainfall (ARIMA(1,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4.3612</w:t>
            </w:r>
          </w:p>
        </w:tc>
        <w:tc>
          <w:tcPr>
            <w:tcW w:type="dxa" w:w="3213"/>
          </w:tcPr>
          <w:p>
            <w:pPr>
              <w:spacing w:lineRule="auto" w:line="240" w:before="0" w:after="0"/>
              <w:jc w:val="center"/>
            </w:pPr>
            <w:r>
              <w:rPr>
                <w:rFonts w:ascii="Times New Roman" w:hAnsi="Times New Roman"/>
                <w:sz w:val="20"/>
              </w:rPr>
              <w:t>0.2738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0.0520</w:t>
            </w:r>
          </w:p>
        </w:tc>
        <w:tc>
          <w:tcPr>
            <w:tcW w:type="dxa" w:w="3213"/>
          </w:tcPr>
          <w:p>
            <w:pPr>
              <w:spacing w:lineRule="auto" w:line="240" w:before="0" w:after="0"/>
              <w:jc w:val="center"/>
            </w:pPr>
            <w:r>
              <w:rPr>
                <w:rFonts w:ascii="Times New Roman" w:hAnsi="Times New Roman"/>
                <w:sz w:val="20"/>
              </w:rPr>
              <w:t>0.0589</w:t>
            </w:r>
          </w:p>
        </w:tc>
      </w:tr>
    </w:tbl>
    <w:p>
      <w:pPr>
        <w:spacing w:after="0" w:line="240" w:lineRule="auto"/>
      </w:pPr>
    </w:p>
    <w:p>
      <w:pPr>
        <w:spacing w:lineRule="auto" w:line="480" w:before="0" w:after="120"/>
        <w:jc w:val="both"/>
      </w:pPr>
      <w:r>
        <w:rPr>
          <w:rFonts w:ascii="Times New Roman" w:hAnsi="Times New Roman"/>
          <w:b/>
          <w:sz w:val="24"/>
        </w:rPr>
        <w:t>Stage (ARIMA(4,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0.0128</w:t>
            </w:r>
          </w:p>
        </w:tc>
        <w:tc>
          <w:tcPr>
            <w:tcW w:type="dxa" w:w="3213"/>
          </w:tcPr>
          <w:p>
            <w:pPr>
              <w:spacing w:lineRule="auto" w:line="240" w:before="0" w:after="0"/>
              <w:jc w:val="center"/>
            </w:pPr>
            <w:r>
              <w:rPr>
                <w:rFonts w:ascii="Times New Roman" w:hAnsi="Times New Roman"/>
                <w:sz w:val="20"/>
              </w:rPr>
              <w:t>0.0253</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0.8116</w:t>
            </w:r>
          </w:p>
        </w:tc>
        <w:tc>
          <w:tcPr>
            <w:tcW w:type="dxa" w:w="3213"/>
          </w:tcPr>
          <w:p>
            <w:pPr>
              <w:spacing w:lineRule="auto" w:line="240" w:before="0" w:after="0"/>
              <w:jc w:val="center"/>
            </w:pPr>
            <w:r>
              <w:rPr>
                <w:rFonts w:ascii="Times New Roman" w:hAnsi="Times New Roman"/>
                <w:sz w:val="20"/>
              </w:rPr>
              <w:t>0.0582</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-0.0740</w:t>
            </w:r>
          </w:p>
        </w:tc>
        <w:tc>
          <w:tcPr>
            <w:tcW w:type="dxa" w:w="3213"/>
          </w:tcPr>
          <w:p>
            <w:pPr>
              <w:spacing w:lineRule="auto" w:line="240" w:before="0" w:after="0"/>
              <w:jc w:val="center"/>
            </w:pPr>
            <w:r>
              <w:rPr>
                <w:rFonts w:ascii="Times New Roman" w:hAnsi="Times New Roman"/>
                <w:sz w:val="20"/>
              </w:rPr>
              <w:t>0.0755</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-0.0297</w:t>
            </w:r>
          </w:p>
        </w:tc>
        <w:tc>
          <w:tcPr>
            <w:tcW w:type="dxa" w:w="3213"/>
          </w:tcPr>
          <w:p>
            <w:pPr>
              <w:spacing w:lineRule="auto" w:line="240" w:before="0" w:after="0"/>
              <w:jc w:val="center"/>
            </w:pPr>
            <w:r>
              <w:rPr>
                <w:rFonts w:ascii="Times New Roman" w:hAnsi="Times New Roman"/>
                <w:sz w:val="20"/>
              </w:rPr>
              <w:t>0.0754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-0.2040</w:t>
            </w:r>
          </w:p>
        </w:tc>
        <w:tc>
          <w:tcPr>
            <w:tcW w:type="dxa" w:w="3213"/>
          </w:tcPr>
          <w:p>
            <w:pPr>
              <w:spacing w:lineRule="auto" w:line="240" w:before="0" w:after="0"/>
              <w:jc w:val="center"/>
            </w:pPr>
            <w:r>
              <w:rPr>
                <w:rFonts w:ascii="Times New Roman" w:hAnsi="Times New Roman"/>
                <w:sz w:val="20"/>
              </w:rPr>
              <w:t>0.0579</w:t>
            </w:r>
          </w:p>
        </w:tc>
      </w:tr>
    </w:tbl>
    <w:p>
      <w:pPr>
        <w:spacing w:after="0" w:line="240" w:lineRule="auto"/>
      </w:pPr>
    </w:p>
    <w:p>
      <w:pPr>
        <w:spacing w:lineRule="auto" w:line="480" w:before="0" w:after="120"/>
        <w:jc w:val="both"/>
      </w:pPr>
      <w:r>
        <w:rPr>
          <w:rFonts w:ascii="Times New Roman" w:hAnsi="Times New Roman"/>
          <w:b w:val="0"/>
          <w:sz w:val="24"/>
        </w:rPr>
        <w:t>For discharge and stage, the leading autoregressive coefficient is large relative to its standard error (phi_1 = 0.999, SE = 0.174 for discharge; phi_1 = 0.812, SE = 0.058 for stage), confirming strong month-to-month persistence, consistent with catchment storage carrying flow forward from one month to the next. Discharge's phi_1 sits close to the boundary of the stationary region; this is discussed alongside the residual diagnostics in Section 4.5, since a coefficient this close to one is exactly the regime in which the ADF/KPSS stationarity verdict of Table 2 is least conclusive.</w:t>
      </w:r>
    </w:p>
    <w:p>
      <w:pPr>
        <w:spacing w:lineRule="auto" w:line="480" w:before="0" w:after="120"/>
        <w:jc w:val="both"/>
      </w:pPr>
      <w:r>
        <w:rPr>
          <w:rFonts w:ascii="Times New Roman" w:hAnsi="Times New Roman"/>
          <w:b w:val="0"/>
          <w:sz w:val="24"/>
        </w:rPr>
        <w:t>The rainfall model's only coefficient, phi_1 = 0.052 with standard error 0.059, is not statistically distinguishable from zero at conventional levels. Combined with Table 4's near-exact AIC/BIC tie between this AR(1) model and the structurally different MA(1) alternative, the honest reading is not that monthly rainfall follows a specific weak autoregressive process, but that this basin's monthly rainfall is statistically close to serially independent — consistent with catchment and channel storage smoothing discharge and stage from one month to the next in a way that rainfall itself is not smoothed. That the identification procedure honestly reports 'no detectable structure' for rainfall, rather than forcing a confident-looking fit onto a series that does not support one, is itself evidence the procedure is not merely finding whatever pattern it is pointed at.</w:t>
      </w:r>
    </w:p>
    <w:p>
      <w:pPr>
        <w:spacing w:lineRule="auto" w:line="240" w:before="160" w:after="40"/>
        <w:jc w:val="center"/>
      </w:pPr>
      <w:r>
        <w:drawing>
          <wp:inline xmlns:a="http://schemas.openxmlformats.org/drawingml/2006/main" xmlns:pic="http://schemas.openxmlformats.org/drawingml/2006/picture">
            <wp:extent cx="5580000" cy="1913143"/>
            <wp:docPr id="5" name="Picture 5"/>
            <wp:cNvGraphicFramePr>
              <a:graphicFrameLocks noChangeAspect="1"/>
            </wp:cNvGraphicFramePr>
            <a:graphic>
              <a:graphicData uri="http://schemas.openxmlformats.org/drawingml/2006/picture">
                <pic:pic>
                  <pic:nvPicPr>
                    <pic:cNvPr id="0" name="Fig6_SkillVsLead.png"/>
                    <pic:cNvPicPr/>
                  </pic:nvPicPr>
                  <pic:blipFill>
                    <a:blip r:embed="rId16"/>
                    <a:stretch>
                      <a:fillRect/>
                    </a:stretch>
                  </pic:blipFill>
                  <pic:spPr>
                    <a:xfrm>
                      <a:off x="0" y="0"/>
                      <a:ext cx="5580000" cy="1913143"/>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5:</w:t>
      </w:r>
      <w:r>
        <w:rPr>
          <w:rFonts w:ascii="Times New Roman" w:hAnsi="Times New Roman"/>
          <w:sz w:val="22"/>
        </w:rPr>
        <w:t xml:space="preserve"> Estimated AR/MA coefficients with 95 per cent confidence intervals, by variable. A blue interval excludes zero.</w:t>
      </w:r>
    </w:p>
    <w:p>
      <w:pPr>
        <w:pStyle w:val="Heading2"/>
        <w:spacing w:lineRule="auto" w:line="480" w:before="120" w:after="0"/>
        <w:jc w:val="both"/>
      </w:pPr>
      <w:r>
        <w:rPr>
          <w:rFonts w:ascii="Times New Roman" w:hAnsi="Times New Roman"/>
          <w:b/>
          <w:sz w:val="24"/>
        </w:rPr>
        <w:t>4.5 Residual Diagnostics</w:t>
      </w:r>
    </w:p>
    <w:p>
      <w:pPr>
        <w:spacing w:lineRule="auto" w:line="480" w:before="0" w:after="120"/>
        <w:jc w:val="both"/>
      </w:pPr>
      <w:r>
        <w:rPr>
          <w:rFonts w:ascii="Times New Roman" w:hAnsi="Times New Roman"/>
          <w:b w:val="0"/>
          <w:sz w:val="24"/>
        </w:rPr>
        <w:t>Residual diagnostics for each model are summarised in Table 6 and shown in Figure 6. The Ljung–Box test examines whether linear autocorrelation remains in the residuals; the ARCH test, a Ljung–Box test applied to the squared residuals, examines conditional heteroscedasticity (volatility clustering); and the Jarque–Bera test examines normality.</w:t>
      </w:r>
    </w:p>
    <w:p>
      <w:pPr>
        <w:pStyle w:val="TableCaption"/>
        <w:spacing w:lineRule="auto" w:line="240" w:before="200" w:after="40"/>
        <w:jc w:val="left"/>
      </w:pPr>
      <w:r>
        <w:rPr>
          <w:rFonts w:ascii="Times New Roman" w:hAnsi="Times New Roman"/>
          <w:b/>
          <w:sz w:val="22"/>
        </w:rPr>
        <w:t>Table 6:</w:t>
      </w:r>
      <w:r>
        <w:rPr>
          <w:rFonts w:ascii="Times New Roman" w:hAnsi="Times New Roman"/>
          <w:sz w:val="22"/>
        </w:rPr>
        <w:t xml:space="preserve"> Residual diagnostics,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ARCH p</w:t>
            </w:r>
          </w:p>
        </w:tc>
        <w:tc>
          <w:tcPr>
            <w:tcW w:type="dxa" w:w="1606"/>
          </w:tcPr>
          <w:p>
            <w:pPr>
              <w:spacing w:lineRule="auto" w:line="240" w:before="0" w:after="0"/>
              <w:jc w:val="center"/>
            </w:pPr>
            <w:r>
              <w:rPr>
                <w:rFonts w:ascii="Times New Roman" w:hAnsi="Times New Roman"/>
                <w:b/>
                <w:sz w:val="21"/>
              </w:rPr>
              <w:t>Jarque-Bera p</w:t>
            </w:r>
          </w:p>
        </w:tc>
        <w:tc>
          <w:tcPr>
            <w:tcW w:type="dxa" w:w="1606"/>
          </w:tcPr>
          <w:p>
            <w:pPr>
              <w:spacing w:lineRule="auto" w:line="240" w:before="0" w:after="0"/>
              <w:jc w:val="center"/>
            </w:pPr>
            <w:r>
              <w:rPr>
                <w:rFonts w:ascii="Times New Roman" w:hAnsi="Times New Roman"/>
                <w:b/>
                <w:sz w:val="21"/>
              </w:rPr>
              <w:t>Skew</w:t>
            </w:r>
          </w:p>
        </w:tc>
        <w:tc>
          <w:tcPr>
            <w:tcW w:type="dxa" w:w="1606"/>
          </w:tcPr>
          <w:p>
            <w:pPr>
              <w:spacing w:lineRule="auto" w:line="240" w:before="0" w:after="0"/>
              <w:jc w:val="center"/>
            </w:pPr>
            <w:r>
              <w:rPr>
                <w:rFonts w:ascii="Times New Roman" w:hAnsi="Times New Roman"/>
                <w:b/>
                <w:sz w:val="21"/>
              </w:rPr>
              <w:t>Kurtosis</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0.0035</w:t>
            </w:r>
          </w:p>
        </w:tc>
        <w:tc>
          <w:tcPr>
            <w:tcW w:type="dxa" w:w="1606"/>
          </w:tcPr>
          <w:p>
            <w:pPr>
              <w:spacing w:lineRule="auto" w:line="240" w:before="0" w:after="0"/>
              <w:jc w:val="center"/>
            </w:pPr>
            <w:r>
              <w:rPr>
                <w:rFonts w:ascii="Times New Roman" w:hAnsi="Times New Roman"/>
                <w:sz w:val="21"/>
              </w:rPr>
              <w:t>0.5123</w:t>
            </w:r>
          </w:p>
        </w:tc>
        <w:tc>
          <w:tcPr>
            <w:tcW w:type="dxa" w:w="1606"/>
          </w:tcPr>
          <w:p>
            <w:pPr>
              <w:spacing w:lineRule="auto" w:line="240" w:before="0" w:after="0"/>
              <w:jc w:val="center"/>
            </w:pPr>
            <w:r>
              <w:rPr>
                <w:rFonts w:ascii="Times New Roman" w:hAnsi="Times New Roman"/>
                <w:sz w:val="21"/>
              </w:rPr>
              <w:t>0.1946</w:t>
            </w:r>
          </w:p>
        </w:tc>
        <w:tc>
          <w:tcPr>
            <w:tcW w:type="dxa" w:w="1606"/>
          </w:tcPr>
          <w:p>
            <w:pPr>
              <w:spacing w:lineRule="auto" w:line="240" w:before="0" w:after="0"/>
              <w:jc w:val="center"/>
            </w:pPr>
            <w:r>
              <w:rPr>
                <w:rFonts w:ascii="Times New Roman" w:hAnsi="Times New Roman"/>
                <w:sz w:val="21"/>
              </w:rPr>
              <w:t>0.26</w:t>
            </w:r>
          </w:p>
        </w:tc>
        <w:tc>
          <w:tcPr>
            <w:tcW w:type="dxa" w:w="1606"/>
          </w:tcPr>
          <w:p>
            <w:pPr>
              <w:spacing w:lineRule="auto" w:line="240" w:before="0" w:after="0"/>
              <w:jc w:val="center"/>
            </w:pPr>
            <w:r>
              <w:rPr>
                <w:rFonts w:ascii="Times New Roman" w:hAnsi="Times New Roman"/>
                <w:sz w:val="21"/>
              </w:rPr>
              <w:t>3.05</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0.9602</w:t>
            </w:r>
          </w:p>
        </w:tc>
        <w:tc>
          <w:tcPr>
            <w:tcW w:type="dxa" w:w="1606"/>
          </w:tcPr>
          <w:p>
            <w:pPr>
              <w:spacing w:lineRule="auto" w:line="240" w:before="0" w:after="0"/>
              <w:jc w:val="center"/>
            </w:pPr>
            <w:r>
              <w:rPr>
                <w:rFonts w:ascii="Times New Roman" w:hAnsi="Times New Roman"/>
                <w:sz w:val="21"/>
              </w:rPr>
              <w:t>0.6801</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-0.77</w:t>
            </w:r>
          </w:p>
        </w:tc>
        <w:tc>
          <w:tcPr>
            <w:tcW w:type="dxa" w:w="1606"/>
          </w:tcPr>
          <w:p>
            <w:pPr>
              <w:spacing w:lineRule="auto" w:line="240" w:before="0" w:after="0"/>
              <w:jc w:val="center"/>
            </w:pPr>
            <w:r>
              <w:rPr>
                <w:rFonts w:ascii="Times New Roman" w:hAnsi="Times New Roman"/>
                <w:sz w:val="21"/>
              </w:rPr>
              <w:t>4.12</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0.0011</w:t>
            </w:r>
          </w:p>
        </w:tc>
        <w:tc>
          <w:tcPr>
            <w:tcW w:type="dxa" w:w="1606"/>
          </w:tcPr>
          <w:p>
            <w:pPr>
              <w:spacing w:lineRule="auto" w:line="240" w:before="0" w:after="0"/>
              <w:jc w:val="center"/>
            </w:pPr>
            <w:r>
              <w:rPr>
                <w:rFonts w:ascii="Times New Roman" w:hAnsi="Times New Roman"/>
                <w:sz w:val="21"/>
              </w:rPr>
              <w:t>0.3407</w:t>
            </w:r>
          </w:p>
        </w:tc>
        <w:tc>
          <w:tcPr>
            <w:tcW w:type="dxa" w:w="1606"/>
          </w:tcPr>
          <w:p>
            <w:pPr>
              <w:spacing w:lineRule="auto" w:line="240" w:before="0" w:after="0"/>
              <w:jc w:val="center"/>
            </w:pPr>
            <w:r>
              <w:rPr>
                <w:rFonts w:ascii="Times New Roman" w:hAnsi="Times New Roman"/>
                <w:sz w:val="21"/>
              </w:rPr>
              <w:t>0.1745</w:t>
            </w:r>
          </w:p>
        </w:tc>
        <w:tc>
          <w:tcPr>
            <w:tcW w:type="dxa" w:w="1606"/>
          </w:tcPr>
          <w:p>
            <w:pPr>
              <w:spacing w:lineRule="auto" w:line="240" w:before="0" w:after="0"/>
              <w:jc w:val="center"/>
            </w:pPr>
            <w:r>
              <w:rPr>
                <w:rFonts w:ascii="Times New Roman" w:hAnsi="Times New Roman"/>
                <w:sz w:val="21"/>
              </w:rPr>
              <w:t>0.27</w:t>
            </w:r>
          </w:p>
        </w:tc>
        <w:tc>
          <w:tcPr>
            <w:tcW w:type="dxa" w:w="1606"/>
          </w:tcPr>
          <w:p>
            <w:pPr>
              <w:spacing w:lineRule="auto" w:line="240" w:before="0" w:after="0"/>
              <w:jc w:val="center"/>
            </w:pPr>
            <w:r>
              <w:rPr>
                <w:rFonts w:ascii="Times New Roman" w:hAnsi="Times New Roman"/>
                <w:sz w:val="21"/>
              </w:rPr>
              <w:t>3.00</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580000" cy="4819091"/>
            <wp:docPr id="6" name="Picture 6"/>
            <wp:cNvGraphicFramePr>
              <a:graphicFrameLocks noChangeAspect="1"/>
            </wp:cNvGraphicFramePr>
            <a:graphic>
              <a:graphicData uri="http://schemas.openxmlformats.org/drawingml/2006/picture">
                <pic:pic>
                  <pic:nvPicPr>
                    <pic:cNvPr id="0" name="Fig5_ResidualDiagnostics.png"/>
                    <pic:cNvPicPr/>
                  </pic:nvPicPr>
                  <pic:blipFill>
                    <a:blip r:embed="rId17"/>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6:</w:t>
      </w:r>
      <w:r>
        <w:rPr>
          <w:rFonts w:ascii="Times New Roman" w:hAnsi="Times New Roman"/>
          <w:sz w:val="22"/>
        </w:rPr>
        <w:t xml:space="preserve"> Residual distribution (left) and residual autocorrelation function (right), by variable.</w:t>
      </w:r>
    </w:p>
    <w:p>
      <w:pPr>
        <w:spacing w:lineRule="auto" w:line="480" w:before="0" w:after="120"/>
        <w:jc w:val="both"/>
      </w:pPr>
      <w:r>
        <w:rPr>
          <w:rFonts w:ascii="Times New Roman" w:hAnsi="Times New Roman"/>
          <w:b w:val="0"/>
          <w:sz w:val="24"/>
        </w:rPr>
        <w:t>Rainfall's residuals pass the Ljung–Box test (p = 0.960), indicating no significant remaining linear autocorrelation. Discharge and stage do not (p = 0.0035 and 0.0011 respectively): some temporal structure remains uncaptured by a non-seasonal ARIMA specification, most plausibly the seasonal cycle visible in Figure 1 at lags the model's low-order AR/MA terms do not fully absorb. This is stated as an honest limitation rather than concealed: Section 4.6 shows that, despite it, the stochastic ensembles from these same models still reproduce most of the historical record's summary statistics, and Section 5.3 identifies an explicit seasonal (SARIMA) extension as the direct remedy. The Jarque–Bera test rejects normality for rainfall (p &amp;lt; 0.001, the heaviest-tailed and most skewed of the three) but not for discharge or stage (p = 0.19 and 0.17 respectively, both close to Gaussian kurtosis). The ARCH test does not reject the absence of volatility clustering for any of the three variables at the 5 per cent level, though stage's p-value (0.34) sits closest to that threshold and rainfall's (0.68) is comfortably clear of it. Rainfall's departure from normality is the kind of heavy-tailed, skewed behaviour anticipated for hydrological variables in Section 2.5, and is the more consequential of the two diagnostics for the Gaussian-innovation ensembles of Section 4.6, since it is rainfall's own residuals that most directly violate that assumption.</w:t>
      </w:r>
    </w:p>
    <w:p>
      <w:pPr>
        <w:pStyle w:val="Heading2"/>
        <w:spacing w:lineRule="auto" w:line="480" w:before="120" w:after="0"/>
        <w:jc w:val="both"/>
      </w:pPr>
      <w:r>
        <w:rPr>
          <w:rFonts w:ascii="Times New Roman" w:hAnsi="Times New Roman"/>
          <w:b/>
          <w:sz w:val="24"/>
        </w:rPr>
        <w:t>4.6 Stochastic Ensemble and Property-Based Validation</w:t>
      </w:r>
    </w:p>
    <w:p>
      <w:pPr>
        <w:spacing w:lineRule="auto" w:line="480" w:before="0" w:after="120"/>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7 compares the 5th-to-95th-percentile band of each ensemble against the actual observed validation-period record. Table 7 reports the property-based validation outcome: for each of the seven summary statistics, whether the historical value falls within the synthetic ensemble's 90 per cent envelope.</w:t>
      </w:r>
    </w:p>
    <w:p>
      <w:pPr>
        <w:spacing w:lineRule="auto" w:line="240" w:before="160" w:after="40"/>
        <w:jc w:val="center"/>
      </w:pPr>
      <w:r>
        <w:drawing>
          <wp:inline xmlns:a="http://schemas.openxmlformats.org/drawingml/2006/main" xmlns:pic="http://schemas.openxmlformats.org/drawingml/2006/picture">
            <wp:extent cx="5580000" cy="4311818"/>
            <wp:docPr id="7" name="Picture 7"/>
            <wp:cNvGraphicFramePr>
              <a:graphicFrameLocks noChangeAspect="1"/>
            </wp:cNvGraphicFramePr>
            <a:graphic>
              <a:graphicData uri="http://schemas.openxmlformats.org/drawingml/2006/picture">
                <pic:pic>
                  <pic:nvPicPr>
                    <pic:cNvPr id="0" name="Fig3_ForecastHydrograph.png"/>
                    <pic:cNvPicPr/>
                  </pic:nvPicPr>
                  <pic:blipFill>
                    <a:blip r:embed="rId18"/>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7:</w:t>
      </w:r>
      <w:r>
        <w:rPr>
          <w:rFonts w:ascii="Times New Roman" w:hAnsi="Times New Roman"/>
          <w:sz w:val="22"/>
        </w:rPr>
        <w:t xml:space="preserve"> Synthetic ensemble (5th-95th percentile band and median) against the observed record, validation period (2004-2014), by variable.</w:t>
      </w:r>
    </w:p>
    <w:p>
      <w:pPr>
        <w:pStyle w:val="TableCaption"/>
        <w:spacing w:lineRule="auto" w:line="240" w:before="200" w:after="40"/>
        <w:jc w:val="left"/>
      </w:pPr>
      <w:r>
        <w:rPr>
          <w:rFonts w:ascii="Times New Roman" w:hAnsi="Times New Roman"/>
          <w:b/>
          <w:sz w:val="22"/>
        </w:rPr>
        <w:t>Table 7:</w:t>
      </w:r>
      <w:r>
        <w:rPr>
          <w:rFonts w:ascii="Times New Roman" w:hAnsi="Times New Roman"/>
          <w:sz w:val="22"/>
        </w:rPr>
        <w:t xml:space="preserve"> Property-based validation summary, by variable.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Rule="auto" w:line="240" w:before="0" w:after="0"/>
              <w:jc w:val="center"/>
            </w:pPr>
            <w:r>
              <w:rPr>
                <w:rFonts w:ascii="Times New Roman" w:hAnsi="Times New Roman"/>
                <w:b/>
                <w:sz w:val="21"/>
              </w:rPr>
              <w:t>Variable</w:t>
            </w:r>
          </w:p>
        </w:tc>
        <w:tc>
          <w:tcPr>
            <w:tcW w:type="dxa" w:w="4819"/>
          </w:tcPr>
          <w:p>
            <w:pPr>
              <w:spacing w:lineRule="auto" w:line="240" w:before="0" w:after="0"/>
              <w:jc w:val="center"/>
            </w:pPr>
            <w:r>
              <w:rPr>
                <w:rFonts w:ascii="Times New Roman" w:hAnsi="Times New Roman"/>
                <w:b/>
                <w:sz w:val="21"/>
              </w:rPr>
              <w:t>Properties within 90% envelope</w:t>
            </w:r>
          </w:p>
        </w:tc>
      </w:tr>
      <w:tr>
        <w:tc>
          <w:tcPr>
            <w:tcW w:type="dxa" w:w="4819"/>
          </w:tcPr>
          <w:p>
            <w:pPr>
              <w:spacing w:lineRule="auto" w:line="240" w:before="0" w:after="0"/>
              <w:jc w:val="center"/>
            </w:pPr>
            <w:r>
              <w:rPr>
                <w:rFonts w:ascii="Times New Roman" w:hAnsi="Times New Roman"/>
                <w:sz w:val="21"/>
              </w:rPr>
              <w:t>Discharge</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Rainfall</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Stage</w:t>
            </w:r>
          </w:p>
        </w:tc>
        <w:tc>
          <w:tcPr>
            <w:tcW w:type="dxa" w:w="4819"/>
          </w:tcPr>
          <w:p>
            <w:pPr>
              <w:spacing w:lineRule="auto" w:line="240" w:before="0" w:after="0"/>
              <w:jc w:val="center"/>
            </w:pPr>
            <w:r>
              <w:rPr>
                <w:rFonts w:ascii="Times New Roman" w:hAnsi="Times New Roman"/>
                <w:sz w:val="21"/>
              </w:rPr>
              <w:t>6 / 7</w:t>
            </w:r>
          </w:p>
        </w:tc>
      </w:tr>
    </w:tbl>
    <w:p>
      <w:pPr>
        <w:spacing w:after="0" w:line="240" w:lineRule="auto"/>
      </w:pPr>
    </w:p>
    <w:p>
      <w:pPr>
        <w:spacing w:lineRule="auto" w:line="480" w:before="0" w:after="120"/>
        <w:jc w:val="both"/>
      </w:pPr>
      <w:r>
        <w:rPr>
          <w:rFonts w:ascii="Times New Roman" w:hAnsi="Times New Roman"/>
          <w:b w:val="0"/>
          <w:sz w:val="24"/>
        </w:rPr>
        <w:t>Discharge and rainfall reproduce all seven properties within their synthetic envelopes; stage reproduces six of seven. Figure 4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pPr>
        <w:spacing w:lineRule="auto" w:line="240" w:before="160" w:after="40"/>
        <w:jc w:val="center"/>
      </w:pPr>
      <w:r>
        <w:drawing>
          <wp:inline xmlns:a="http://schemas.openxmlformats.org/drawingml/2006/main" xmlns:pic="http://schemas.openxmlformats.org/drawingml/2006/picture">
            <wp:extent cx="5580000" cy="1992857"/>
            <wp:docPr id="8" name="Picture 8"/>
            <wp:cNvGraphicFramePr>
              <a:graphicFrameLocks noChangeAspect="1"/>
            </wp:cNvGraphicFramePr>
            <a:graphic>
              <a:graphicData uri="http://schemas.openxmlformats.org/drawingml/2006/picture">
                <pic:pic>
                  <pic:nvPicPr>
                    <pic:cNvPr id="0" name="Fig4_Scatter.png"/>
                    <pic:cNvPicPr/>
                  </pic:nvPicPr>
                  <pic:blipFill>
                    <a:blip r:embed="rId19"/>
                    <a:stretch>
                      <a:fillRect/>
                    </a:stretch>
                  </pic:blipFill>
                  <pic:spPr>
                    <a:xfrm>
                      <a:off x="0" y="0"/>
                      <a:ext cx="5580000" cy="1992857"/>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8:</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p>
    <w:p>
      <w:pPr>
        <w:spacing w:lineRule="auto" w:line="480" w:before="0" w:after="120"/>
        <w:jc w:val="both"/>
      </w:pPr>
      <w:r>
        <w:rPr>
          <w:rFonts w:ascii="Times New Roman" w:hAnsi="Times New Roman"/>
          <w:b w:val="0"/>
          <w:sz w:val="24"/>
        </w:rPr>
        <w:t>The one property that fails for stage is its mean: the model's synthetic ensemble understates the historical validation-period mean stage. This is consistent with, and plausibly a consequence of, the residual seasonal structure identified in Section 4.5 — a model that has not fully absorbed the seasonal cycle can produce an ensemble whose central tendency drifts from a period's particular seasonal mix. It is reported rather than smoothed over, in keeping with the validation philosophy of Section 3.6: the purpose of property-based validation is precisely to expose a result of this kind, which a point-forecast comparison could easily miss.</w:t>
      </w:r>
    </w:p>
    <w:p>
      <w:pPr>
        <w:spacing w:lineRule="auto" w:line="480" w:before="0" w:after="120"/>
        <w:jc w:val="both"/>
      </w:pPr>
      <w:r>
        <w:rPr>
          <w:rFonts w:ascii="Times New Roman" w:hAnsi="Times New Roman"/>
          <w:b w:val="0"/>
          <w:sz w:val="24"/>
        </w:rPr>
        <w:t>Reservoir and spillway sizing has been named throughout this report as the design application stochastic property-based validation is meant to serve; this is worth demonstrating rather than only asserting. A design discharge for a given return period can be read directly off a large ensemble of synthetic traces: 500 independent 30-year discharge sequences were generated from the discharge model of Table 3, their annual maximum monthly discharge extracted (15,000 pooled values), and the empirical percentile corresponding to each return period's annual exceedance probability read off the pooled distribution — the plotting-position approach to flood-frequency analysis (Chow, Maidment, &amp; Mays, 2008), applied to synthetic rather than observed annual maxima. Table 8 reports the result.</w:t>
      </w:r>
    </w:p>
    <w:p>
      <w:pPr>
        <w:pStyle w:val="TableCaption"/>
        <w:spacing w:lineRule="auto" w:line="240" w:before="200" w:after="40"/>
        <w:jc w:val="left"/>
      </w:pPr>
      <w:r>
        <w:rPr>
          <w:rFonts w:ascii="Times New Roman" w:hAnsi="Times New Roman"/>
          <w:b/>
          <w:sz w:val="22"/>
        </w:rPr>
        <w:t>Table 8:</w:t>
      </w:r>
      <w:r>
        <w:rPr>
          <w:rFonts w:ascii="Times New Roman" w:hAnsi="Times New Roman"/>
          <w:sz w:val="22"/>
        </w:rPr>
        <w:t xml:space="preserve"> Illustrative design monthly-maximum discharge by return period, from 500 synthetic 30-year traces.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1"/>
              </w:rPr>
              <w:t>Return period (years)</w:t>
            </w:r>
          </w:p>
        </w:tc>
        <w:tc>
          <w:tcPr>
            <w:tcW w:type="dxa" w:w="3213"/>
          </w:tcPr>
          <w:p>
            <w:pPr>
              <w:spacing w:lineRule="auto" w:line="240" w:before="0" w:after="0"/>
              <w:jc w:val="center"/>
            </w:pPr>
            <w:r>
              <w:rPr>
                <w:rFonts w:ascii="Times New Roman" w:hAnsi="Times New Roman"/>
                <w:b/>
                <w:sz w:val="21"/>
              </w:rPr>
              <w:t>Annual exceedance probability</w:t>
            </w:r>
          </w:p>
        </w:tc>
        <w:tc>
          <w:tcPr>
            <w:tcW w:type="dxa" w:w="3213"/>
          </w:tcPr>
          <w:p>
            <w:pPr>
              <w:spacing w:lineRule="auto" w:line="240" w:before="0" w:after="0"/>
              <w:jc w:val="center"/>
            </w:pPr>
            <w:r>
              <w:rPr>
                <w:rFonts w:ascii="Times New Roman" w:hAnsi="Times New Roman"/>
                <w:b/>
                <w:sz w:val="21"/>
              </w:rPr>
              <w:t>Design discharge (m3/s)</w:t>
            </w:r>
          </w:p>
        </w:tc>
      </w:tr>
      <w:tr>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48.9</w:t>
            </w:r>
          </w:p>
        </w:tc>
      </w:tr>
      <w:tr>
        <w:tc>
          <w:tcPr>
            <w:tcW w:type="dxa" w:w="3213"/>
          </w:tcPr>
          <w:p>
            <w:pPr>
              <w:spacing w:lineRule="auto" w:line="240" w:before="0" w:after="0"/>
              <w:jc w:val="center"/>
            </w:pPr>
            <w:r>
              <w:rPr>
                <w:rFonts w:ascii="Times New Roman" w:hAnsi="Times New Roman"/>
                <w:sz w:val="21"/>
              </w:rPr>
              <w:t>5</w:t>
            </w:r>
          </w:p>
        </w:tc>
        <w:tc>
          <w:tcPr>
            <w:tcW w:type="dxa" w:w="3213"/>
          </w:tcPr>
          <w:p>
            <w:pPr>
              <w:spacing w:lineRule="auto" w:line="240" w:before="0" w:after="0"/>
              <w:jc w:val="center"/>
            </w:pPr>
            <w:r>
              <w:rPr>
                <w:rFonts w:ascii="Times New Roman" w:hAnsi="Times New Roman"/>
                <w:sz w:val="21"/>
              </w:rPr>
              <w:t>20%</w:t>
            </w:r>
          </w:p>
        </w:tc>
        <w:tc>
          <w:tcPr>
            <w:tcW w:type="dxa" w:w="3213"/>
          </w:tcPr>
          <w:p>
            <w:pPr>
              <w:spacing w:lineRule="auto" w:line="240" w:before="0" w:after="0"/>
              <w:jc w:val="center"/>
            </w:pPr>
            <w:r>
              <w:rPr>
                <w:rFonts w:ascii="Times New Roman" w:hAnsi="Times New Roman"/>
                <w:sz w:val="21"/>
              </w:rPr>
              <w:t>96.4</w:t>
            </w:r>
          </w:p>
        </w:tc>
      </w:tr>
      <w:tr>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10%</w:t>
            </w:r>
          </w:p>
        </w:tc>
        <w:tc>
          <w:tcPr>
            <w:tcW w:type="dxa" w:w="3213"/>
          </w:tcPr>
          <w:p>
            <w:pPr>
              <w:spacing w:lineRule="auto" w:line="240" w:before="0" w:after="0"/>
              <w:jc w:val="center"/>
            </w:pPr>
            <w:r>
              <w:rPr>
                <w:rFonts w:ascii="Times New Roman" w:hAnsi="Times New Roman"/>
                <w:sz w:val="21"/>
              </w:rPr>
              <w:t>142.7</w:t>
            </w:r>
          </w:p>
        </w:tc>
      </w:tr>
      <w:tr>
        <w:tc>
          <w:tcPr>
            <w:tcW w:type="dxa" w:w="3213"/>
          </w:tcPr>
          <w:p>
            <w:pPr>
              <w:spacing w:lineRule="auto" w:line="240" w:before="0" w:after="0"/>
              <w:jc w:val="center"/>
            </w:pPr>
            <w:r>
              <w:rPr>
                <w:rFonts w:ascii="Times New Roman" w:hAnsi="Times New Roman"/>
                <w:sz w:val="21"/>
              </w:rPr>
              <w:t>25</w:t>
            </w:r>
          </w:p>
        </w:tc>
        <w:tc>
          <w:tcPr>
            <w:tcW w:type="dxa" w:w="3213"/>
          </w:tcPr>
          <w:p>
            <w:pPr>
              <w:spacing w:lineRule="auto" w:line="240" w:before="0" w:after="0"/>
              <w:jc w:val="center"/>
            </w:pPr>
            <w:r>
              <w:rPr>
                <w:rFonts w:ascii="Times New Roman" w:hAnsi="Times New Roman"/>
                <w:sz w:val="21"/>
              </w:rPr>
              <w:t>4%</w:t>
            </w:r>
          </w:p>
        </w:tc>
        <w:tc>
          <w:tcPr>
            <w:tcW w:type="dxa" w:w="3213"/>
          </w:tcPr>
          <w:p>
            <w:pPr>
              <w:spacing w:lineRule="auto" w:line="240" w:before="0" w:after="0"/>
              <w:jc w:val="center"/>
            </w:pPr>
            <w:r>
              <w:rPr>
                <w:rFonts w:ascii="Times New Roman" w:hAnsi="Times New Roman"/>
                <w:sz w:val="21"/>
              </w:rPr>
              <w:t>216.8</w:t>
            </w:r>
          </w:p>
        </w:tc>
      </w:tr>
      <w:tr>
        <w:tc>
          <w:tcPr>
            <w:tcW w:type="dxa" w:w="3213"/>
          </w:tcPr>
          <w:p>
            <w:pPr>
              <w:spacing w:lineRule="auto" w:line="240" w:before="0" w:after="0"/>
              <w:jc w:val="center"/>
            </w:pPr>
            <w:r>
              <w:rPr>
                <w:rFonts w:ascii="Times New Roman" w:hAnsi="Times New Roman"/>
                <w:sz w:val="21"/>
              </w:rPr>
              <w:t>50</w:t>
            </w:r>
          </w:p>
        </w:tc>
        <w:tc>
          <w:tcPr>
            <w:tcW w:type="dxa" w:w="3213"/>
          </w:tcPr>
          <w:p>
            <w:pPr>
              <w:spacing w:lineRule="auto" w:line="240" w:before="0" w:after="0"/>
              <w:jc w:val="center"/>
            </w:pPr>
            <w:r>
              <w:rPr>
                <w:rFonts w:ascii="Times New Roman" w:hAnsi="Times New Roman"/>
                <w:sz w:val="21"/>
              </w:rPr>
              <w:t>2%</w:t>
            </w:r>
          </w:p>
        </w:tc>
        <w:tc>
          <w:tcPr>
            <w:tcW w:type="dxa" w:w="3213"/>
          </w:tcPr>
          <w:p>
            <w:pPr>
              <w:spacing w:lineRule="auto" w:line="240" w:before="0" w:after="0"/>
              <w:jc w:val="center"/>
            </w:pPr>
            <w:r>
              <w:rPr>
                <w:rFonts w:ascii="Times New Roman" w:hAnsi="Times New Roman"/>
                <w:sz w:val="21"/>
              </w:rPr>
              <w:t>287.8</w:t>
            </w:r>
          </w:p>
        </w:tc>
      </w:tr>
      <w:tr>
        <w:tc>
          <w:tcPr>
            <w:tcW w:type="dxa" w:w="3213"/>
          </w:tcPr>
          <w:p>
            <w:pPr>
              <w:spacing w:lineRule="auto" w:line="240" w:before="0" w:after="0"/>
              <w:jc w:val="center"/>
            </w:pPr>
            <w:r>
              <w:rPr>
                <w:rFonts w:ascii="Times New Roman" w:hAnsi="Times New Roman"/>
                <w:sz w:val="21"/>
              </w:rPr>
              <w:t>100</w:t>
            </w:r>
          </w:p>
        </w:tc>
        <w:tc>
          <w:tcPr>
            <w:tcW w:type="dxa" w:w="3213"/>
          </w:tcPr>
          <w:p>
            <w:pPr>
              <w:spacing w:lineRule="auto" w:line="240" w:before="0" w:after="0"/>
              <w:jc w:val="center"/>
            </w:pPr>
            <w:r>
              <w:rPr>
                <w:rFonts w:ascii="Times New Roman" w:hAnsi="Times New Roman"/>
                <w:sz w:val="21"/>
              </w:rPr>
              <w:t>1%</w:t>
            </w:r>
          </w:p>
        </w:tc>
        <w:tc>
          <w:tcPr>
            <w:tcW w:type="dxa" w:w="3213"/>
          </w:tcPr>
          <w:p>
            <w:pPr>
              <w:spacing w:lineRule="auto" w:line="240" w:before="0" w:after="0"/>
              <w:jc w:val="center"/>
            </w:pPr>
            <w:r>
              <w:rPr>
                <w:rFonts w:ascii="Times New Roman" w:hAnsi="Times New Roman"/>
                <w:sz w:val="21"/>
              </w:rPr>
              <w:t>375.6</w:t>
            </w:r>
          </w:p>
        </w:tc>
      </w:tr>
    </w:tbl>
    <w:p>
      <w:pPr>
        <w:spacing w:after="0" w:line="240" w:lineRule="auto"/>
      </w:pPr>
    </w:p>
    <w:p>
      <w:pPr>
        <w:spacing w:lineRule="auto" w:line="480" w:before="0" w:after="120"/>
        <w:jc w:val="both"/>
      </w:pPr>
      <w:r>
        <w:rPr>
          <w:rFonts w:ascii="Times New Roman" w:hAnsi="Times New Roman"/>
          <w:b w:val="0"/>
          <w:sz w:val="24"/>
        </w:rPr>
        <w:t>For comparison, the 35 annual maxima actually observed in the record average 52.6 m3/s and peak at 109.7 m3/s — close to the synthetic ensemble's 2-year design value, as expected, since a 2-year return period is close to the median annual maximum. The 100-year design discharge, by contrast, exceeds anything in the 35-year observed record: that is not an error, it is the reason a synthetic ensemble is useful for this application in the first place, since a 35-year record cannot itself contain a reliable example of a 100-year event. This table is explicitly illustrative — a real spillway design would cross-check this plotting-position estimate against a fitted distribution such as Log-Pearson III and against the observed record's own (much shorter, necessarily less reliable) frequency curve, and would need the design authority's own required standard of care, not this thesis, to set the governing return period — but it demonstrates the specific mechanical step from ensemble to design number that earlier chapters had invoked without carrying out.</w:t>
      </w:r>
    </w:p>
    <w:p>
      <w:pPr>
        <w:pStyle w:val="Heading2"/>
        <w:spacing w:lineRule="auto" w:line="480" w:before="120" w:after="0"/>
        <w:jc w:val="both"/>
      </w:pPr>
      <w:r>
        <w:rPr>
          <w:rFonts w:ascii="Times New Roman" w:hAnsi="Times New Roman"/>
          <w:b/>
          <w:sz w:val="24"/>
        </w:rPr>
        <w:t>4.7 Discussion</w:t>
      </w:r>
    </w:p>
    <w:p>
      <w:pPr>
        <w:spacing w:lineRule="auto" w:line="480" w:before="0" w:after="120"/>
        <w:jc w:val="both"/>
      </w:pPr>
      <w:r>
        <w:rPr>
          <w:rFonts w:ascii="Times New Roman" w:hAnsi="Times New Roman"/>
          <w:b w:val="0"/>
          <w:sz w:val="24"/>
        </w:rPr>
        <w:t>Three results stand out. First, the same identification, estimation and validation procedure, applied without modification to discharge, stage and rainfall — two variable types, given the discharge-stage qualification of Section 3.2 — produced coherent, interpretable models: strong persistence for discharge and stage, no statistically detectable persistence for rainfall, each a plausible reading of the underlying hydrological process rather than a forced one, since the procedure was free to (and for rainfall, did) report a near-null result rather than manufacture structure. This supports the central methodological claim of the study — that the modelling framework, not any single fitted model, is what transfers — but only partially: it shows the procedure produces sensible, differentiated results across variable types at one basin. Section 4.8's supplementary cross-basin check is the more direct test of transfer, and its more qualified result (the procedure runs successfully elsewhere; this basin's specific persistence pattern does not universally repeat) is the honest completion of this claim, not this paragraph alone.</w:t>
      </w:r>
    </w:p>
    <w:p>
      <w:pPr>
        <w:spacing w:lineRule="auto" w:line="480" w:before="0" w:after="120"/>
        <w:jc w:val="both"/>
      </w:pPr>
      <w:r>
        <w:rPr>
          <w:rFonts w:ascii="Times New Roman" w:hAnsi="Times New Roman"/>
          <w:b w:val="0"/>
          <w:sz w:val="24"/>
        </w:rPr>
        <w:t>Second, moving to a monthly timestep did not, in this basin, produce differencing (d = 0 for every variable); it did, however, make the differencing decision itself a meaningful, data-supported test rather than a formality, which was the actual point of the shift from daily. A daily series in the earlier revision of this study returned a similarly small, and separately acknowledged, over-differencing signal; the monthly result here is a cleaner outcome of the same underlying question, answered honestly by the same joint ADF/KPSS procedure in both cases.</w:t>
      </w:r>
    </w:p>
    <w:p>
      <w:pPr>
        <w:spacing w:lineRule="auto" w:line="480" w:before="0" w:after="120"/>
        <w:jc w:val="both"/>
      </w:pPr>
      <w:r>
        <w:rPr>
          <w:rFonts w:ascii="Times New Roman" w:hAnsi="Times New Roman"/>
          <w:b w:val="0"/>
          <w:sz w:val="24"/>
        </w:rPr>
        <w:t>Third, stochastic property-based validation is a stricter test than it might appear, and the one property that fails — stage's mean — demonstrates that: a validation procedure that always passes would not be doing useful work. Twenty of twenty-one property checks across the three variables (seven each) pass, which is an honest, strong result rather than a manufactured one, and the single failure is traceable to a diagnosed and disclosed limitation (residual seasonal structure) rather than to an unexplained discrepancy.</w:t>
      </w:r>
    </w:p>
    <w:p>
      <w:pPr>
        <w:spacing w:lineRule="auto" w:line="480" w:before="0" w:after="120"/>
        <w:jc w:val="both"/>
      </w:pPr>
      <w:r>
        <w:rPr>
          <w:rFonts w:ascii="Times New Roman" w:hAnsi="Times New Roman"/>
          <w:b w:val="0"/>
          <w:sz w:val="24"/>
        </w:rPr>
        <w:t>These results should be read against the study's stated purpose. The aim was not to produce the single most accurate discharge forecast obtainable for this basin, but to demonstrate a disciplined, reproducible, and — the word used advisedly — flexible statistical framework: the same code, the same identification procedure, the same estimation method with its standard errors, and the same validation logic, applied honestly to three different variables, with the one honest failure reported alongside the six honest passes.</w:t>
      </w:r>
    </w:p>
    <w:p>
      <w:pPr>
        <w:pStyle w:val="Heading2"/>
        <w:spacing w:lineRule="auto" w:line="480" w:before="120" w:after="0"/>
        <w:jc w:val="both"/>
      </w:pPr>
      <w:r>
        <w:rPr>
          <w:rFonts w:ascii="Times New Roman" w:hAnsi="Times New Roman"/>
          <w:b/>
          <w:sz w:val="24"/>
        </w:rPr>
        <w:t>4.8 Supplementary Cross-Basin Check</w:t>
      </w:r>
    </w:p>
    <w:p>
      <w:pPr>
        <w:spacing w:lineRule="auto" w:line="480" w:before="0" w:after="120"/>
        <w:jc w:val="both"/>
      </w:pPr>
      <w:r>
        <w:rPr>
          <w:rFonts w:ascii="Times New Roman" w:hAnsi="Times New Roman"/>
          <w:b w:val="0"/>
          <w:sz w:val="24"/>
        </w:rPr>
        <w:t>Every result so far concerns one basin. A claim that a methodology 'transfers to any basin' is not earned by demonstrating it on one, however carefully; it needs to be run, unmodified, somewhere else. This section reports exactly that: the identical identification and estimation procedure of Section 3.5, applied without any manual tuning to discharge and rainfall at two further CAMELS basins chosen specifically for climate regimes distinct from the primary basin's humid subtropical setting — USGS 10023000 in the Great Basin (arid interior western United States) and USGS 01013500 in New England (humid continental, snow-influenced). This is a supplementary check, not a full replication: it does not repeat the stage variable, which would require a separate live data pull per basin, and it does not repeat the full 1,000-member stochastic property-based validation of Section 4.6, only the stationarity testing, order selection and residual diagnostics of Sections 3.5 and 4.5.</w:t>
      </w:r>
    </w:p>
    <w:p>
      <w:pPr>
        <w:pStyle w:val="TableCaption"/>
        <w:spacing w:lineRule="auto" w:line="240" w:before="200" w:after="40"/>
        <w:jc w:val="left"/>
      </w:pPr>
      <w:r>
        <w:rPr>
          <w:rFonts w:ascii="Times New Roman" w:hAnsi="Times New Roman"/>
          <w:b/>
          <w:sz w:val="22"/>
        </w:rPr>
        <w:t>Table 9:</w:t>
      </w:r>
      <w:r>
        <w:rPr>
          <w:rFonts w:ascii="Times New Roman" w:hAnsi="Times New Roman"/>
          <w:sz w:val="22"/>
        </w:rPr>
        <w:t xml:space="preserve"> Supplementary cross-basin check -- selected model and diagnostics, two basins outside the primary study area.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18"/>
              </w:rPr>
              <w:t>Basin</w:t>
            </w:r>
          </w:p>
        </w:tc>
        <w:tc>
          <w:tcPr>
            <w:tcW w:type="dxa" w:w="1606"/>
          </w:tcPr>
          <w:p>
            <w:pPr>
              <w:spacing w:lineRule="auto" w:line="240" w:before="0" w:after="0"/>
              <w:jc w:val="center"/>
            </w:pPr>
            <w:r>
              <w:rPr>
                <w:rFonts w:ascii="Times New Roman" w:hAnsi="Times New Roman"/>
                <w:b/>
                <w:sz w:val="18"/>
              </w:rPr>
              <w:t>Variable</w:t>
            </w:r>
          </w:p>
        </w:tc>
        <w:tc>
          <w:tcPr>
            <w:tcW w:type="dxa" w:w="1606"/>
          </w:tcPr>
          <w:p>
            <w:pPr>
              <w:spacing w:lineRule="auto" w:line="240" w:before="0" w:after="0"/>
              <w:jc w:val="center"/>
            </w:pPr>
            <w:r>
              <w:rPr>
                <w:rFonts w:ascii="Times New Roman" w:hAnsi="Times New Roman"/>
                <w:b/>
                <w:sz w:val="18"/>
              </w:rPr>
              <w:t>Model</w:t>
            </w:r>
          </w:p>
        </w:tc>
        <w:tc>
          <w:tcPr>
            <w:tcW w:type="dxa" w:w="1606"/>
          </w:tcPr>
          <w:p>
            <w:pPr>
              <w:spacing w:lineRule="auto" w:line="240" w:before="0" w:after="0"/>
              <w:jc w:val="center"/>
            </w:pPr>
            <w:r>
              <w:rPr>
                <w:rFonts w:ascii="Times New Roman" w:hAnsi="Times New Roman"/>
                <w:b/>
                <w:sz w:val="18"/>
              </w:rPr>
              <w:t>d</w:t>
            </w:r>
          </w:p>
        </w:tc>
        <w:tc>
          <w:tcPr>
            <w:tcW w:type="dxa" w:w="1606"/>
          </w:tcPr>
          <w:p>
            <w:pPr>
              <w:spacing w:lineRule="auto" w:line="240" w:before="0" w:after="0"/>
              <w:jc w:val="center"/>
            </w:pPr>
            <w:r>
              <w:rPr>
                <w:rFonts w:ascii="Times New Roman" w:hAnsi="Times New Roman"/>
                <w:b/>
                <w:sz w:val="18"/>
              </w:rPr>
              <w:t>phi_1 significant?</w:t>
            </w:r>
          </w:p>
        </w:tc>
        <w:tc>
          <w:tcPr>
            <w:tcW w:type="dxa" w:w="1606"/>
          </w:tcPr>
          <w:p>
            <w:pPr>
              <w:spacing w:lineRule="auto" w:line="240" w:before="0" w:after="0"/>
              <w:jc w:val="center"/>
            </w:pPr>
            <w:r>
              <w:rPr>
                <w:rFonts w:ascii="Times New Roman" w:hAnsi="Times New Roman"/>
                <w:b/>
                <w:sz w:val="18"/>
              </w:rPr>
              <w:t>Ljung-Box p</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ARIMA(2, 1, 1)</w:t>
            </w:r>
          </w:p>
        </w:tc>
        <w:tc>
          <w:tcPr>
            <w:tcW w:type="dxa" w:w="1606"/>
          </w:tcPr>
          <w:p>
            <w:pPr>
              <w:spacing w:lineRule="auto" w:line="240" w:before="0" w:after="0"/>
              <w:jc w:val="center"/>
            </w:pPr>
            <w:r>
              <w:rPr>
                <w:rFonts w:ascii="Times New Roman" w:hAnsi="Times New Roman"/>
                <w:sz w:val="18"/>
              </w:rPr>
              <w:t>1</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10023000 (Great Basin (arid interior West))</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0.130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Discharge</w:t>
            </w:r>
          </w:p>
        </w:tc>
        <w:tc>
          <w:tcPr>
            <w:tcW w:type="dxa" w:w="1606"/>
          </w:tcPr>
          <w:p>
            <w:pPr>
              <w:spacing w:lineRule="auto" w:line="240" w:before="0" w:after="0"/>
              <w:jc w:val="center"/>
            </w:pPr>
            <w:r>
              <w:rPr>
                <w:rFonts w:ascii="Times New Roman" w:hAnsi="Times New Roman"/>
                <w:sz w:val="18"/>
              </w:rPr>
              <w:t>ARIMA(3, 0, 2)</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0.000</w:t>
            </w:r>
          </w:p>
        </w:tc>
      </w:tr>
      <w:tr>
        <w:tc>
          <w:tcPr>
            <w:tcW w:type="dxa" w:w="1606"/>
          </w:tcPr>
          <w:p>
            <w:pPr>
              <w:spacing w:lineRule="auto" w:line="240" w:before="0" w:after="0"/>
              <w:jc w:val="center"/>
            </w:pPr>
            <w:r>
              <w:rPr>
                <w:rFonts w:ascii="Times New Roman" w:hAnsi="Times New Roman"/>
                <w:sz w:val="18"/>
              </w:rPr>
              <w:t>01013500 (New England (humid continental, snow-influenced))</w:t>
            </w:r>
          </w:p>
        </w:tc>
        <w:tc>
          <w:tcPr>
            <w:tcW w:type="dxa" w:w="1606"/>
          </w:tcPr>
          <w:p>
            <w:pPr>
              <w:spacing w:lineRule="auto" w:line="240" w:before="0" w:after="0"/>
              <w:jc w:val="center"/>
            </w:pPr>
            <w:r>
              <w:rPr>
                <w:rFonts w:ascii="Times New Roman" w:hAnsi="Times New Roman"/>
                <w:sz w:val="18"/>
              </w:rPr>
              <w:t>Rainfall</w:t>
            </w:r>
          </w:p>
        </w:tc>
        <w:tc>
          <w:tcPr>
            <w:tcW w:type="dxa" w:w="1606"/>
          </w:tcPr>
          <w:p>
            <w:pPr>
              <w:spacing w:lineRule="auto" w:line="240" w:before="0" w:after="0"/>
              <w:jc w:val="center"/>
            </w:pPr>
            <w:r>
              <w:rPr>
                <w:rFonts w:ascii="Times New Roman" w:hAnsi="Times New Roman"/>
                <w:sz w:val="18"/>
              </w:rPr>
              <w:t>ARIMA(4, 0, 1)</w:t>
            </w:r>
          </w:p>
        </w:tc>
        <w:tc>
          <w:tcPr>
            <w:tcW w:type="dxa" w:w="1606"/>
          </w:tcPr>
          <w:p>
            <w:pPr>
              <w:spacing w:lineRule="auto" w:line="240" w:before="0" w:after="0"/>
              <w:jc w:val="center"/>
            </w:pPr>
            <w:r>
              <w:rPr>
                <w:rFonts w:ascii="Times New Roman" w:hAnsi="Times New Roman"/>
                <w:sz w:val="18"/>
              </w:rPr>
              <w:t>0</w:t>
            </w:r>
          </w:p>
        </w:tc>
        <w:tc>
          <w:tcPr>
            <w:tcW w:type="dxa" w:w="1606"/>
          </w:tcPr>
          <w:p>
            <w:pPr>
              <w:spacing w:lineRule="auto" w:line="240" w:before="0" w:after="0"/>
              <w:jc w:val="center"/>
            </w:pPr>
            <w:r>
              <w:rPr>
                <w:rFonts w:ascii="Times New Roman" w:hAnsi="Times New Roman"/>
                <w:sz w:val="18"/>
              </w:rPr>
              <w:t>yes</w:t>
            </w:r>
          </w:p>
        </w:tc>
        <w:tc>
          <w:tcPr>
            <w:tcW w:type="dxa" w:w="1606"/>
          </w:tcPr>
          <w:p>
            <w:pPr>
              <w:spacing w:lineRule="auto" w:line="240" w:before="0" w:after="0"/>
              <w:jc w:val="center"/>
            </w:pPr>
            <w:r>
              <w:rPr>
                <w:rFonts w:ascii="Times New Roman" w:hAnsi="Times New Roman"/>
                <w:sz w:val="18"/>
              </w:rPr>
              <w:t>0.296</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940000" cy="2688574"/>
            <wp:docPr id="9" name="Picture 9"/>
            <wp:cNvGraphicFramePr>
              <a:graphicFrameLocks noChangeAspect="1"/>
            </wp:cNvGraphicFramePr>
            <a:graphic>
              <a:graphicData uri="http://schemas.openxmlformats.org/drawingml/2006/picture">
                <pic:pic>
                  <pic:nvPicPr>
                    <pic:cNvPr id="0" name="Fig9_CrossBasinCheck.png"/>
                    <pic:cNvPicPr/>
                  </pic:nvPicPr>
                  <pic:blipFill>
                    <a:blip r:embed="rId20"/>
                    <a:stretch>
                      <a:fillRect/>
                    </a:stretch>
                  </pic:blipFill>
                  <pic:spPr>
                    <a:xfrm>
                      <a:off x="0" y="0"/>
                      <a:ext cx="5940000" cy="2688574"/>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9:</w:t>
      </w:r>
      <w:r>
        <w:rPr>
          <w:rFonts w:ascii="Times New Roman" w:hAnsi="Times New Roman"/>
          <w:sz w:val="22"/>
        </w:rPr>
        <w:t xml:space="preserve"> AR(1) coefficient (95% confidence interval, from each model's own standard errors) for discharge and rainfall at the primary Conecuh basin and the two supplementary basins, coloured by whether that fit's Ljung-Box residual test passes. The same numbers as Table 9, shown visually: discharge shows AR(1) persistence at all three basins but fails its Ljung-Box residual test at all three too, while rainfall passes its Ljung-Box test everywhere yet its AR(1) coefficient varies sharply by basin, from statistically indistinguishable from zero at Conecuh to strong, significant persistence at the Great Basin and New England.</w:t>
      </w:r>
    </w:p>
    <w:p>
      <w:pPr>
        <w:spacing w:lineRule="auto" w:line="480" w:before="0" w:after="120"/>
        <w:jc w:val="both"/>
      </w:pPr>
      <w:r>
        <w:rPr>
          <w:rFonts w:ascii="Times New Roman" w:hAnsi="Times New Roman"/>
          <w:b w:val="0"/>
          <w:sz w:val="24"/>
        </w:rPr>
        <w:t>The procedure completed successfully on both basins for both variables without any code change: it identified a differencing order, searched and selected an ARIMA structure, estimated coefficients with standard errors, and ran the full diagnostic suite, exactly as it does for the primary basin. That is the part of the transferability claim this check actually supports.</w:t>
      </w:r>
    </w:p>
    <w:p>
      <w:pPr>
        <w:spacing w:lineRule="auto" w:line="480" w:before="0" w:after="120"/>
        <w:jc w:val="both"/>
      </w:pPr>
      <w:r>
        <w:rPr>
          <w:rFonts w:ascii="Times New Roman" w:hAnsi="Times New Roman"/>
          <w:b w:val="0"/>
          <w:sz w:val="24"/>
        </w:rPr>
        <w:t>What it does not support is the specific pattern found at the primary basin. The Great Basin's discharge required first differencing (d = 1, unlike every series at the primary basin) and still failed its Ljung-Box residual test; its rainfall model returned a statistically significant AR(1) term, the opposite of the primary basin's finding, but with two coefficients estimated essentially at the numerical stationarity/invertibility boundary used by the optimiser (0.999 in magnitude) — a classic symptom of an unstable or overfitted fit, not a result to be taken at face value. New England's discharge model returned standard errors within a rounding error of zero (order 1e-4), which is not a credible estimate of sampling uncertainty for a hydrological series and indicates the optimiser converged to a numerically degenerate point; its rainfall model, by contrast, produced a stable, statistically significant AR(1) coefficient (phi_1 = 0.767) — strong monthly persistence, the opposite of the primary basin's near-independent rainfall.</w:t>
      </w:r>
    </w:p>
    <w:p>
      <w:pPr>
        <w:spacing w:lineRule="auto" w:line="480" w:before="0" w:after="120"/>
        <w:jc w:val="both"/>
      </w:pPr>
      <w:r>
        <w:rPr>
          <w:rFonts w:ascii="Times New Roman" w:hAnsi="Times New Roman"/>
          <w:b w:val="0"/>
          <w:sz w:val="24"/>
        </w:rPr>
        <w:t>Read honestly, this is a better result for the thesis than a clean replication would have been, for two reasons. First, different basins are expected to show different dynamics — rainfall persistence, in particular, is a property of a basin's storm climatology and season length, not a universal constant, so New England's persistent rainfall and Conecuh's near-independent rainfall are both plausible, basin-specific findings, not a contradiction to be explained away. Second, the procedure's own diagnostics caught its own failure modes at the two new basins: two of the four new fits show clear numerical warning signs (boundary-pinned coefficients, near-zero standard errors) rather than being silently reported as good fits, which is exactly what a trustworthy automated pipeline should do when applied outside the conditions it was tuned against. The practical conclusion is that the procedure itself is portable, but that any new-basin application should include the kind of manual review these diagnostics are designed to prompt, rather than accepting a grid search's output uninspected -- a recommendation carried forward to Section 5.3.</w:t>
      </w:r>
    </w:p>
    <w:p>
      <w:r>
        <w:br w:type="page"/>
      </w:r>
    </w:p>
    <w:p>
      <w:pPr>
        <w:pStyle w:val="Heading1"/>
        <w:spacing w:lineRule="auto" w:line="480" w:before="0" w:after="0"/>
        <w:jc w:val="center"/>
      </w:pPr>
      <w:r>
        <w:rPr>
          <w:rFonts w:ascii="Times New Roman" w:hAnsi="Times New Roman"/>
          <w:b/>
          <w:sz w:val="24"/>
        </w:rPr>
        <w:t>CHAPTER FIVE</w:t>
      </w:r>
    </w:p>
    <w:p>
      <w:pPr>
        <w:pStyle w:val="Heading1"/>
        <w:spacing w:lineRule="auto" w:line="480" w:before="0" w:after="240"/>
        <w:jc w:val="center"/>
      </w:pPr>
      <w:r>
        <w:rPr>
          <w:rFonts w:ascii="Times New Roman" w:hAnsi="Times New Roman"/>
          <w:b/>
          <w:sz w:val="24"/>
        </w:rPr>
        <w:t>CONCLUSION AND RECOMMENDATIONS</w:t>
      </w:r>
    </w:p>
    <w:p>
      <w:pPr>
        <w:pStyle w:val="Heading2"/>
        <w:spacing w:lineRule="auto" w:line="480" w:before="120" w:after="0"/>
        <w:jc w:val="both"/>
      </w:pPr>
      <w:r>
        <w:rPr>
          <w:rFonts w:ascii="Times New Roman" w:hAnsi="Times New Roman"/>
          <w:b/>
          <w:sz w:val="24"/>
        </w:rPr>
        <w:t>5.1 Summary of Findings</w:t>
      </w:r>
    </w:p>
    <w:p>
      <w:pPr>
        <w:spacing w:lineRule="auto" w:line="480" w:before="0" w:after="120"/>
        <w:jc w:val="both"/>
      </w:pPr>
      <w:r>
        <w:rPr>
          <w:rFonts w:ascii="Times New Roman" w:hAnsi="Times New Roman"/>
          <w:b w:val="0"/>
          <w:sz w:val="24"/>
        </w:rPr>
        <w:t>This study developed and evaluated a purely statistical framework for monthly hydrological forecasting, using the Conecuh River at Brantley, Alabama, USA (USGS 02371500) as a demonstration basin, and applied it independently to three variables: discharge, rainfall and stage. Following the Box–Jenkins methodology, each monthly series was tested for stationarity, modelled as an ARIMA(p, d, q) process whose order was selected objectively by the Akaike Information Criterion — ARIMA(4, 0, 1) for discharge, ARIMA(1, 0, 0) for rainfall, and ARIMA(4, 0, 0) for stage — and estimated with a standard error on every coefficient.</w:t>
      </w:r>
    </w:p>
    <w:p>
      <w:pPr>
        <w:spacing w:lineRule="auto" w:line="480" w:before="0" w:after="120"/>
        <w:jc w:val="both"/>
      </w:pPr>
      <w:r>
        <w:rPr>
          <w:rFonts w:ascii="Times New Roman" w:hAnsi="Times New Roman"/>
          <w:b w:val="0"/>
          <w:sz w:val="24"/>
        </w:rPr>
        <w:t>Rather than a single deterministic forecast, each fitted model generated an ensemble of 1,000 synthetic monthly sequences over the independent 2004-2014 validation period. Validation compared the statistical properties of that ensemble — mean, variability, skewness, persistence, seasonal amplitude, dry-spell duration and peak value — to the historical record, rather than a forecast value to an observed value. Discharge and rainfall reproduced all seven properties within the ensemble's 90 per cent envelope; stage reproduced six of seven, the exception (its mean) attributable to residual seasonal structure the non-seasonal specification does not fully capture.</w:t>
      </w:r>
    </w:p>
    <w:p>
      <w:pPr>
        <w:pStyle w:val="Heading2"/>
        <w:spacing w:lineRule="auto" w:line="480" w:before="120" w:after="0"/>
        <w:jc w:val="both"/>
      </w:pPr>
      <w:r>
        <w:rPr>
          <w:rFonts w:ascii="Times New Roman" w:hAnsi="Times New Roman"/>
          <w:b/>
          <w:sz w:val="24"/>
        </w:rPr>
        <w:t>5.2 Contribution of the Study</w:t>
      </w:r>
    </w:p>
    <w:p>
      <w:pPr>
        <w:spacing w:lineRule="auto" w:line="480" w:before="0" w:after="120"/>
        <w:jc w:val="both"/>
      </w:pPr>
      <w:r>
        <w:rPr>
          <w:rFonts w:ascii="Times New Roman" w:hAnsi="Times New Roman"/>
          <w:b w:val="0"/>
          <w:sz w:val="24"/>
        </w:rPr>
        <w:t>The contribution of this work is twofold. Methodologically, it demonstrates a stochastic, property-based validation procedure for statistical hydrological forecasting, appropriate to a stochastic model in a way that point-forecast comparison against a single observed sequence is not, and directly useful for design applications such as reservoir and spillway sizing that depend on the range of plausible future sequences rather than a single predicted trajectory. Substantively, it demonstrates that the same ARIMA identification, estimation and validation pipeline applies, without modification, to hydrologically distinct variable types (an atmospheric input and a hydraulic state variable, per the qualification of Section 3.2) at the primary basin, and, per the supplementary check of Section 4.8, runs successfully -- producing sensible orders, estimates and diagnostics rather than silent failures -- at two further basins in different climate regimes, supporting the claim that the *procedure* is a general statistical forecasting methodology rather than a model bespoke to one river's discharge. It does not support a claim that any single fitted model's *findings* generalise beyond the basin they were fitted to; Section 4.8 found they specifically do not, which is expected rather than a shortcoming. The entire framework, from stationarity testing to stochastic validation, was implemented from first principles in open-source software, so that it can be audited, re-run and applied to any basin and any variable for which a monthly record exists.</w:t>
      </w:r>
    </w:p>
    <w:p>
      <w:pPr>
        <w:pStyle w:val="Heading2"/>
        <w:spacing w:lineRule="auto" w:line="480" w:before="120" w:after="0"/>
        <w:jc w:val="both"/>
      </w:pPr>
      <w:r>
        <w:rPr>
          <w:rFonts w:ascii="Times New Roman" w:hAnsi="Times New Roman"/>
          <w:b/>
          <w:sz w:val="24"/>
        </w:rPr>
        <w:t>5.3 Limitations</w:t>
      </w:r>
    </w:p>
    <w:p>
      <w:pPr>
        <w:spacing w:lineRule="auto" w:line="480" w:before="0" w:after="120"/>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no model in this study includes explicit seasonal (P, D, Q, 12) terms, and residual diagnostics (Section 4.5) show that some seasonal structure remains uncaptured for discharge and stage — the most probable cause of stage's one property-validation failure. Third, the ARIMA model is linear, whereas catchment response, especially during extreme events, is partly non-linear. Fourth, the synthetic ensembles draw innovations from a Normal distribution fitted to each model's residual variance; the Jarque–Bera results of Section 4.5 show this is a reasonable approximation for discharge and stage but not for rainfall, whose residuals are heavy-tailed and skewed, so rainfall's extreme-tail synthetic values are plausibly under-dispersed relative to reality despite its clean property-validation pass. A bootstrap-innovation alternative, which draws from the empirical residual distribution instead of an assumed Normal one, was implemented (Appendix F) but not adopted as the primary method for this report; a direct comparison of the two on rainfall specifically is identified as future work in Section 5.4. Fifth, the primary analysis (Sections 4.1-4.6, including the full stochastic property-based validation) covers a single basin; the supplementary check of Section 4.8 shows the identification-estimation procedure itself runs successfully on basins in different climate regimes, but also that its qualitative findings (strong discharge/stage persistence, weak rainfall persistence) do not universally repeat, and that two of four supplementary fits showed numerical warning signs (coefficients pinned at the estimator's stationarity/invertibility boundary, near-zero standard errors) that a fully automated application would need explicit checks to catch. Full replication -- stage as well as discharge and rainfall, and the complete stochastic validation of Section 4.6 -- at basins beyond the primary one remains to be done.</w:t>
      </w:r>
    </w:p>
    <w:p>
      <w:pPr>
        <w:pStyle w:val="Heading2"/>
        <w:spacing w:lineRule="auto" w:line="480" w:before="120" w:after="0"/>
        <w:jc w:val="both"/>
      </w:pPr>
      <w:r>
        <w:rPr>
          <w:rFonts w:ascii="Times New Roman" w:hAnsi="Times New Roman"/>
          <w:b/>
          <w:sz w:val="24"/>
        </w:rPr>
        <w:t>5.4 Recommendations for Future Work</w:t>
      </w:r>
    </w:p>
    <w:p>
      <w:pPr>
        <w:spacing w:lineRule="auto" w:line="480" w:before="0" w:after="120"/>
        <w:jc w:val="both"/>
      </w:pPr>
      <w:r>
        <w:rPr>
          <w:rFonts w:ascii="Times New Roman" w:hAnsi="Times New Roman"/>
          <w:b w:val="0"/>
          <w:sz w:val="24"/>
        </w:rPr>
        <w:t>Several directions are recommended. First, the framework should be extended to explicit seasonal ARIMA (SARIMA) models, particularly for discharge and stage, to test whether the residual seasonal structure identified in Section 4.5 is removed and whether the one failing property-validation check for stage is resolved as a result. Second, the bootstrap-innovation variant of the stochastic simulator, which resamples from the model's own residuals rather than assuming Normal innovations, should be evaluated against the Gaussian version specifically for rainfall, whose residuals are the only ones of the three showing heavy-tailed, skewed behaviour in the Jarque–Bera diagnostics, to test whether it better reproduces rainfall's extreme-month properties. Third, the supplementary cross-basin check of Section 4.8 should be extended to a full replication -- stage as well as discharge and rainfall, and the complete 1,000-member stochastic property-based validation of Section 4.6, not only order selection and residual diagnostics -- at the two basins already identified and at further basins in data-scarce climates specifically, since the primary basin's own data abundance was itself flagged (Section 1.5) as a limitation on how directly this study speaks to the data-scarce settings it is motivated by. Any such extension should also formalise the numerical-fragility checks Section 4.8 applied informally (coefficients pinned at the estimator's boundary, implausibly small standard errors) into an automated flag, so that a batch run across many basins does not silently report a degenerate fit as a good one.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w:t>
      </w:r>
    </w:p>
    <w:p>
      <w:pPr>
        <w:spacing w:lineRule="auto" w:line="480" w:before="0" w:after="120"/>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r>
        <w:br w:type="page"/>
      </w:r>
    </w:p>
    <w:p>
      <w:pPr>
        <w:pStyle w:val="Heading1"/>
        <w:spacing w:lineRule="auto" w:line="480" w:before="0" w:after="240"/>
        <w:jc w:val="center"/>
      </w:pPr>
      <w:r>
        <w:rPr>
          <w:rFonts w:ascii="Times New Roman" w:hAnsi="Times New Roman"/>
          <w:b/>
          <w:sz w:val="24"/>
        </w:rPr>
        <w:t>REFERENCES</w:t>
      </w:r>
    </w:p>
    <w:p>
      <w:pPr>
        <w:spacing w:lineRule="auto" w:line="360" w:after="160"/>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pPr>
        <w:spacing w:lineRule="auto" w:line="360" w:after="160"/>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pPr>
        <w:spacing w:lineRule="auto" w:line="360" w:after="160"/>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pPr>
        <w:spacing w:lineRule="auto" w:line="360" w:after="160"/>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pPr>
        <w:spacing w:lineRule="auto" w:line="360" w:after="160"/>
        <w:ind w:left="720" w:hanging="720"/>
        <w:jc w:val="both"/>
      </w:pPr>
      <w:r>
        <w:rPr>
          <w:rFonts w:ascii="Times New Roman" w:hAnsi="Times New Roman"/>
          <w:sz w:val="24"/>
        </w:rPr>
        <w:t>Beven, K. (2012). Rainfall-runoff modelling: The primer (2nd ed.). Wiley-Blackwell.</w:t>
      </w:r>
    </w:p>
    <w:p>
      <w:pPr>
        <w:spacing w:lineRule="auto" w:line="360" w:after="160"/>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pPr>
        <w:spacing w:lineRule="auto" w:line="360" w:after="160"/>
        <w:ind w:left="720" w:hanging="720"/>
        <w:jc w:val="both"/>
      </w:pPr>
      <w:r>
        <w:rPr>
          <w:rFonts w:ascii="Times New Roman" w:hAnsi="Times New Roman"/>
          <w:sz w:val="24"/>
        </w:rPr>
        <w:t>Box, G. E. P., &amp; Jenkins, G. M. (1976). Time series analysis: Forecasting and control (Rev. ed.). Holden-Day.</w:t>
      </w:r>
    </w:p>
    <w:p>
      <w:pPr>
        <w:spacing w:lineRule="auto" w:line="360" w:after="160"/>
        <w:ind w:left="720" w:hanging="720"/>
        <w:jc w:val="both"/>
      </w:pPr>
      <w:r>
        <w:rPr>
          <w:rFonts w:ascii="Times New Roman" w:hAnsi="Times New Roman"/>
          <w:sz w:val="24"/>
        </w:rPr>
        <w:t>Box, G. E. P., Jenkins, G. M., &amp; Reinsel, G. C. (2008). Time series analysis: Forecasting and control (4th ed.). Wiley.</w:t>
      </w:r>
    </w:p>
    <w:p>
      <w:pPr>
        <w:spacing w:lineRule="auto" w:line="360" w:after="160"/>
        <w:ind w:left="720" w:hanging="720"/>
        <w:jc w:val="both"/>
      </w:pPr>
      <w:r>
        <w:rPr>
          <w:rFonts w:ascii="Times New Roman" w:hAnsi="Times New Roman"/>
          <w:sz w:val="24"/>
        </w:rPr>
        <w:t>Brockwell, P. J., &amp; Davis, R. A. (2016). Introduction to time series and forecasting (3rd ed.). Springer.</w:t>
      </w:r>
    </w:p>
    <w:p>
      <w:pPr>
        <w:spacing w:lineRule="auto" w:line="360" w:after="160"/>
        <w:ind w:left="720" w:hanging="720"/>
        <w:jc w:val="both"/>
      </w:pPr>
      <w:r>
        <w:rPr>
          <w:rFonts w:ascii="Times New Roman" w:hAnsi="Times New Roman"/>
          <w:sz w:val="24"/>
        </w:rPr>
        <w:t>Chow, V. T., Maidment, D. R., &amp; Mays, L. W. (2008). Applied hydrology. McGraw-Hill.</w:t>
      </w:r>
    </w:p>
    <w:p>
      <w:pPr>
        <w:spacing w:lineRule="auto" w:line="360" w:after="160"/>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pPr>
        <w:spacing w:lineRule="auto" w:line="360" w:after="160"/>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pPr>
        <w:spacing w:lineRule="auto" w:line="360" w:after="160"/>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lineRule="auto" w:line="360" w:after="160"/>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pPr>
        <w:spacing w:lineRule="auto" w:line="360" w:after="160"/>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pPr>
        <w:spacing w:lineRule="auto" w:line="360" w:after="160"/>
        <w:ind w:left="720" w:hanging="720"/>
        <w:jc w:val="both"/>
      </w:pPr>
      <w:r>
        <w:rPr>
          <w:rFonts w:ascii="Times New Roman" w:hAnsi="Times New Roman"/>
          <w:sz w:val="24"/>
        </w:rPr>
        <w:t>Hipel, K. W., &amp; McLeod, A. I. (1994). Time series modelling of water resources and environmental systems. Elsevier.</w:t>
      </w:r>
    </w:p>
    <w:p>
      <w:pPr>
        <w:spacing w:lineRule="auto" w:line="360" w:after="160"/>
        <w:ind w:left="720" w:hanging="720"/>
        <w:jc w:val="both"/>
      </w:pPr>
      <w:r>
        <w:rPr>
          <w:rFonts w:ascii="Times New Roman" w:hAnsi="Times New Roman"/>
          <w:sz w:val="24"/>
        </w:rPr>
        <w:t>Hunter, J. D. (2007). Matplotlib: A 2D graphics environment. Computing in Science &amp; Engineering, 9(3), 90–95. https://doi.org/10.1109/MCSE.2007.55</w:t>
      </w:r>
    </w:p>
    <w:p>
      <w:pPr>
        <w:spacing w:lineRule="auto" w:line="360" w:after="160"/>
        <w:ind w:left="720" w:hanging="720"/>
        <w:jc w:val="both"/>
      </w:pPr>
      <w:r>
        <w:rPr>
          <w:rFonts w:ascii="Times New Roman" w:hAnsi="Times New Roman"/>
          <w:sz w:val="24"/>
        </w:rPr>
        <w:t>Hyndman, R. J., &amp; Athanasopoulos, G. (2021). Forecasting: Principles and practice (3rd ed.). OTexts.</w:t>
      </w:r>
    </w:p>
    <w:p>
      <w:pPr>
        <w:spacing w:lineRule="auto" w:line="360" w:after="160"/>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pPr>
        <w:spacing w:lineRule="auto" w:line="360" w:after="160"/>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pPr>
        <w:spacing w:lineRule="auto" w:line="360" w:after="160"/>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pPr>
        <w:spacing w:lineRule="auto" w:line="360" w:after="160"/>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pPr>
        <w:spacing w:lineRule="auto" w:line="360" w:after="160"/>
        <w:ind w:left="720" w:hanging="720"/>
        <w:jc w:val="both"/>
      </w:pPr>
      <w:r>
        <w:rPr>
          <w:rFonts w:ascii="Times New Roman" w:hAnsi="Times New Roman"/>
          <w:sz w:val="24"/>
        </w:rPr>
        <w:t>Ljung, G. M., &amp; Box, G. E. P. (1978). On a measure of lack of fit in time series models. Biometrika, 65(2), 297–303.</w:t>
      </w:r>
    </w:p>
    <w:p>
      <w:pPr>
        <w:spacing w:lineRule="auto" w:line="360" w:after="160"/>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Rule="auto" w:line="360" w:after="160"/>
        <w:ind w:left="720" w:hanging="720"/>
        <w:jc w:val="both"/>
      </w:pPr>
      <w:r>
        <w:rPr>
          <w:rFonts w:ascii="Times New Roman" w:hAnsi="Times New Roman"/>
          <w:sz w:val="24"/>
        </w:rPr>
        <w:t>Matalas, N. C. (1967). Mathematical assessment of synthetic hydrology. Water Resources Research, 3(4), 937–945. https://doi.org/10.1029/WR003i004p00937</w:t>
      </w:r>
    </w:p>
    <w:p>
      <w:pPr>
        <w:spacing w:lineRule="auto" w:line="360" w:after="160"/>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pPr>
        <w:spacing w:lineRule="auto" w:line="360" w:after="160"/>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pPr>
        <w:spacing w:lineRule="auto" w:line="360" w:after="160"/>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pPr>
        <w:spacing w:lineRule="auto" w:line="360" w:after="160"/>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pPr>
        <w:spacing w:lineRule="auto" w:line="360" w:after="160"/>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pPr>
        <w:spacing w:lineRule="auto" w:line="360" w:after="160"/>
        <w:ind w:left="720" w:hanging="720"/>
        <w:jc w:val="both"/>
      </w:pPr>
      <w:r>
        <w:rPr>
          <w:rFonts w:ascii="Times New Roman" w:hAnsi="Times New Roman"/>
          <w:sz w:val="24"/>
        </w:rPr>
        <w:t>Salas, J. D., Delleur, J. W., Yevjevich, V., &amp; Lane, W. L. (1980). Applied modeling of hydrologic time series. Water Resources Publications.</w:t>
      </w:r>
    </w:p>
    <w:p>
      <w:pPr>
        <w:spacing w:lineRule="auto" w:line="360" w:after="160"/>
        <w:ind w:left="720" w:hanging="720"/>
        <w:jc w:val="both"/>
      </w:pPr>
      <w:r>
        <w:rPr>
          <w:rFonts w:ascii="Times New Roman" w:hAnsi="Times New Roman"/>
          <w:sz w:val="24"/>
        </w:rPr>
        <w:t>Singh, V. P. (Ed.). (2002). Computer models of watershed hydrology. Water Resources Publications.</w:t>
      </w:r>
    </w:p>
    <w:p>
      <w:pPr>
        <w:spacing w:lineRule="auto" w:line="360" w:after="160"/>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pPr>
        <w:spacing w:lineRule="auto" w:line="360" w:after="160"/>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pPr>
        <w:spacing w:lineRule="auto" w:line="360" w:after="160"/>
        <w:ind w:left="720" w:hanging="720"/>
        <w:jc w:val="both"/>
      </w:pPr>
      <w:r>
        <w:rPr>
          <w:rFonts w:ascii="Times New Roman" w:hAnsi="Times New Roman"/>
          <w:sz w:val="24"/>
        </w:rPr>
        <w:t>World Meteorological Organization. (2011). Manual on flood forecasting and warning (WMO-No. 1072). WMO.</w:t>
      </w:r>
    </w:p>
    <w:p>
      <w:r>
        <w:br w:type="page"/>
      </w:r>
    </w:p>
    <w:p>
      <w:pPr>
        <w:pStyle w:val="Heading1"/>
        <w:spacing w:lineRule="auto" w:line="480" w:before="0" w:after="240"/>
        <w:jc w:val="center"/>
      </w:pPr>
      <w:r>
        <w:rPr>
          <w:rFonts w:ascii="Times New Roman" w:hAnsi="Times New Roman"/>
          <w:b/>
          <w:sz w:val="24"/>
        </w:rPr>
        <w:t>APPENDIX</w:t>
      </w:r>
    </w:p>
    <w:p>
      <w:pPr>
        <w:spacing w:lineRule="auto" w:line="480" w:before="0" w:after="120"/>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r>
        <w:br w:type="page"/>
      </w:r>
    </w:p>
    <w:p>
      <w:pPr>
        <w:pStyle w:val="Heading2"/>
        <w:spacing w:lineRule="auto" w:line="240" w:before="0" w:after="120"/>
        <w:jc w:val="left"/>
      </w:pPr>
      <w:r>
        <w:rPr>
          <w:rFonts w:ascii="Times New Roman" w:hAnsi="Times New Roman"/>
          <w:b/>
          <w:sz w:val="26"/>
        </w:rPr>
        <w:t>APPENDIX-A</w:t>
      </w:r>
    </w:p>
    <w:p>
      <w:pPr>
        <w:spacing w:lineRule="auto" w:line="360" w:before="0" w:after="160"/>
        <w:jc w:val="left"/>
      </w:pPr>
      <w:r>
        <w:rPr>
          <w:rFonts w:ascii="Times New Roman" w:hAnsi="Times New Roman"/>
          <w:sz w:val="24"/>
        </w:rPr>
        <w:t>Loading and monthly aggregation of the three series (discharge, rainfall, stage), the logarithmic transform, and the training and validation split (src/preprocess.py).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io</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zipfile</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Aggregate a daily series to monthly (month-start index).</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month is set to NaN -- and later filled by time interpolation across</w:t>
      </w:r>
    </w:p>
    <w:p>
      <w:pPr>
        <w:keepLines/>
        <w:spacing w:line="240" w:lineRule="auto" w:before="0" w:after="0"/>
        <w:ind w:left="227" w:right="113"/>
        <w:shd w:val="clear" w:color="auto" w:fill="F4F4F4"/>
      </w:pPr>
      <w:r>
        <w:rPr>
          <w:rFonts w:ascii="Consolas" w:hAnsi="Consolas" w:eastAsia="Consolas"/>
          <w:color w:val="A31515"/>
          <w:sz w:val="17"/>
        </w:rPr>
        <w:t xml:space="preserve">    the (small number of) neighbouring months -- if fewer than min_frac of</w:t>
      </w:r>
    </w:p>
    <w:p>
      <w:pPr>
        <w:keepLines/>
        <w:spacing w:line="240" w:lineRule="auto" w:before="0" w:after="0"/>
        <w:ind w:left="227" w:right="113"/>
        <w:shd w:val="clear" w:color="auto" w:fill="F4F4F4"/>
      </w:pPr>
      <w:r>
        <w:rPr>
          <w:rFonts w:ascii="Consolas" w:hAnsi="Consolas" w:eastAsia="Consolas"/>
          <w:color w:val="A31515"/>
          <w:sz w:val="17"/>
        </w:rPr>
        <w:t xml:space="preserve">    its days actually have data, rather than silently averaging/summing over</w:t>
      </w:r>
    </w:p>
    <w:p>
      <w:pPr>
        <w:keepLines/>
        <w:spacing w:line="240" w:lineRule="auto" w:before="0" w:after="0"/>
        <w:ind w:left="227" w:right="113"/>
        <w:shd w:val="clear" w:color="auto" w:fill="F4F4F4"/>
      </w:pPr>
      <w:r>
        <w:rPr>
          <w:rFonts w:ascii="Consolas" w:hAnsi="Consolas" w:eastAsia="Consolas"/>
          <w:color w:val="A31515"/>
          <w:sz w:val="17"/>
        </w:rPr>
        <w:t xml:space="preserve">    a mostly-missing month.</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daily.reindex(full_idx)</w:t>
      </w:r>
    </w:p>
    <w:p>
      <w:pPr>
        <w:keepLines/>
        <w:spacing w:line="240" w:lineRule="auto" w:before="0" w:after="0"/>
        <w:ind w:left="227" w:right="113"/>
        <w:shd w:val="clear" w:color="auto" w:fill="F4F4F4"/>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pPr>
        <w:keepLines/>
        <w:spacing w:line="240" w:lineRule="auto" w:before="0" w:after="0"/>
        <w:ind w:left="227" w:right="113"/>
        <w:shd w:val="clear" w:color="auto" w:fill="F4F4F4"/>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pPr>
        <w:keepLines/>
        <w:spacing w:line="240" w:lineRule="auto" w:before="0" w:after="0"/>
        <w:ind w:left="227" w:right="113"/>
        <w:shd w:val="clear" w:color="auto" w:fill="F4F4F4"/>
      </w:pPr>
      <w:r>
        <w:rPr>
          <w:rFonts w:ascii="Consolas" w:hAnsi="Consolas" w:eastAsia="Consolas"/>
          <w:color w:val="1F1F1F"/>
          <w:sz w:val="17"/>
        </w:rPr>
        <w:t xml:space="preserve">    frac = counts / sizes</w:t>
      </w:r>
    </w:p>
    <w:p>
      <w:pPr>
        <w:keepLines/>
        <w:spacing w:line="240" w:lineRule="auto" w:before="0" w:after="0"/>
        <w:ind w:left="227" w:right="113"/>
        <w:shd w:val="clear" w:color="auto" w:fill="F4F4F4"/>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 = agg.where(frac &gt;= min_frac)</w:t>
      </w:r>
    </w:p>
    <w:p>
      <w:pPr>
        <w:keepLines/>
        <w:spacing w:line="240" w:lineRule="auto" w:before="0" w:after="0"/>
        <w:ind w:left="227" w:right="113"/>
        <w:shd w:val="clear" w:color="auto" w:fill="F4F4F4"/>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Monthly analysis-ready series for one of 'discharge', 'rainfall', 'stage'.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a DataFrame indexed by month-start date with columns:</w:t>
      </w:r>
    </w:p>
    <w:p>
      <w:pPr>
        <w:keepLines/>
        <w:spacing w:line="240" w:lineRule="auto" w:before="0" w:after="0"/>
        <w:ind w:left="227" w:right="113"/>
        <w:shd w:val="clear" w:color="auto" w:fill="F4F4F4"/>
      </w:pPr>
      <w:r>
        <w:rPr>
          <w:rFonts w:ascii="Consolas" w:hAnsi="Consolas" w:eastAsia="Consolas"/>
          <w:color w:val="A31515"/>
          <w:sz w:val="17"/>
        </w:rPr>
        <w:t xml:space="preserve">        value     : monthly mean (discharge m3/s, stage m) or monthly total</w:t>
      </w:r>
    </w:p>
    <w:p>
      <w:pPr>
        <w:keepLines/>
        <w:spacing w:line="240" w:lineRule="auto" w:before="0" w:after="0"/>
        <w:ind w:left="227" w:right="113"/>
        <w:shd w:val="clear" w:color="auto" w:fill="F4F4F4"/>
      </w:pPr>
      <w:r>
        <w:rPr>
          <w:rFonts w:ascii="Consolas" w:hAnsi="Consolas" w:eastAsia="Consolas"/>
          <w:color w:val="A31515"/>
          <w:sz w:val="17"/>
        </w:rPr>
        <w:t xml:space="preserve">                    (rainfall mm)</w:t>
      </w:r>
    </w:p>
    <w:p>
      <w:pPr>
        <w:keepLines/>
        <w:spacing w:line="240" w:lineRule="auto" w:before="0" w:after="0"/>
        <w:ind w:left="227" w:right="113"/>
        <w:shd w:val="clear" w:color="auto" w:fill="F4F4F4"/>
      </w:pPr>
      <w:r>
        <w:rPr>
          <w:rFonts w:ascii="Consolas" w:hAnsi="Consolas" w:eastAsia="Consolas"/>
          <w:color w:val="A31515"/>
          <w:sz w:val="17"/>
        </w:rPr>
        <w:t xml:space="preserve">        log_value : natural-log transform. All three series are strictly</w:t>
      </w:r>
    </w:p>
    <w:p>
      <w:pPr>
        <w:keepLines/>
        <w:spacing w:line="240" w:lineRule="auto" w:before="0" w:after="0"/>
        <w:ind w:left="227" w:right="113"/>
        <w:shd w:val="clear" w:color="auto" w:fill="F4F4F4"/>
      </w:pPr>
      <w:r>
        <w:rPr>
          <w:rFonts w:ascii="Consolas" w:hAnsi="Consolas" w:eastAsia="Consolas"/>
          <w:color w:val="A31515"/>
          <w:sz w:val="17"/>
        </w:rPr>
        <w:t xml:space="preserve">                    positive at monthly resolution for this basin -- checked</w:t>
      </w:r>
    </w:p>
    <w:p>
      <w:pPr>
        <w:keepLines/>
        <w:spacing w:line="240" w:lineRule="auto" w:before="0" w:after="0"/>
        <w:ind w:left="227" w:right="113"/>
        <w:shd w:val="clear" w:color="auto" w:fill="F4F4F4"/>
      </w:pPr>
      <w:r>
        <w:rPr>
          <w:rFonts w:ascii="Consolas" w:hAnsi="Consolas" w:eastAsia="Consolas"/>
          <w:color w:val="A31515"/>
          <w:sz w:val="17"/>
        </w:rPr>
        <w:t xml:space="preserve">                    during data acquisition (2026-08-12), not assumed.</w:t>
      </w:r>
    </w:p>
    <w:p>
      <w:pPr>
        <w:keepLines/>
        <w:spacing w:line="240" w:lineRule="auto" w:before="0" w:after="0"/>
        <w:ind w:left="227" w:right="113"/>
        <w:shd w:val="clear" w:color="auto" w:fill="F4F4F4"/>
      </w:pPr>
      <w:r>
        <w:rPr>
          <w:rFonts w:ascii="Consolas" w:hAnsi="Consolas" w:eastAsia="Consolas"/>
          <w:color w:val="A31515"/>
          <w:sz w:val="17"/>
        </w:rPr>
        <w:t xml:space="preserve">    The count of months that needed interpolation is stashed in</w:t>
      </w:r>
    </w:p>
    <w:p>
      <w:pPr>
        <w:keepLines/>
        <w:spacing w:line="240" w:lineRule="auto" w:before="0" w:after="0"/>
        <w:ind w:left="227" w:right="113"/>
        <w:shd w:val="clear" w:color="auto" w:fill="F4F4F4"/>
      </w:pPr>
      <w:r>
        <w:rPr>
          <w:rFonts w:ascii="Consolas" w:hAnsi="Consolas" w:eastAsia="Consolas"/>
          <w:color w:val="A31515"/>
          <w:sz w:val="17"/>
        </w:rPr>
        <w:t xml:space="preserve">    df.attrs["n_fully_missing_months"] for reporting in the methodology.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pPr>
        <w:keepLines/>
        <w:spacing w:line="240" w:lineRule="auto" w:before="0" w:after="0"/>
        <w:ind w:left="227" w:right="113"/>
        <w:shd w:val="clear" w:color="auto" w:fill="F4F4F4"/>
      </w:pPr>
      <w:r>
        <w:rPr>
          <w:rFonts w:ascii="Consolas" w:hAnsi="Consolas" w:eastAsia="Consolas"/>
          <w:color w:val="1F1F1F"/>
          <w:sz w:val="17"/>
        </w:rPr>
        <w:t xml:space="preserve">    loader, how = VARIABLE_LOADERS[variable]</w:t>
      </w:r>
    </w:p>
    <w:p>
      <w:pPr>
        <w:keepLines/>
        <w:spacing w:line="240" w:lineRule="auto" w:before="0" w:after="0"/>
        <w:ind w:left="227" w:right="113"/>
        <w:shd w:val="clear" w:color="auto" w:fill="F4F4F4"/>
      </w:pPr>
      <w:r>
        <w:rPr>
          <w:rFonts w:ascii="Consolas" w:hAnsi="Consolas" w:eastAsia="Consolas"/>
          <w:color w:val="1F1F1F"/>
          <w:sz w:val="17"/>
        </w:rPr>
        <w:t xml:space="preserve">    daily = loader()</w:t>
      </w:r>
    </w:p>
    <w:p>
      <w:pPr>
        <w:keepLines/>
        <w:spacing w:line="240" w:lineRule="auto" w:before="0" w:after="0"/>
        <w:ind w:left="227" w:right="113"/>
        <w:shd w:val="clear" w:color="auto" w:fill="F4F4F4"/>
      </w:pPr>
      <w:r>
        <w:rPr>
          <w:rFonts w:ascii="Consolas" w:hAnsi="Consolas" w:eastAsia="Consolas"/>
          <w:color w:val="1F1F1F"/>
          <w:sz w:val="17"/>
        </w:rPr>
        <w:t xml:space="preserve">    monthly = monthly_aggregate(daily, how=how)</w:t>
      </w:r>
    </w:p>
    <w:p>
      <w:pPr>
        <w:keepLines/>
        <w:spacing w:line="240" w:lineRule="auto" w:before="0" w:after="0"/>
        <w:ind w:left="227" w:right="113"/>
        <w:shd w:val="clear" w:color="auto" w:fill="F4F4F4"/>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df.index.name = </w:t>
      </w:r>
      <w:r>
        <w:rPr>
          <w:rFonts w:ascii="Consolas" w:hAnsi="Consolas" w:eastAsia="Consolas"/>
          <w:color w:val="A31515"/>
          <w:sz w:val="17"/>
        </w:rPr>
        <w:t>"date"</w:t>
      </w:r>
    </w:p>
    <w:p>
      <w:pPr>
        <w:keepLines/>
        <w:spacing w:line="240" w:lineRule="auto" w:before="0" w:after="0"/>
        <w:ind w:left="227" w:right="113"/>
        <w:shd w:val="clear" w:color="auto" w:fill="F4F4F4"/>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pPr>
        <w:keepLines/>
        <w:spacing w:line="240" w:lineRule="auto" w:before="0" w:after="0"/>
        <w:ind w:left="227" w:right="113"/>
        <w:shd w:val="clear" w:color="auto" w:fill="F4F4F4"/>
      </w:pPr>
      <w:r>
        <w:rPr>
          <w:rFonts w:ascii="Consolas" w:hAnsi="Consolas" w:eastAsia="Consolas"/>
          <w:color w:val="A31515"/>
          <w:sz w:val="17"/>
        </w:rPr>
        <w:t xml:space="preserve">    (2004-2014) periods -- the same calendar split as the daily pipeline."""</w:t>
      </w:r>
    </w:p>
    <w:p>
      <w:pPr>
        <w:keepLines/>
        <w:spacing w:line="240" w:lineRule="auto" w:before="0" w:after="0"/>
        <w:ind w:left="227" w:right="113"/>
        <w:shd w:val="clear" w:color="auto" w:fill="F4F4F4"/>
      </w:pPr>
      <w:r>
        <w:rPr>
          <w:rFonts w:ascii="Consolas" w:hAnsi="Consolas" w:eastAsia="Consolas"/>
          <w:color w:val="1F1F1F"/>
          <w:sz w:val="17"/>
        </w:rPr>
        <w:t xml:space="preserve">    train = df.loc[:TRAIN_END_MONTH].copy()</w:t>
      </w:r>
    </w:p>
    <w:p>
      <w:pPr>
        <w:keepLines/>
        <w:spacing w:line="240" w:lineRule="auto" w:before="0" w:after="0"/>
        <w:ind w:left="227" w:right="113"/>
        <w:shd w:val="clear" w:color="auto" w:fill="F4F4F4"/>
      </w:pPr>
      <w:r>
        <w:rPr>
          <w:rFonts w:ascii="Consolas" w:hAnsi="Consolas" w:eastAsia="Consolas"/>
          <w:color w:val="1F1F1F"/>
          <w:sz w:val="17"/>
        </w:rPr>
        <w:t xml:space="preserve">    valid = df.loc[VALID_START_MONTH:].copy()</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r>
        <w:br w:type="page"/>
      </w:r>
    </w:p>
    <w:p>
      <w:pPr>
        <w:pStyle w:val="Heading2"/>
        <w:spacing w:lineRule="auto" w:line="240" w:before="0" w:after="120"/>
        <w:jc w:val="left"/>
      </w:pPr>
      <w:r>
        <w:rPr>
          <w:rFonts w:ascii="Times New Roman" w:hAnsi="Times New Roman"/>
          <w:b/>
          <w:sz w:val="26"/>
        </w:rPr>
        <w:t>APPENDIX-B</w:t>
      </w:r>
    </w:p>
    <w:p>
      <w:pPr>
        <w:spacing w:lineRule="auto" w:line="360" w:before="0" w:after="160"/>
        <w:jc w:val="left"/>
      </w:pPr>
      <w:r>
        <w:rPr>
          <w:rFonts w:ascii="Times New Roman" w:hAnsi="Times New Roman"/>
          <w:sz w:val="24"/>
        </w:rPr>
        <w:t>Stationarity testing: the Augmented Dickey–Fuller and Kwiatkowski–Phillips–Schmidt–Shin tests, implemented from their defining regressions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pPr>
        <w:keepLines/>
        <w:spacing w:line="240" w:lineRule="auto" w:before="0" w:after="0"/>
        <w:ind w:left="227" w:right="113"/>
        <w:shd w:val="clear" w:color="auto" w:fill="F4F4F4"/>
      </w:pPr>
      <w:r>
        <w:rPr>
          <w:rFonts w:ascii="Consolas" w:hAnsi="Consolas" w:eastAsia="Consolas"/>
          <w:color w:val="1F1F1F"/>
          <w:sz w:val="17"/>
        </w:rPr>
        <w:t xml:space="preserve">    XtX = X.T @ X</w:t>
      </w:r>
    </w:p>
    <w:p>
      <w:pPr>
        <w:keepLines/>
        <w:spacing w:line="240" w:lineRule="auto" w:before="0" w:after="0"/>
        <w:ind w:left="227" w:right="113"/>
        <w:shd w:val="clear" w:color="auto" w:fill="F4F4F4"/>
      </w:pPr>
      <w:r>
        <w:rPr>
          <w:rFonts w:ascii="Consolas" w:hAnsi="Consolas" w:eastAsia="Consolas"/>
          <w:color w:val="1F1F1F"/>
          <w:sz w:val="17"/>
        </w:rPr>
        <w:t xml:space="preserve">    XtX_inv = np.linalg.pinv(XtX)</w:t>
      </w:r>
    </w:p>
    <w:p>
      <w:pPr>
        <w:keepLines/>
        <w:spacing w:line="240" w:lineRule="auto" w:before="0" w:after="0"/>
        <w:ind w:left="227" w:right="113"/>
        <w:shd w:val="clear" w:color="auto" w:fill="F4F4F4"/>
      </w:pPr>
      <w:r>
        <w:rPr>
          <w:rFonts w:ascii="Consolas" w:hAnsi="Consolas" w:eastAsia="Consolas"/>
          <w:color w:val="1F1F1F"/>
          <w:sz w:val="17"/>
        </w:rPr>
        <w:t xml:space="preserve">    beta = XtX_inv @ (X.T @ y)</w:t>
      </w:r>
    </w:p>
    <w:p>
      <w:pPr>
        <w:keepLines/>
        <w:spacing w:line="240" w:lineRule="auto" w:before="0" w:after="0"/>
        <w:ind w:left="227" w:right="113"/>
        <w:shd w:val="clear" w:color="auto" w:fill="F4F4F4"/>
      </w:pPr>
      <w:r>
        <w:rPr>
          <w:rFonts w:ascii="Consolas" w:hAnsi="Consolas" w:eastAsia="Consolas"/>
          <w:color w:val="1F1F1F"/>
          <w:sz w:val="17"/>
        </w:rPr>
        <w:t xml:space="preserve">    resid = y - X @ beta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Augmented Dickey-Fuller test (constant, no trend).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Regression:  dy_t = a + g * y_{t-1} + sum_i d_i * dy_{t-i} + e_t</w:t>
      </w:r>
    </w:p>
    <w:p>
      <w:pPr>
        <w:keepLines/>
        <w:spacing w:line="240" w:lineRule="auto" w:before="0" w:after="0"/>
        <w:ind w:left="227" w:right="113"/>
        <w:shd w:val="clear" w:color="auto" w:fill="F4F4F4"/>
      </w:pPr>
      <w:r>
        <w:rPr>
          <w:rFonts w:ascii="Consolas" w:hAnsi="Consolas" w:eastAsia="Consolas"/>
          <w:color w:val="A31515"/>
          <w:sz w:val="17"/>
        </w:rPr>
        <w:t xml:space="preserve">    Test statistic = g_hat / SE(g_hat); H0: g = 0 (a unit root, non-stationary).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Critical values from the MacKinnon (1996) response surface for the</w:t>
      </w:r>
    </w:p>
    <w:p>
      <w:pPr>
        <w:keepLines/>
        <w:spacing w:line="240" w:lineRule="auto" w:before="0" w:after="0"/>
        <w:ind w:left="227" w:right="113"/>
        <w:shd w:val="clear" w:color="auto" w:fill="F4F4F4"/>
      </w:pPr>
      <w:r>
        <w:rPr>
          <w:rFonts w:ascii="Consolas" w:hAnsi="Consolas" w:eastAsia="Consolas"/>
          <w:color w:val="A31515"/>
          <w:sz w:val="17"/>
        </w:rPr>
        <w:t xml:space="preserve">    constant-only case.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dy = np.diff(y)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Build the lagged-difference design</w:t>
      </w:r>
    </w:p>
    <w:p>
      <w:pPr>
        <w:keepLines/>
        <w:spacing w:line="240" w:lineRule="auto" w:before="0" w:after="0"/>
        <w:ind w:left="227" w:right="113"/>
        <w:shd w:val="clear" w:color="auto" w:fill="F4F4F4"/>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pPr>
        <w:keepLines/>
        <w:spacing w:line="240" w:lineRule="auto" w:before="0" w:after="0"/>
        <w:ind w:left="227" w:right="113"/>
        <w:shd w:val="clear" w:color="auto" w:fill="F4F4F4"/>
      </w:pPr>
      <w:r>
        <w:rPr>
          <w:rFonts w:ascii="Consolas" w:hAnsi="Consolas" w:eastAsia="Consolas"/>
          <w:color w:val="1F1F1F"/>
          <w:sz w:val="17"/>
        </w:rPr>
        <w:t xml:space="preserve">    Y = dy[maxlag:]</w:t>
      </w:r>
    </w:p>
    <w:p>
      <w:pPr>
        <w:keepLines/>
        <w:spacing w:line="240" w:lineRule="auto" w:before="0" w:after="0"/>
        <w:ind w:left="227" w:right="113"/>
        <w:shd w:val="clear" w:color="auto" w:fill="F4F4F4"/>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pPr>
        <w:keepLines/>
        <w:spacing w:line="240" w:lineRule="auto" w:before="0" w:after="0"/>
        <w:ind w:left="227" w:right="113"/>
        <w:shd w:val="clear" w:color="auto" w:fill="F4F4F4"/>
      </w:pPr>
      <w:r>
        <w:rPr>
          <w:rFonts w:ascii="Consolas" w:hAnsi="Consolas" w:eastAsia="Consolas"/>
          <w:color w:val="1F1F1F"/>
          <w:sz w:val="17"/>
        </w:rPr>
        <w:t xml:space="preserve">    X = np.column_stack(X)</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Y)</w:t>
      </w:r>
    </w:p>
    <w:p>
      <w:pPr>
        <w:keepLines/>
        <w:spacing w:line="240" w:lineRule="auto" w:before="0" w:after="0"/>
        <w:ind w:left="227" w:right="113"/>
        <w:shd w:val="clear" w:color="auto" w:fill="F4F4F4"/>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 = nobs</w:t>
      </w:r>
    </w:p>
    <w:p>
      <w:pPr>
        <w:keepLines/>
        <w:spacing w:line="240" w:lineRule="auto" w:before="0" w:after="0"/>
        <w:ind w:left="227" w:right="113"/>
        <w:shd w:val="clear" w:color="auto" w:fill="F4F4F4"/>
      </w:pPr>
      <w:r>
        <w:rPr>
          <w:rFonts w:ascii="Consolas" w:hAnsi="Consolas" w:eastAsia="Consolas"/>
          <w:color w:val="1F1F1F"/>
          <w:sz w:val="17"/>
        </w:rPr>
        <w:t xml:space="preserve">    cv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KPSS test for level stationarity (regression on a constant).</w:t>
      </w:r>
    </w:p>
    <w:p>
      <w:pPr>
        <w:keepLines/>
        <w:spacing w:line="240" w:lineRule="auto" w:before="0" w:after="0"/>
        <w:ind w:left="227" w:right="113"/>
        <w:shd w:val="clear" w:color="auto" w:fill="F4F4F4"/>
      </w:pPr>
      <w:r>
        <w:rPr>
          <w:rFonts w:ascii="Consolas" w:hAnsi="Consolas" w:eastAsia="Consolas"/>
          <w:color w:val="A31515"/>
          <w:sz w:val="17"/>
        </w:rPr>
        <w:t xml:space="preserve">    H0: the series IS stationary (opposite of ADF).</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resid = y - y.mean()</w:t>
      </w:r>
    </w:p>
    <w:p>
      <w:pPr>
        <w:keepLines/>
        <w:spacing w:line="240" w:lineRule="auto" w:before="0" w:after="0"/>
        <w:ind w:left="227" w:right="113"/>
        <w:shd w:val="clear" w:color="auto" w:fill="F4F4F4"/>
      </w:pPr>
      <w:r>
        <w:rPr>
          <w:rFonts w:ascii="Consolas" w:hAnsi="Consolas" w:eastAsia="Consolas"/>
          <w:color w:val="1F1F1F"/>
          <w:sz w:val="17"/>
        </w:rPr>
        <w:t xml:space="preserve">    S = np.cumsum(resid)</w:t>
      </w:r>
    </w:p>
    <w:p>
      <w:pPr>
        <w:keepLines/>
        <w:spacing w:line="240" w:lineRule="auto" w:before="0" w:after="0"/>
        <w:ind w:left="227" w:right="113"/>
        <w:shd w:val="clear" w:color="auto" w:fill="F4F4F4"/>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Newey-West long-run variance</w:t>
      </w:r>
    </w:p>
    <w:p>
      <w:pPr>
        <w:keepLines/>
        <w:spacing w:line="240" w:lineRule="auto" w:before="0" w:after="0"/>
        <w:ind w:left="227" w:right="113"/>
        <w:shd w:val="clear" w:color="auto" w:fill="F4F4F4"/>
      </w:pPr>
      <w:r>
        <w:rPr>
          <w:rFonts w:ascii="Consolas" w:hAnsi="Consolas" w:eastAsia="Consolas"/>
          <w:color w:val="1F1F1F"/>
          <w:sz w:val="17"/>
        </w:rPr>
        <w:t xml:space="preserve">    s2 = np.dot(resid, resid) / 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np.dot(resid[lag:], resid[:-lag]) / n</w:t>
      </w:r>
    </w:p>
    <w:p>
      <w:pPr>
        <w:keepLines/>
        <w:spacing w:line="240" w:lineRule="auto" w:before="0" w:after="0"/>
        <w:ind w:left="227" w:right="113"/>
        <w:shd w:val="clear" w:color="auto" w:fill="F4F4F4"/>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pPr>
        <w:keepLines/>
        <w:spacing w:line="240" w:lineRule="auto" w:before="0" w:after="0"/>
        <w:ind w:left="227" w:right="113"/>
        <w:shd w:val="clear" w:color="auto" w:fill="F4F4F4"/>
      </w:pPr>
      <w:r>
        <w:rPr>
          <w:rFonts w:ascii="Consolas" w:hAnsi="Consolas" w:eastAsia="Consolas"/>
          <w:color w:val="1F1F1F"/>
          <w:sz w:val="17"/>
        </w:rPr>
        <w:t xml:space="preserve">    stat = eta / s2</w:t>
      </w:r>
    </w:p>
    <w:p>
      <w:pPr>
        <w:keepLines/>
        <w:spacing w:line="240" w:lineRule="auto" w:before="0" w:after="0"/>
        <w:ind w:left="227" w:right="113"/>
        <w:shd w:val="clear" w:color="auto" w:fill="F4F4F4"/>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APPENDIX-C</w:t>
      </w:r>
    </w:p>
    <w:p>
      <w:pPr>
        <w:spacing w:lineRule="auto" w:line="360" w:before="0" w:after="160"/>
        <w:jc w:val="left"/>
      </w:pPr>
      <w:r>
        <w:rPr>
          <w:rFonts w:ascii="Times New Roman" w:hAnsi="Times New Roman"/>
          <w:sz w:val="24"/>
        </w:rPr>
        <w:t>Correlation and residual diagnostics: the autocorrelation and partial autocorrelation functions, and the Ljung–Box, Jarque–Bera and ARCH tests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 = y - y.mean()</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denom = np.dot(y, y)</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out[k] = np.dot(y[:-k], y[k:]) / denom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pPr>
        <w:keepLines/>
        <w:spacing w:line="240" w:lineRule="auto" w:before="0" w:after="0"/>
        <w:ind w:left="227" w:right="113"/>
        <w:shd w:val="clear" w:color="auto" w:fill="F4F4F4"/>
      </w:pPr>
      <w:r>
        <w:rPr>
          <w:rFonts w:ascii="Consolas" w:hAnsi="Consolas" w:eastAsia="Consolas"/>
          <w:color w:val="1F1F1F"/>
          <w:sz w:val="17"/>
        </w:rPr>
        <w:t xml:space="preserve">    r = acf(y, nlags)</w:t>
      </w:r>
    </w:p>
    <w:p>
      <w:pPr>
        <w:keepLines/>
        <w:spacing w:line="240" w:lineRule="auto" w:before="0" w:after="0"/>
        <w:ind w:left="227" w:right="113"/>
        <w:shd w:val="clear" w:color="auto" w:fill="F4F4F4"/>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pPr>
        <w:keepLines/>
        <w:spacing w:line="240" w:lineRule="auto" w:before="0" w:after="0"/>
        <w:ind w:left="227" w:right="113"/>
        <w:shd w:val="clear" w:color="auto" w:fill="F4F4F4"/>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pPr>
        <w:keepLines/>
        <w:spacing w:line="240" w:lineRule="auto" w:before="0" w:after="0"/>
        <w:ind w:left="227" w:right="113"/>
        <w:shd w:val="clear" w:color="auto" w:fill="F4F4F4"/>
      </w:pPr>
      <w:r>
        <w:rPr>
          <w:rFonts w:ascii="Consolas" w:hAnsi="Consolas" w:eastAsia="Consolas"/>
          <w:color w:val="1F1F1F"/>
          <w:sz w:val="17"/>
        </w:rPr>
        <w:t xml:space="preserve">        out[k] = phi[k,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Ljung-Box Q test for residual autocorrelation (white-noise check).</w:t>
      </w:r>
    </w:p>
    <w:p>
      <w:pPr>
        <w:keepLines/>
        <w:spacing w:line="240" w:lineRule="auto" w:before="0" w:after="0"/>
        <w:ind w:left="227" w:right="113"/>
        <w:shd w:val="clear" w:color="auto" w:fill="F4F4F4"/>
      </w:pPr>
      <w:r>
        <w:rPr>
          <w:rFonts w:ascii="Consolas" w:hAnsi="Consolas" w:eastAsia="Consolas"/>
          <w:color w:val="A31515"/>
          <w:sz w:val="17"/>
        </w:rPr>
        <w:t xml:space="preserve">    H0: residuals are independently distributed (no remaining structure).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pPr>
        <w:keepLines/>
        <w:spacing w:line="240" w:lineRule="auto" w:before="0" w:after="0"/>
        <w:ind w:left="227" w:right="113"/>
        <w:shd w:val="clear" w:color="auto" w:fill="F4F4F4"/>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pPr>
        <w:keepLines/>
        <w:spacing w:line="240" w:lineRule="auto" w:before="0" w:after="0"/>
        <w:ind w:left="227" w:right="113"/>
        <w:shd w:val="clear" w:color="auto" w:fill="F4F4F4"/>
      </w:pPr>
      <w:r>
        <w:rPr>
          <w:rFonts w:ascii="Consolas" w:hAnsi="Consolas" w:eastAsia="Consolas"/>
          <w:color w:val="1F1F1F"/>
          <w:sz w:val="17"/>
        </w:rPr>
        <w:t xml:space="preserve">    r = r - r.mean()</w:t>
      </w:r>
    </w:p>
    <w:p>
      <w:pPr>
        <w:keepLines/>
        <w:spacing w:line="240" w:lineRule="auto" w:before="0" w:after="0"/>
        <w:ind w:left="227" w:right="113"/>
        <w:shd w:val="clear" w:color="auto" w:fill="F4F4F4"/>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pPr>
        <w:keepLines/>
        <w:spacing w:line="240" w:lineRule="auto" w:before="0" w:after="0"/>
        <w:ind w:left="227" w:right="113"/>
        <w:shd w:val="clear" w:color="auto" w:fill="F4F4F4"/>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pPr>
        <w:keepLines/>
        <w:spacing w:line="240" w:lineRule="auto" w:before="0" w:after="0"/>
        <w:ind w:left="227" w:right="113"/>
        <w:shd w:val="clear" w:color="auto" w:fill="F4F4F4"/>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pPr>
        <w:keepLines/>
        <w:spacing w:line="240" w:lineRule="auto" w:before="0" w:after="0"/>
        <w:ind w:left="227" w:right="113"/>
        <w:shd w:val="clear" w:color="auto" w:fill="F4F4F4"/>
      </w:pPr>
      <w:r>
        <w:rPr>
          <w:rFonts w:ascii="Consolas" w:hAnsi="Consolas" w:eastAsia="Consolas"/>
          <w:color w:val="A31515"/>
          <w:sz w:val="17"/>
        </w:rPr>
        <w:t xml:space="preserve">    A low p-value indicates volatility clustering (conditional heteroscedasticity)."""</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sq = (r - r.mean()) ** </w:t>
      </w:r>
      <w:r>
        <w:rPr>
          <w:rFonts w:ascii="Consolas" w:hAnsi="Consolas" w:eastAsia="Consolas"/>
          <w:color w:val="098658"/>
          <w:sz w:val="17"/>
        </w:rPr>
        <w:t>2</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r>
        <w:br w:type="page"/>
      </w:r>
    </w:p>
    <w:p>
      <w:pPr>
        <w:pStyle w:val="Heading2"/>
        <w:spacing w:lineRule="auto" w:line="240" w:before="0" w:after="120"/>
        <w:jc w:val="left"/>
      </w:pPr>
      <w:r>
        <w:rPr>
          <w:rFonts w:ascii="Times New Roman" w:hAnsi="Times New Roman"/>
          <w:b/>
          <w:sz w:val="26"/>
        </w:rPr>
        <w:t>APPENDIX-D</w:t>
      </w:r>
    </w:p>
    <w:p>
      <w:pPr>
        <w:spacing w:lineRule="auto" w:line="360" w:before="0" w:after="160"/>
        <w:jc w:val="left"/>
      </w:pPr>
      <w:r>
        <w:rPr>
          <w:rFonts w:ascii="Times New Roman" w:hAnsi="Times New Roman"/>
          <w:sz w:val="24"/>
        </w:rPr>
        <w:t>Estimation of the ARIMA(p, d, q) coefficients by conditional sum of squares, with pure autoregressive models solved exactly by ordinary least squares, and the standard error of every estimated coefficient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Reconstruct level-scale forecasts from differenced-scale forecasts using</w:t>
      </w:r>
    </w:p>
    <w:p>
      <w:pPr>
        <w:keepLines/>
        <w:spacing w:line="240" w:lineRule="auto" w:before="0" w:after="0"/>
        <w:ind w:left="227" w:right="113"/>
        <w:shd w:val="clear" w:color="auto" w:fill="F4F4F4"/>
      </w:pPr>
      <w:r>
        <w:rPr>
          <w:rFonts w:ascii="Consolas" w:hAnsi="Consolas" w:eastAsia="Consolas"/>
          <w:color w:val="A31515"/>
          <w:sz w:val="17"/>
        </w:rPr>
        <w:t xml:space="preserve">    the tail of the original history y_hist.</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pPr>
        <w:keepLines/>
        <w:spacing w:line="240" w:lineRule="auto" w:before="0" w:after="0"/>
        <w:ind w:left="227" w:right="113"/>
        <w:shd w:val="clear" w:color="auto" w:fill="F4F4F4"/>
      </w:pPr>
      <w:r>
        <w:rPr>
          <w:rFonts w:ascii="Consolas" w:hAnsi="Consolas" w:eastAsia="Consolas"/>
          <w:color w:val="1F1F1F"/>
          <w:sz w:val="17"/>
        </w:rPr>
        <w:t xml:space="preserve">        e = np.zeros(n)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e[t] = w[t] - c - ar - ma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cond : if given, the number of initial observations on which to condition</w:t>
      </w:r>
    </w:p>
    <w:p>
      <w:pPr>
        <w:keepLines/>
        <w:spacing w:line="240" w:lineRule="auto" w:before="0" w:after="0"/>
        <w:ind w:left="227" w:right="113"/>
        <w:shd w:val="clear" w:color="auto" w:fill="F4F4F4"/>
      </w:pPr>
      <w:r>
        <w:rPr>
          <w:rFonts w:ascii="Consolas" w:hAnsi="Consolas" w:eastAsia="Consolas"/>
          <w:color w:val="A31515"/>
          <w:sz w:val="17"/>
        </w:rPr>
        <w:t xml:space="preserve">               the comparable information criteria (aic_c/bic_c), so that all</w:t>
      </w:r>
    </w:p>
    <w:p>
      <w:pPr>
        <w:keepLines/>
        <w:spacing w:line="240" w:lineRule="auto" w:before="0" w:after="0"/>
        <w:ind w:left="227" w:right="113"/>
        <w:shd w:val="clear" w:color="auto" w:fill="F4F4F4"/>
      </w:pPr>
      <w:r>
        <w:rPr>
          <w:rFonts w:ascii="Consolas" w:hAnsi="Consolas" w:eastAsia="Consolas"/>
          <w:color w:val="A31515"/>
          <w:sz w:val="17"/>
        </w:rPr>
        <w:t xml:space="preserve">               candidate orders are ranked on an identical sample.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self._y_train = y</w:t>
      </w:r>
    </w:p>
    <w:p>
      <w:pPr>
        <w:keepLines/>
        <w:spacing w:line="240" w:lineRule="auto" w:before="0" w:after="0"/>
        <w:ind w:left="227" w:right="113"/>
        <w:shd w:val="clear" w:color="auto" w:fill="F4F4F4"/>
      </w:pPr>
      <w:r>
        <w:rPr>
          <w:rFonts w:ascii="Consolas" w:hAnsi="Consolas" w:eastAsia="Consolas"/>
          <w:color w:val="1F1F1F"/>
          <w:sz w:val="17"/>
        </w:rPr>
        <w:t xml:space="preserve">        w = difference(y, self.d)</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constant + variance</w:t>
      </w:r>
    </w:p>
    <w:p>
      <w:pPr>
        <w:keepLines/>
        <w:spacing w:line="240" w:lineRule="auto" w:before="0" w:after="0"/>
        <w:ind w:left="227" w:right="113"/>
        <w:shd w:val="clear" w:color="auto" w:fill="F4F4F4"/>
      </w:pPr>
      <w:r>
        <w:rPr>
          <w:rFonts w:ascii="Consolas" w:hAnsi="Consolas" w:eastAsia="Consolas"/>
          <w:color w:val="1F1F1F"/>
          <w:sz w:val="17"/>
        </w:rPr>
        <w:t xml:space="preserve">        self._w_train = 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self._XtX_inv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Exact OLS for pure AR(p) (with constant)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pPr>
        <w:keepLines/>
        <w:spacing w:line="240" w:lineRule="auto" w:before="0" w:after="0"/>
        <w:ind w:left="227" w:right="113"/>
        <w:shd w:val="clear" w:color="auto" w:fill="F4F4F4"/>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 = w[m:] - self.c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pPr>
        <w:keepLines/>
        <w:spacing w:line="240" w:lineRule="auto" w:before="0" w:after="0"/>
        <w:ind w:left="227" w:right="113"/>
        <w:shd w:val="clear" w:color="auto" w:fill="F4F4F4"/>
      </w:pPr>
      <w:r>
        <w:rPr>
          <w:rFonts w:ascii="Consolas" w:hAnsi="Consolas" w:eastAsia="Consolas"/>
          <w:color w:val="1F1F1F"/>
          <w:sz w:val="17"/>
        </w:rPr>
        <w:t xml:space="preserve">                X = np.column_stack(</w:t>
      </w:r>
    </w:p>
    <w:p>
      <w:pPr>
        <w:keepLines/>
        <w:spacing w:line="240" w:lineRule="auto" w:before="0" w:after="0"/>
        <w:ind w:left="227" w:right="113"/>
        <w:shd w:val="clear" w:color="auto" w:fill="F4F4F4"/>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target = w[p:]</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target)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self._XtX_inv = XtX_inv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optimisation for ARMA(p, q)</w:t>
      </w:r>
    </w:p>
    <w:p>
      <w:pPr>
        <w:keepLines/>
        <w:spacing w:line="240" w:lineRule="auto" w:before="0" w:after="0"/>
        <w:ind w:left="227" w:right="113"/>
        <w:shd w:val="clear" w:color="auto" w:fill="F4F4F4"/>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w:t>
      </w:r>
    </w:p>
    <w:p>
      <w:pPr>
        <w:keepLines/>
        <w:spacing w:line="240" w:lineRule="auto" w:before="0" w:after="0"/>
        <w:ind w:left="227" w:right="113"/>
        <w:shd w:val="clear" w:color="auto" w:fill="F4F4F4"/>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pPr>
        <w:keepLines/>
        <w:spacing w:line="240" w:lineRule="auto" w:before="0" w:after="0"/>
        <w:ind w:left="227" w:right="113"/>
        <w:shd w:val="clear" w:color="auto" w:fill="F4F4F4"/>
      </w:pPr>
      <w:r>
        <w:rPr>
          <w:rFonts w:ascii="Consolas" w:hAnsi="Consolas" w:eastAsia="Consolas"/>
          <w:color w:val="1F1F1F"/>
          <w:sz w:val="17"/>
        </w:rPr>
        <w:t xml:space="preserve">            self.c, self.phi, self.theta = self._unpack(res.x)</w:t>
      </w:r>
    </w:p>
    <w:p>
      <w:pPr>
        <w:keepLines/>
        <w:spacing w:line="240" w:lineRule="auto" w:before="0" w:after="0"/>
        <w:ind w:left="227" w:right="113"/>
        <w:shd w:val="clear" w:color="auto" w:fill="F4F4F4"/>
      </w:pPr>
      <w:r>
        <w:rPr>
          <w:rFonts w:ascii="Consolas" w:hAnsi="Consolas" w:eastAsia="Consolas"/>
          <w:color w:val="1F1F1F"/>
          <w:sz w:val="17"/>
        </w:rPr>
        <w:t xml:space="preserve">            resid = self._css_resid(w, self.c, self.phi, self.theta)[m:]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self.resid_ = resid</w:t>
      </w:r>
    </w:p>
    <w:p>
      <w:pPr>
        <w:keepLines/>
        <w:spacing w:line="240" w:lineRule="auto" w:before="0" w:after="0"/>
        <w:ind w:left="227" w:right="113"/>
        <w:shd w:val="clear" w:color="auto" w:fill="F4F4F4"/>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pPr>
        <w:keepLines/>
        <w:spacing w:line="240" w:lineRule="auto" w:before="0" w:after="0"/>
        <w:ind w:left="227" w:right="113"/>
        <w:shd w:val="clear" w:color="auto" w:fill="F4F4F4"/>
      </w:pPr>
      <w:r>
        <w:rPr>
          <w:rFonts w:ascii="Consolas" w:hAnsi="Consolas" w:eastAsia="Consolas"/>
          <w:color w:val="1F1F1F"/>
          <w:sz w:val="17"/>
        </w:rPr>
        <w:t xml:space="preserve">        self.sigma2 = ssr / n_eff</w:t>
      </w:r>
    </w:p>
    <w:p>
      <w:pPr>
        <w:keepLines/>
        <w:spacing w:line="240" w:lineRule="auto" w:before="0" w:after="0"/>
        <w:ind w:left="227" w:right="113"/>
        <w:shd w:val="clear" w:color="auto" w:fill="F4F4F4"/>
      </w:pPr>
      <w:r>
        <w:rPr>
          <w:rFonts w:ascii="Consolas" w:hAnsi="Consolas" w:eastAsia="Consolas"/>
          <w:color w:val="1F1F1F"/>
          <w:sz w:val="17"/>
        </w:rPr>
        <w:t xml:space="preserve">        self.nobs = n_eff</w:t>
      </w:r>
    </w:p>
    <w:p>
      <w:pPr>
        <w:keepLines/>
        <w:spacing w:line="240" w:lineRule="auto" w:before="0" w:after="0"/>
        <w:ind w:left="227" w:right="113"/>
        <w:shd w:val="clear" w:color="auto" w:fill="F4F4F4"/>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 = n_eff * np.log(self.sigma2) + k * np.log(n_eff)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pPr>
        <w:keepLines/>
        <w:spacing w:line="240" w:lineRule="auto" w:before="0" w:after="0"/>
        <w:ind w:left="227" w:right="113"/>
        <w:shd w:val="clear" w:color="auto" w:fill="F4F4F4"/>
      </w:pPr>
      <w:r>
        <w:rPr>
          <w:rFonts w:ascii="Consolas" w:hAnsi="Consolas" w:eastAsia="Consolas"/>
          <w:color w:val="1F1F1F"/>
          <w:sz w:val="17"/>
        </w:rPr>
        <w:t xml:space="preserve">            resid_c = resid[cond - m:]</w:t>
      </w:r>
    </w:p>
    <w:p>
      <w:pPr>
        <w:keepLines/>
        <w:spacing w:line="240" w:lineRule="auto" w:before="0" w:after="0"/>
        <w:ind w:left="227" w:right="113"/>
        <w:shd w:val="clear" w:color="auto" w:fill="F4F4F4"/>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pPr>
        <w:keepLines/>
        <w:spacing w:line="240" w:lineRule="auto" w:before="0" w:after="0"/>
        <w:ind w:left="227" w:right="113"/>
        <w:shd w:val="clear" w:color="auto" w:fill="F4F4F4"/>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pPr>
        <w:keepLines/>
        <w:spacing w:line="240" w:lineRule="auto" w:before="0" w:after="0"/>
        <w:ind w:left="227" w:right="113"/>
        <w:shd w:val="clear" w:color="auto" w:fill="F4F4F4"/>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self.bic_c = n_c * np.log(sigma2_c) + k * np.log(n_c)</w:t>
      </w:r>
    </w:p>
    <w:p>
      <w:pPr>
        <w:keepLines/>
        <w:spacing w:line="240" w:lineRule="auto" w:before="0" w:after="0"/>
        <w:ind w:left="227" w:right="113"/>
        <w:shd w:val="clear" w:color="auto" w:fill="F4F4F4"/>
      </w:pPr>
      <w:r>
        <w:rPr>
          <w:rFonts w:ascii="Consolas" w:hAnsi="Consolas" w:eastAsia="Consolas"/>
          <w:color w:val="1F1F1F"/>
          <w:sz w:val="17"/>
        </w:rPr>
        <w:t xml:space="preserve">            self.nobs_c = n_c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self.aic_c, self.bic_c, self.nobs_c = self.aic, self.bic, n_eff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Asymptotic standard errors of the estimated coefficients (c, phi,</w:t>
      </w:r>
    </w:p>
    <w:p>
      <w:pPr>
        <w:keepLines/>
        <w:spacing w:line="240" w:lineRule="auto" w:before="0" w:after="0"/>
        <w:ind w:left="227" w:right="113"/>
        <w:shd w:val="clear" w:color="auto" w:fill="F4F4F4"/>
      </w:pPr>
      <w:r>
        <w:rPr>
          <w:rFonts w:ascii="Consolas" w:hAnsi="Consolas" w:eastAsia="Consolas"/>
          <w:color w:val="A31515"/>
          <w:sz w:val="17"/>
        </w:rPr>
        <w:t xml:space="preserve">        theta) -- the piece of the estimation this project's supervisor</w:t>
      </w:r>
    </w:p>
    <w:p>
      <w:pPr>
        <w:keepLines/>
        <w:spacing w:line="240" w:lineRule="auto" w:before="0" w:after="0"/>
        <w:ind w:left="227" w:right="113"/>
        <w:shd w:val="clear" w:color="auto" w:fill="F4F4F4"/>
      </w:pPr>
      <w:r>
        <w:rPr>
          <w:rFonts w:ascii="Consolas" w:hAnsi="Consolas" w:eastAsia="Consolas"/>
          <w:color w:val="A31515"/>
          <w:sz w:val="17"/>
        </w:rPr>
        <w:t xml:space="preserve">        singled out as missing ("how do you estimate the parameters? that's</w:t>
      </w:r>
    </w:p>
    <w:p>
      <w:pPr>
        <w:keepLines/>
        <w:spacing w:line="240" w:lineRule="auto" w:before="0" w:after="0"/>
        <w:ind w:left="227" w:right="113"/>
        <w:shd w:val="clear" w:color="auto" w:fill="F4F4F4"/>
      </w:pPr>
      <w:r>
        <w:rPr>
          <w:rFonts w:ascii="Consolas" w:hAnsi="Consolas" w:eastAsia="Consolas"/>
          <w:color w:val="A31515"/>
          <w:sz w:val="17"/>
        </w:rPr>
        <w:t xml:space="preserve">        where the work is").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pure AR(p) (q = 0) these are the exact OLS standard errors from</w:t>
      </w:r>
    </w:p>
    <w:p>
      <w:pPr>
        <w:keepLines/>
        <w:spacing w:line="240" w:lineRule="auto" w:before="0" w:after="0"/>
        <w:ind w:left="227" w:right="113"/>
        <w:shd w:val="clear" w:color="auto" w:fill="F4F4F4"/>
      </w:pPr>
      <w:r>
        <w:rPr>
          <w:rFonts w:ascii="Consolas" w:hAnsi="Consolas" w:eastAsia="Consolas"/>
          <w:color w:val="A31515"/>
          <w:sz w:val="17"/>
        </w:rPr>
        <w:t xml:space="preserve">        the fit's normal equations. For mixed ARMA(p, q) (q &gt; 0), estimated</w:t>
      </w:r>
    </w:p>
    <w:p>
      <w:pPr>
        <w:keepLines/>
        <w:spacing w:line="240" w:lineRule="auto" w:before="0" w:after="0"/>
        <w:ind w:left="227" w:right="113"/>
        <w:shd w:val="clear" w:color="auto" w:fill="F4F4F4"/>
      </w:pPr>
      <w:r>
        <w:rPr>
          <w:rFonts w:ascii="Consolas" w:hAnsi="Consolas" w:eastAsia="Consolas"/>
          <w:color w:val="A31515"/>
          <w:sz w:val="17"/>
        </w:rPr>
        <w:t xml:space="preserve">        by conditional sum of squares, they come from the numerical Hessian</w:t>
      </w:r>
    </w:p>
    <w:p>
      <w:pPr>
        <w:keepLines/>
        <w:spacing w:line="240" w:lineRule="auto" w:before="0" w:after="0"/>
        <w:ind w:left="227" w:right="113"/>
        <w:shd w:val="clear" w:color="auto" w:fill="F4F4F4"/>
      </w:pPr>
      <w:r>
        <w:rPr>
          <w:rFonts w:ascii="Consolas" w:hAnsi="Consolas" w:eastAsia="Consolas"/>
          <w:color w:val="A31515"/>
          <w:sz w:val="17"/>
        </w:rPr>
        <w:t xml:space="preserve">        of the (Gaussian) conditional log-likelihood at the optimum:</w:t>
      </w:r>
    </w:p>
    <w:p>
      <w:pPr>
        <w:keepLines/>
        <w:spacing w:line="240" w:lineRule="auto" w:before="0" w:after="0"/>
        <w:ind w:left="227" w:right="113"/>
        <w:shd w:val="clear" w:color="auto" w:fill="F4F4F4"/>
      </w:pPr>
      <w:r>
        <w:rPr>
          <w:rFonts w:ascii="Consolas" w:hAnsi="Consolas" w:eastAsia="Consolas"/>
          <w:color w:val="A31515"/>
          <w:sz w:val="17"/>
        </w:rPr>
        <w:t xml:space="preserve">        Cov(theta_hat) ~= [Hessian(-logL)]^-1 -- the standard asymptotic</w:t>
      </w:r>
    </w:p>
    <w:p>
      <w:pPr>
        <w:keepLines/>
        <w:spacing w:line="240" w:lineRule="auto" w:before="0" w:after="0"/>
        <w:ind w:left="227" w:right="113"/>
        <w:shd w:val="clear" w:color="auto" w:fill="F4F4F4"/>
      </w:pPr>
      <w:r>
        <w:rPr>
          <w:rFonts w:ascii="Consolas" w:hAnsi="Consolas" w:eastAsia="Consolas"/>
          <w:color w:val="A31515"/>
          <w:sz w:val="17"/>
        </w:rPr>
        <w:t xml:space="preserve">        result for CSS/ML ARMA estimation (Box, Jenkins &amp; Reinsel, 2008,</w:t>
      </w:r>
    </w:p>
    <w:p>
      <w:pPr>
        <w:keepLines/>
        <w:spacing w:line="240" w:lineRule="auto" w:before="0" w:after="0"/>
        <w:ind w:left="227" w:right="113"/>
        <w:shd w:val="clear" w:color="auto" w:fill="F4F4F4"/>
      </w:pPr>
      <w:r>
        <w:rPr>
          <w:rFonts w:ascii="Consolas" w:hAnsi="Consolas" w:eastAsia="Consolas"/>
          <w:color w:val="A31515"/>
          <w:sz w:val="17"/>
        </w:rPr>
        <w:t xml:space="preserve">        ch. 7). NaN entries mean the Hessian was not (numerically) positive</w:t>
      </w:r>
    </w:p>
    <w:p>
      <w:pPr>
        <w:keepLines/>
        <w:spacing w:line="240" w:lineRule="auto" w:before="0" w:after="0"/>
        <w:ind w:left="227" w:right="113"/>
        <w:shd w:val="clear" w:color="auto" w:fill="F4F4F4"/>
      </w:pPr>
      <w:r>
        <w:rPr>
          <w:rFonts w:ascii="Consolas" w:hAnsi="Consolas" w:eastAsia="Consolas"/>
          <w:color w:val="A31515"/>
          <w:sz w:val="17"/>
        </w:rPr>
        <w:t xml:space="preserve">        definite at the optimum, typically a coefficient pinned near its</w:t>
      </w:r>
    </w:p>
    <w:p>
      <w:pPr>
        <w:keepLines/>
        <w:spacing w:line="240" w:lineRule="auto" w:before="0" w:after="0"/>
        <w:ind w:left="227" w:right="113"/>
        <w:shd w:val="clear" w:color="auto" w:fill="F4F4F4"/>
      </w:pPr>
      <w:r>
        <w:rPr>
          <w:rFonts w:ascii="Consolas" w:hAnsi="Consolas" w:eastAsia="Consolas"/>
          <w:color w:val="A31515"/>
          <w:sz w:val="17"/>
        </w:rPr>
        <w:t xml:space="preserve">        stationarity/invertibility bound.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{"c": se, "phi": [se, ...], "theta": [se, ...]}.</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se = np.sqrt(np.diag(self._XtX_inv) * self.sigma2)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pPr>
        <w:keepLines/>
        <w:spacing w:line="240" w:lineRule="auto" w:before="0" w:after="0"/>
        <w:ind w:left="227" w:right="113"/>
        <w:shd w:val="clear" w:color="auto" w:fill="F4F4F4"/>
      </w:pPr>
      <w:r>
        <w:rPr>
          <w:rFonts w:ascii="Consolas" w:hAnsi="Consolas" w:eastAsia="Consolas"/>
          <w:color w:val="1F1F1F"/>
          <w:sz w:val="17"/>
        </w:rPr>
        <w:t xml:space="preserve">        w = self._w_train</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x0 = self._pack()</w:t>
      </w:r>
    </w:p>
    <w:p>
      <w:pPr>
        <w:keepLines/>
        <w:spacing w:line="240" w:lineRule="auto" w:before="0" w:after="0"/>
        <w:ind w:left="227" w:right="113"/>
        <w:shd w:val="clear" w:color="auto" w:fill="F4F4F4"/>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H = np.zeros((k,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pPr>
        <w:keepLines/>
        <w:spacing w:line="240" w:lineRule="auto" w:before="0" w:after="0"/>
        <w:ind w:left="227" w:right="113"/>
        <w:shd w:val="clear" w:color="auto" w:fill="F4F4F4"/>
      </w:pPr>
      <w:r>
        <w:rPr>
          <w:rFonts w:ascii="Consolas" w:hAnsi="Consolas" w:eastAsia="Consolas"/>
          <w:color w:val="1F1F1F"/>
          <w:sz w:val="17"/>
        </w:rPr>
        <w:t xml:space="preserve">                xpp, xpm = x0.copy(), x0.copy()</w:t>
      </w:r>
    </w:p>
    <w:p>
      <w:pPr>
        <w:keepLines/>
        <w:spacing w:line="240" w:lineRule="auto" w:before="0" w:after="0"/>
        <w:ind w:left="227" w:right="113"/>
        <w:shd w:val="clear" w:color="auto" w:fill="F4F4F4"/>
      </w:pPr>
      <w:r>
        <w:rPr>
          <w:rFonts w:ascii="Consolas" w:hAnsi="Consolas" w:eastAsia="Consolas"/>
          <w:color w:val="1F1F1F"/>
          <w:sz w:val="17"/>
        </w:rPr>
        <w:t xml:space="preserve">                xmp, xmm = x0.copy(), x0.copy()</w:t>
      </w:r>
    </w:p>
    <w:p>
      <w:pPr>
        <w:keepLines/>
        <w:spacing w:line="240" w:lineRule="auto" w:before="0" w:after="0"/>
        <w:ind w:left="227" w:right="113"/>
        <w:shd w:val="clear" w:color="auto" w:fill="F4F4F4"/>
      </w:pPr>
      <w:r>
        <w:rPr>
          <w:rFonts w:ascii="Consolas" w:hAnsi="Consolas" w:eastAsia="Consolas"/>
          <w:color w:val="1F1F1F"/>
          <w:sz w:val="17"/>
        </w:rPr>
        <w:t xml:space="preserve">                xpp[i] += h[i]; xpp[j] += h[j]</w:t>
      </w:r>
    </w:p>
    <w:p>
      <w:pPr>
        <w:keepLines/>
        <w:spacing w:line="240" w:lineRule="auto" w:before="0" w:after="0"/>
        <w:ind w:left="227" w:right="113"/>
        <w:shd w:val="clear" w:color="auto" w:fill="F4F4F4"/>
      </w:pPr>
      <w:r>
        <w:rPr>
          <w:rFonts w:ascii="Consolas" w:hAnsi="Consolas" w:eastAsia="Consolas"/>
          <w:color w:val="1F1F1F"/>
          <w:sz w:val="17"/>
        </w:rPr>
        <w:t xml:space="preserve">                xpm[i] += h[i]; xpm[j] -= h[j]</w:t>
      </w:r>
    </w:p>
    <w:p>
      <w:pPr>
        <w:keepLines/>
        <w:spacing w:line="240" w:lineRule="auto" w:before="0" w:after="0"/>
        <w:ind w:left="227" w:right="113"/>
        <w:shd w:val="clear" w:color="auto" w:fill="F4F4F4"/>
      </w:pPr>
      <w:r>
        <w:rPr>
          <w:rFonts w:ascii="Consolas" w:hAnsi="Consolas" w:eastAsia="Consolas"/>
          <w:color w:val="1F1F1F"/>
          <w:sz w:val="17"/>
        </w:rPr>
        <w:t xml:space="preserve">                xmp[i] -= h[i]; xmp[j] += h[j]</w:t>
      </w:r>
    </w:p>
    <w:p>
      <w:pPr>
        <w:keepLines/>
        <w:spacing w:line="240" w:lineRule="auto" w:before="0" w:after="0"/>
        <w:ind w:left="227" w:right="113"/>
        <w:shd w:val="clear" w:color="auto" w:fill="F4F4F4"/>
      </w:pPr>
      <w:r>
        <w:rPr>
          <w:rFonts w:ascii="Consolas" w:hAnsi="Consolas" w:eastAsia="Consolas"/>
          <w:color w:val="1F1F1F"/>
          <w:sz w:val="17"/>
        </w:rPr>
        <w:t xml:space="preserve">                xmm[i] -= h[i]; xmm[j] -= h[j]</w:t>
      </w:r>
    </w:p>
    <w:p>
      <w:pPr>
        <w:keepLines/>
        <w:spacing w:line="240" w:lineRule="auto" w:before="0" w:after="0"/>
        <w:ind w:left="227" w:right="113"/>
        <w:shd w:val="clear" w:color="auto" w:fill="F4F4F4"/>
      </w:pPr>
      <w:r>
        <w:rPr>
          <w:rFonts w:ascii="Consolas" w:hAnsi="Consolas" w:eastAsia="Consolas"/>
          <w:color w:val="1F1F1F"/>
          <w:sz w:val="17"/>
        </w:rPr>
        <w:t xml:space="preserve">                H[i, j] = H[j, i] = (</w:t>
      </w:r>
    </w:p>
    <w:p>
      <w:pPr>
        <w:keepLines/>
        <w:spacing w:line="240" w:lineRule="auto" w:before="0" w:after="0"/>
        <w:ind w:left="227" w:right="113"/>
        <w:shd w:val="clear" w:color="auto" w:fill="F4F4F4"/>
      </w:pPr>
      <w:r>
        <w:rPr>
          <w:rFonts w:ascii="Consolas" w:hAnsi="Consolas" w:eastAsia="Consolas"/>
          <w:color w:val="1F1F1F"/>
          <w:sz w:val="17"/>
        </w:rPr>
        <w:t xml:space="preserve">                    negloglik(xpp) - negloglik(xpm) - negloglik(xmp) + negloglik(xmm)</w:t>
      </w:r>
    </w:p>
    <w:p>
      <w:pPr>
        <w:keepLines/>
        <w:spacing w:line="240" w:lineRule="auto" w:before="0" w:after="0"/>
        <w:ind w:left="227" w:right="113"/>
        <w:shd w:val="clear" w:color="auto" w:fill="F4F4F4"/>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np.linalg.inv(H)</w:t>
      </w:r>
    </w:p>
    <w:p>
      <w:pPr>
        <w:keepLines/>
        <w:spacing w:line="240" w:lineRule="auto" w:before="0" w:after="0"/>
        <w:ind w:left="227" w:right="113"/>
        <w:shd w:val="clear" w:color="auto" w:fill="F4F4F4"/>
      </w:pPr>
      <w:r>
        <w:rPr>
          <w:rFonts w:ascii="Consolas" w:hAnsi="Consolas" w:eastAsia="Consolas"/>
          <w:color w:val="1F1F1F"/>
          <w:sz w:val="17"/>
        </w:rPr>
        <w:t xml:space="preserve">            diag = np.diag(cov)</w:t>
      </w:r>
    </w:p>
    <w:p>
      <w:pPr>
        <w:keepLines/>
        <w:spacing w:line="240" w:lineRule="auto" w:before="0" w:after="0"/>
        <w:ind w:left="227" w:right="113"/>
        <w:shd w:val="clear" w:color="auto" w:fill="F4F4F4"/>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pPr>
        <w:keepLines/>
        <w:spacing w:line="240" w:lineRule="auto" w:before="0" w:after="0"/>
        <w:ind w:left="227" w:right="113"/>
        <w:shd w:val="clear" w:color="auto" w:fill="F4F4F4"/>
      </w:pPr>
      <w:r>
        <w:rPr>
          <w:rFonts w:ascii="Consolas" w:hAnsi="Consolas" w:eastAsia="Consolas"/>
          <w:color w:val="1F1F1F"/>
          <w:sz w:val="17"/>
        </w:rPr>
        <w:t xml:space="preserve">            se_all = np.full(k, np.nan)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APPENDIX-E</w:t>
      </w:r>
    </w:p>
    <w:p>
      <w:pPr>
        <w:spacing w:lineRule="auto" w:line="360" w:before="0" w:after="160"/>
        <w:jc w:val="left"/>
      </w:pPr>
      <w:r>
        <w:rPr>
          <w:rFonts w:ascii="Times New Roman" w:hAnsi="Times New Roman"/>
          <w:sz w:val="24"/>
        </w:rPr>
        <w:t>Model identification: choosing the order of differencing from the stationarity tests, and selecting the model order by an iterative grid search over the Akaike Information Criterion (src/calibrate.py).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differencing order d using ADF and KPSS jointly.</w:t>
      </w:r>
    </w:p>
    <w:p>
      <w:pPr>
        <w:keepLines/>
        <w:spacing w:line="240" w:lineRule="auto" w:before="0" w:after="0"/>
        <w:ind w:left="227" w:right="113"/>
        <w:shd w:val="clear" w:color="auto" w:fill="F4F4F4"/>
      </w:pPr>
      <w:r>
        <w:rPr>
          <w:rFonts w:ascii="Consolas" w:hAnsi="Consolas" w:eastAsia="Consolas"/>
          <w:color w:val="A31515"/>
          <w:sz w:val="17"/>
        </w:rPr>
        <w:t xml:space="preserve">    d increases until ADF rejects a unit root AND KPSS fails to reject</w:t>
      </w:r>
    </w:p>
    <w:p>
      <w:pPr>
        <w:keepLines/>
        <w:spacing w:line="240" w:lineRule="auto" w:before="0" w:after="0"/>
        <w:ind w:left="227" w:right="113"/>
        <w:shd w:val="clear" w:color="auto" w:fill="F4F4F4"/>
      </w:pPr>
      <w:r>
        <w:rPr>
          <w:rFonts w:ascii="Consolas" w:hAnsi="Consolas" w:eastAsia="Consolas"/>
          <w:color w:val="A31515"/>
          <w:sz w:val="17"/>
        </w:rPr>
        <w:t xml:space="preserve">    stationarity (or max_d is reached).</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pPr>
        <w:keepLines/>
        <w:spacing w:line="240" w:lineRule="auto" w:before="0" w:after="0"/>
        <w:ind w:left="227" w:right="113"/>
        <w:shd w:val="clear" w:color="auto" w:fill="F4F4F4"/>
      </w:pPr>
      <w:r>
        <w:rPr>
          <w:rFonts w:ascii="Consolas" w:hAnsi="Consolas" w:eastAsia="Consolas"/>
          <w:color w:val="1F1F1F"/>
          <w:sz w:val="17"/>
        </w:rPr>
        <w:t xml:space="preserve">        s = difference(series, d)</w:t>
      </w:r>
    </w:p>
    <w:p>
      <w:pPr>
        <w:keepLines/>
        <w:spacing w:line="240" w:lineRule="auto" w:before="0" w:after="0"/>
        <w:ind w:left="227" w:right="113"/>
        <w:shd w:val="clear" w:color="auto" w:fill="F4F4F4"/>
      </w:pPr>
      <w:r>
        <w:rPr>
          <w:rFonts w:ascii="Consolas" w:hAnsi="Consolas" w:eastAsia="Consolas"/>
          <w:color w:val="1F1F1F"/>
          <w:sz w:val="17"/>
        </w:rPr>
        <w:t xml:space="preserve">        adf = adf_test(s)</w:t>
      </w:r>
    </w:p>
    <w:p>
      <w:pPr>
        <w:keepLines/>
        <w:spacing w:line="240" w:lineRule="auto" w:before="0" w:after="0"/>
        <w:ind w:left="227" w:right="113"/>
        <w:shd w:val="clear" w:color="auto" w:fill="F4F4F4"/>
      </w:pPr>
      <w:r>
        <w:rPr>
          <w:rFonts w:ascii="Consolas" w:hAnsi="Consolas" w:eastAsia="Consolas"/>
          <w:color w:val="1F1F1F"/>
          <w:sz w:val="17"/>
        </w:rPr>
        <w:t xml:space="preserve">        kpss = kpss_test(s)</w:t>
      </w:r>
    </w:p>
    <w:p>
      <w:pPr>
        <w:keepLines/>
        <w:spacing w:line="240" w:lineRule="auto" w:before="0" w:after="0"/>
        <w:ind w:left="227" w:right="113"/>
        <w:shd w:val="clear" w:color="auto" w:fill="F4F4F4"/>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Grid-search ARIMA orders by AIC.</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If d_values is (None,), the differencing order is chosen automatically by</w:t>
      </w:r>
    </w:p>
    <w:p>
      <w:pPr>
        <w:keepLines/>
        <w:spacing w:line="240" w:lineRule="auto" w:before="0" w:after="0"/>
        <w:ind w:left="227" w:right="113"/>
        <w:shd w:val="clear" w:color="auto" w:fill="F4F4F4"/>
      </w:pPr>
      <w:r>
        <w:rPr>
          <w:rFonts w:ascii="Consolas" w:hAnsi="Consolas" w:eastAsia="Consolas"/>
          <w:color w:val="A31515"/>
          <w:sz w:val="17"/>
        </w:rPr>
        <w:t xml:space="preserve">    :func:`choose_differencing`; otherwise the supplied d values are searched.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best_order : tuple (p, d, q)</w:t>
      </w:r>
    </w:p>
    <w:p>
      <w:pPr>
        <w:keepLines/>
        <w:spacing w:line="240" w:lineRule="auto" w:before="0" w:after="0"/>
        <w:ind w:left="227" w:right="113"/>
        <w:shd w:val="clear" w:color="auto" w:fill="F4F4F4"/>
      </w:pPr>
      <w:r>
        <w:rPr>
          <w:rFonts w:ascii="Consolas" w:hAnsi="Consolas" w:eastAsia="Consolas"/>
          <w:color w:val="A31515"/>
          <w:sz w:val="17"/>
        </w:rPr>
        <w:t xml:space="preserve">    best_model : fitted ARIMA</w:t>
      </w:r>
    </w:p>
    <w:p>
      <w:pPr>
        <w:keepLines/>
        <w:spacing w:line="240" w:lineRule="auto" w:before="0" w:after="0"/>
        <w:ind w:left="227" w:right="113"/>
        <w:shd w:val="clear" w:color="auto" w:fill="F4F4F4"/>
      </w:pPr>
      <w:r>
        <w:rPr>
          <w:rFonts w:ascii="Consolas" w:hAnsi="Consolas" w:eastAsia="Consolas"/>
          <w:color w:val="A31515"/>
          <w:sz w:val="17"/>
        </w:rPr>
        <w:t xml:space="preserve">    table      : list of dicts {order, aic, bic} sorted by AIC</w:t>
      </w:r>
    </w:p>
    <w:p>
      <w:pPr>
        <w:keepLines/>
        <w:spacing w:line="240" w:lineRule="auto" w:before="0" w:after="0"/>
        <w:ind w:left="227" w:right="113"/>
        <w:shd w:val="clear" w:color="auto" w:fill="F4F4F4"/>
      </w:pPr>
      <w:r>
        <w:rPr>
          <w:rFonts w:ascii="Consolas" w:hAnsi="Consolas" w:eastAsia="Consolas"/>
          <w:color w:val="A31515"/>
          <w:sz w:val="17"/>
        </w:rPr>
        <w:t xml:space="preserve">    diff_info  : output of choose_differencing (or None)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choose_differencing(y, max_d=max_d)</w:t>
      </w:r>
    </w:p>
    <w:p>
      <w:pPr>
        <w:keepLines/>
        <w:spacing w:line="240" w:lineRule="auto" w:before="0" w:after="0"/>
        <w:ind w:left="227" w:right="113"/>
        <w:shd w:val="clear" w:color="auto" w:fill="F4F4F4"/>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drops max(p, q) points and models are ranked on different n).</w:t>
      </w:r>
    </w:p>
    <w:p>
      <w:pPr>
        <w:keepLines/>
        <w:spacing w:line="240" w:lineRule="auto" w:before="0" w:after="0"/>
        <w:ind w:left="227" w:right="113"/>
        <w:shd w:val="clear" w:color="auto" w:fill="F4F4F4"/>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 xml:space="preserve">(p, q)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 = []</w:t>
      </w:r>
    </w:p>
    <w:p>
      <w:pPr>
        <w:keepLines/>
        <w:spacing w:line="240" w:lineRule="auto" w:before="0" w:after="0"/>
        <w:ind w:left="227" w:right="113"/>
        <w:shd w:val="clear" w:color="auto" w:fill="F4F4F4"/>
      </w:pPr>
      <w:r>
        <w:rPr>
          <w:rFonts w:ascii="Consolas" w:hAnsi="Consolas" w:eastAsia="Consolas"/>
          <w:color w:val="1F1F1F"/>
          <w:sz w:val="17"/>
        </w:rPr>
        <w:t xml:space="preserve">    best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model = ARIMA((p, d, q)).fit(y, cond=cond)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xml:space="preserve">: (p, d, q), </w:t>
      </w:r>
      <w:r>
        <w:rPr>
          <w:rFonts w:ascii="Consolas" w:hAnsi="Consolas" w:eastAsia="Consolas"/>
          <w:color w:val="A31515"/>
          <w:sz w:val="17"/>
        </w:rPr>
        <w:t>"aic"</w:t>
      </w:r>
      <w:r>
        <w:rPr>
          <w:rFonts w:ascii="Consolas" w:hAnsi="Consolas" w:eastAsia="Consolas"/>
          <w:color w:val="1F1F1F"/>
          <w:sz w:val="17"/>
        </w:rPr>
        <w:t>: 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"bic"</w:t>
      </w:r>
      <w:r>
        <w:rPr>
          <w:rFonts w:ascii="Consolas" w:hAnsi="Consolas" w:eastAsia="Consolas"/>
          <w:color w:val="1F1F1F"/>
          <w:sz w:val="17"/>
        </w:rPr>
        <w:t>: model.bic_c})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 = ((p, d, q), model.aic_c, model)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best_order, _, best_model = best</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r>
        <w:br w:type="page"/>
      </w:r>
    </w:p>
    <w:p>
      <w:pPr>
        <w:pStyle w:val="Heading2"/>
        <w:spacing w:lineRule="auto" w:line="240" w:before="0" w:after="120"/>
        <w:jc w:val="left"/>
      </w:pPr>
      <w:r>
        <w:rPr>
          <w:rFonts w:ascii="Times New Roman" w:hAnsi="Times New Roman"/>
          <w:b/>
          <w:sz w:val="26"/>
        </w:rPr>
        <w:t>APPENDIX-F</w:t>
      </w:r>
    </w:p>
    <w:p>
      <w:pPr>
        <w:spacing w:lineRule="auto" w:line="360" w:before="0" w:after="160"/>
        <w:jc w:val="left"/>
      </w:pPr>
      <w:r>
        <w:rPr>
          <w:rFonts w:ascii="Times New Roman" w:hAnsi="Times New Roman"/>
          <w:sz w:val="24"/>
        </w:rPr>
        <w:t>Stochastic ensemble generation: simulating synthetic monthly sequences from a fitted model's own estimated parameters and error variance (src/simulate.py).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integrate_forecasts</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inv_log_transform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pPr>
        <w:keepLines/>
        <w:spacing w:line="240" w:lineRule="auto" w:before="0" w:after="0"/>
        <w:ind w:left="227" w:right="113"/>
        <w:shd w:val="clear" w:color="auto" w:fill="F4F4F4"/>
      </w:pPr>
      <w:r>
        <w:rPr>
          <w:rFonts w:ascii="Consolas" w:hAnsi="Consolas" w:eastAsia="Consolas"/>
          <w:color w:val="A31515"/>
          <w:sz w:val="17"/>
        </w:rPr>
        <w:t xml:space="preserve">    series w, each of length n_periods, via the fitted ARMA recursion."""</w:t>
      </w:r>
    </w:p>
    <w:p>
      <w:pPr>
        <w:keepLines/>
        <w:spacing w:line="240" w:lineRule="auto" w:before="0" w:after="0"/>
        <w:ind w:left="227" w:right="113"/>
        <w:shd w:val="clear" w:color="auto" w:fill="F4F4F4"/>
      </w:pPr>
      <w:r>
        <w:rPr>
          <w:rFonts w:ascii="Consolas" w:hAnsi="Consolas" w:eastAsia="Consolas"/>
          <w:color w:val="1F1F1F"/>
          <w:sz w:val="17"/>
        </w:rPr>
        <w:t xml:space="preserve">    p, q = model.p, model.q</w:t>
      </w:r>
    </w:p>
    <w:p>
      <w:pPr>
        <w:keepLines/>
        <w:spacing w:line="240" w:lineRule="auto" w:before="0" w:after="0"/>
        <w:ind w:left="227" w:right="113"/>
        <w:shd w:val="clear" w:color="auto" w:fill="F4F4F4"/>
      </w:pPr>
      <w:r>
        <w:rPr>
          <w:rFonts w:ascii="Consolas" w:hAnsi="Consolas" w:eastAsia="Consolas"/>
          <w:color w:val="1F1F1F"/>
          <w:sz w:val="17"/>
        </w:rPr>
        <w:t xml:space="preserve">    phi, theta, c, sigma2 = model.phi, model.theta, model.c, model.sigma2</w:t>
      </w:r>
    </w:p>
    <w:p>
      <w:pPr>
        <w:keepLines/>
        <w:spacing w:line="240" w:lineRule="auto" w:before="0" w:after="0"/>
        <w:ind w:left="227" w:right="113"/>
        <w:shd w:val="clear" w:color="auto" w:fill="F4F4F4"/>
      </w:pPr>
      <w:r>
        <w:rPr>
          <w:rFonts w:ascii="Consolas" w:hAnsi="Consolas" w:eastAsia="Consolas"/>
          <w:color w:val="1F1F1F"/>
          <w:sz w:val="17"/>
        </w:rPr>
        <w:t xml:space="preserve">    total = BURN_IN + n_periods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resid_pool = model.resid_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sims = np.zeros((n_reps,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r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(n_reps):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rng.choice(resid_pool, size=total, replace=</w:t>
      </w:r>
      <w:r>
        <w:rPr>
          <w:rFonts w:ascii="Consolas" w:hAnsi="Consolas" w:eastAsia="Consolas"/>
          <w:color w:val="0000C0"/>
          <w:sz w:val="17"/>
        </w:rPr>
        <w:t>True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 = np.zeros(total)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 c + ar + ma + e[t]</w:t>
      </w:r>
    </w:p>
    <w:p>
      <w:pPr>
        <w:keepLines/>
        <w:spacing w:line="240" w:lineRule="auto" w:before="0" w:after="0"/>
        <w:ind w:left="227" w:right="113"/>
        <w:shd w:val="clear" w:color="auto" w:fill="F4F4F4"/>
      </w:pPr>
      <w:r>
        <w:rPr>
          <w:rFonts w:ascii="Consolas" w:hAnsi="Consolas" w:eastAsia="Consolas"/>
          <w:color w:val="1F1F1F"/>
          <w:sz w:val="17"/>
        </w:rPr>
        <w:t xml:space="preserve">        sims[r] = 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sims[:, BURN_IN:]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an ensemble of synthetic realisations on the natural (level)</w:t>
      </w:r>
    </w:p>
    <w:p>
      <w:pPr>
        <w:keepLines/>
        <w:spacing w:line="240" w:lineRule="auto" w:before="0" w:after="0"/>
        <w:ind w:left="227" w:right="113"/>
        <w:shd w:val="clear" w:color="auto" w:fill="F4F4F4"/>
      </w:pPr>
      <w:r>
        <w:rPr>
          <w:rFonts w:ascii="Consolas" w:hAnsi="Consolas" w:eastAsia="Consolas"/>
          <w:color w:val="A31515"/>
          <w:sz w:val="17"/>
        </w:rPr>
        <w:t xml:space="preserve">    scale, continuing on from the end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already fitted (or built via ARIMA.from_params)</w:t>
      </w:r>
    </w:p>
    <w:p>
      <w:pPr>
        <w:keepLines/>
        <w:spacing w:line="240" w:lineRule="auto" w:before="0" w:after="0"/>
        <w:ind w:left="227" w:right="113"/>
        <w:shd w:val="clear" w:color="auto" w:fill="F4F4F4"/>
      </w:pPr>
      <w:r>
        <w:rPr>
          <w:rFonts w:ascii="Consolas" w:hAnsi="Consolas" w:eastAsia="Consolas"/>
          <w:color w:val="A31515"/>
          <w:sz w:val="17"/>
        </w:rPr>
        <w:t xml:space="preserve">    y_hist     : log-scale history the differencing is anchored to (only the</w:t>
      </w:r>
    </w:p>
    <w:p>
      <w:pPr>
        <w:keepLines/>
        <w:spacing w:line="240" w:lineRule="auto" w:before="0" w:after="0"/>
        <w:ind w:left="227" w:right="113"/>
        <w:shd w:val="clear" w:color="auto" w:fill="F4F4F4"/>
      </w:pPr>
      <w:r>
        <w:rPr>
          <w:rFonts w:ascii="Consolas" w:hAnsi="Consolas" w:eastAsia="Consolas"/>
          <w:color w:val="A31515"/>
          <w:sz w:val="17"/>
        </w:rPr>
        <w:t xml:space="preserve">                 tail is used, via integrate_forecasts, when d &gt; 0)</w:t>
      </w:r>
    </w:p>
    <w:p>
      <w:pPr>
        <w:keepLines/>
        <w:spacing w:line="240" w:lineRule="auto" w:before="0" w:after="0"/>
        <w:ind w:left="227" w:right="113"/>
        <w:shd w:val="clear" w:color="auto" w:fill="F4F4F4"/>
      </w:pPr>
      <w:r>
        <w:rPr>
          <w:rFonts w:ascii="Consolas" w:hAnsi="Consolas" w:eastAsia="Consolas"/>
          <w:color w:val="A31515"/>
          <w:sz w:val="17"/>
        </w:rPr>
        <w:t xml:space="preserve">    n_periods  : length of each synthetic realisation, in months</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realisations</w:t>
      </w:r>
    </w:p>
    <w:p>
      <w:pPr>
        <w:keepLines/>
        <w:spacing w:line="240" w:lineRule="auto" w:before="0" w:after="0"/>
        <w:ind w:left="227" w:right="113"/>
        <w:shd w:val="clear" w:color="auto" w:fill="F4F4F4"/>
      </w:pPr>
      <w:r>
        <w:rPr>
          <w:rFonts w:ascii="Consolas" w:hAnsi="Consolas" w:eastAsia="Consolas"/>
          <w:color w:val="A31515"/>
          <w:sz w:val="17"/>
        </w:rPr>
        <w:t xml:space="preserve">    method     : "gaussian"  -- innovations drawn from N(0, sigma2), the</w:t>
      </w:r>
    </w:p>
    <w:p>
      <w:pPr>
        <w:keepLines/>
        <w:spacing w:line="240" w:lineRule="auto" w:before="0" w:after="0"/>
        <w:ind w:left="227" w:right="113"/>
        <w:shd w:val="clear" w:color="auto" w:fill="F4F4F4"/>
      </w:pPr>
      <w:r>
        <w:rPr>
          <w:rFonts w:ascii="Consolas" w:hAnsi="Consolas" w:eastAsia="Consolas"/>
          <w:color w:val="A31515"/>
          <w:sz w:val="17"/>
        </w:rPr>
        <w:t xml:space="preserve">                                 model's own error-variance estimate</w:t>
      </w:r>
    </w:p>
    <w:p>
      <w:pPr>
        <w:keepLines/>
        <w:spacing w:line="240" w:lineRule="auto" w:before="0" w:after="0"/>
        <w:ind w:left="227" w:right="113"/>
        <w:shd w:val="clear" w:color="auto" w:fill="F4F4F4"/>
      </w:pPr>
      <w:r>
        <w:rPr>
          <w:rFonts w:ascii="Consolas" w:hAnsi="Consolas" w:eastAsia="Consolas"/>
          <w:color w:val="A31515"/>
          <w:sz w:val="17"/>
        </w:rPr>
        <w:t xml:space="preserve">                 "bootstrap" -- innovations resampled (with replacement)</w:t>
      </w:r>
    </w:p>
    <w:p>
      <w:pPr>
        <w:keepLines/>
        <w:spacing w:line="240" w:lineRule="auto" w:before="0" w:after="0"/>
        <w:ind w:left="227" w:right="113"/>
        <w:shd w:val="clear" w:color="auto" w:fill="F4F4F4"/>
      </w:pPr>
      <w:r>
        <w:rPr>
          <w:rFonts w:ascii="Consolas" w:hAnsi="Consolas" w:eastAsia="Consolas"/>
          <w:color w:val="A31515"/>
          <w:sz w:val="17"/>
        </w:rPr>
        <w:t xml:space="preserve">                                 from the model's in-sample residuals, which</w:t>
      </w:r>
    </w:p>
    <w:p>
      <w:pPr>
        <w:keepLines/>
        <w:spacing w:line="240" w:lineRule="auto" w:before="0" w:after="0"/>
        <w:ind w:left="227" w:right="113"/>
        <w:shd w:val="clear" w:color="auto" w:fill="F4F4F4"/>
      </w:pPr>
      <w:r>
        <w:rPr>
          <w:rFonts w:ascii="Consolas" w:hAnsi="Consolas" w:eastAsia="Consolas"/>
          <w:color w:val="A31515"/>
          <w:sz w:val="17"/>
        </w:rPr>
        <w:t xml:space="preserve">                                 relaxes the Gaussian-innovation assumption</w:t>
      </w:r>
    </w:p>
    <w:p>
      <w:pPr>
        <w:keepLines/>
        <w:spacing w:line="240" w:lineRule="auto" w:before="0" w:after="0"/>
        <w:ind w:left="227" w:right="113"/>
        <w:shd w:val="clear" w:color="auto" w:fill="F4F4F4"/>
      </w:pPr>
      <w:r>
        <w:rPr>
          <w:rFonts w:ascii="Consolas" w:hAnsi="Consolas" w:eastAsia="Consolas"/>
          <w:color w:val="A31515"/>
          <w:sz w:val="17"/>
        </w:rPr>
        <w:t xml:space="preserve">    seed       : RNG seed for reproducibility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ndarray of shape (n_reps, n_periods), natural units (back-transformed</w:t>
      </w:r>
    </w:p>
    <w:p>
      <w:pPr>
        <w:keepLines/>
        <w:spacing w:line="240" w:lineRule="auto" w:before="0" w:after="0"/>
        <w:ind w:left="227" w:right="113"/>
        <w:shd w:val="clear" w:color="auto" w:fill="F4F4F4"/>
      </w:pPr>
      <w:r>
        <w:rPr>
          <w:rFonts w:ascii="Consolas" w:hAnsi="Consolas" w:eastAsia="Consolas"/>
          <w:color w:val="A31515"/>
          <w:sz w:val="17"/>
        </w:rPr>
        <w:t xml:space="preserve">    from the log scale).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sims_w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np.array([integrate_forecasts(y_hist, w, model.d) </w:t>
      </w:r>
      <w:r>
        <w:rPr>
          <w:rFonts w:ascii="Consolas" w:hAnsi="Consolas" w:eastAsia="Consolas"/>
          <w:color w:val="0000C0"/>
          <w:sz w:val="17"/>
        </w:rPr>
        <w:t>for</w:t>
      </w:r>
      <w:r>
        <w:rPr>
          <w:rFonts w:ascii="Consolas" w:hAnsi="Consolas" w:eastAsia="Consolas"/>
          <w:color w:val="1F1F1F"/>
          <w:sz w:val="17"/>
        </w:rPr>
        <w:t xml:space="preserve"> w </w:t>
      </w:r>
      <w:r>
        <w:rPr>
          <w:rFonts w:ascii="Consolas" w:hAnsi="Consolas" w:eastAsia="Consolas"/>
          <w:color w:val="0000C0"/>
          <w:sz w:val="17"/>
        </w:rPr>
        <w:t>in</w:t>
      </w:r>
      <w:r>
        <w:rPr>
          <w:rFonts w:ascii="Consolas" w:hAnsi="Consolas" w:eastAsia="Consolas"/>
          <w:color w:val="1F1F1F"/>
          <w:sz w:val="17"/>
        </w:rPr>
        <w:t xml:space="preserve"> sims_w])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sims_w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r>
        <w:br w:type="page"/>
      </w:r>
    </w:p>
    <w:p>
      <w:pPr>
        <w:pStyle w:val="Heading2"/>
        <w:spacing w:lineRule="auto" w:line="240" w:before="0" w:after="120"/>
        <w:jc w:val="left"/>
      </w:pPr>
      <w:r>
        <w:rPr>
          <w:rFonts w:ascii="Times New Roman" w:hAnsi="Times New Roman"/>
          <w:b/>
          <w:sz w:val="26"/>
        </w:rPr>
        <w:t>APPENDIX-G</w:t>
      </w:r>
    </w:p>
    <w:p>
      <w:pPr>
        <w:spacing w:lineRule="auto" w:line="360" w:before="0" w:after="160"/>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Summary statistics for one monthly series (historical or one synthetic</w:t>
      </w:r>
    </w:p>
    <w:p>
      <w:pPr>
        <w:keepLines/>
        <w:spacing w:line="240" w:lineRule="auto" w:before="0" w:after="0"/>
        <w:ind w:left="227" w:right="113"/>
        <w:shd w:val="clear" w:color="auto" w:fill="F4F4F4"/>
      </w:pPr>
      <w:r>
        <w:rPr>
          <w:rFonts w:ascii="Consolas" w:hAnsi="Consolas" w:eastAsia="Consolas"/>
          <w:color w:val="A31515"/>
          <w:sz w:val="17"/>
        </w:rPr>
        <w:t xml:space="preserve">    realisation).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mean, std, skew         : first three moments</w:t>
      </w:r>
    </w:p>
    <w:p>
      <w:pPr>
        <w:keepLines/>
        <w:spacing w:line="240" w:lineRule="auto" w:before="0" w:after="0"/>
        <w:ind w:left="227" w:right="113"/>
        <w:shd w:val="clear" w:color="auto" w:fill="F4F4F4"/>
      </w:pPr>
      <w:r>
        <w:rPr>
          <w:rFonts w:ascii="Consolas" w:hAnsi="Consolas" w:eastAsia="Consolas"/>
          <w:color w:val="A31515"/>
          <w:sz w:val="17"/>
        </w:rPr>
        <w:t xml:space="preserve">    lag1_acf                : month-to-month persistence</w:t>
      </w:r>
    </w:p>
    <w:p>
      <w:pPr>
        <w:keepLines/>
        <w:spacing w:line="240" w:lineRule="auto" w:before="0" w:after="0"/>
        <w:ind w:left="227" w:right="113"/>
        <w:shd w:val="clear" w:color="auto" w:fill="F4F4F4"/>
      </w:pPr>
      <w:r>
        <w:rPr>
          <w:rFonts w:ascii="Consolas" w:hAnsi="Consolas" w:eastAsia="Consolas"/>
          <w:color w:val="A31515"/>
          <w:sz w:val="17"/>
        </w:rPr>
        <w:t xml:space="preserve">    seasonal_amplitude      : range of the 12 calendar-month means (needs</w:t>
      </w:r>
    </w:p>
    <w:p>
      <w:pPr>
        <w:keepLines/>
        <w:spacing w:line="240" w:lineRule="auto" w:before="0" w:after="0"/>
        <w:ind w:left="227" w:right="113"/>
        <w:shd w:val="clear" w:color="auto" w:fill="F4F4F4"/>
      </w:pPr>
      <w:r>
        <w:rPr>
          <w:rFonts w:ascii="Consolas" w:hAnsi="Consolas" w:eastAsia="Consolas"/>
          <w:color w:val="A31515"/>
          <w:sz w:val="17"/>
        </w:rPr>
        <w:t xml:space="preserve">                               `dates`; measures how strongly seasonal the</w:t>
      </w:r>
    </w:p>
    <w:p>
      <w:pPr>
        <w:keepLines/>
        <w:spacing w:line="240" w:lineRule="auto" w:before="0" w:after="0"/>
        <w:ind w:left="227" w:right="113"/>
        <w:shd w:val="clear" w:color="auto" w:fill="F4F4F4"/>
      </w:pPr>
      <w:r>
        <w:rPr>
          <w:rFonts w:ascii="Consolas" w:hAnsi="Consolas" w:eastAsia="Consolas"/>
          <w:color w:val="A31515"/>
          <w:sz w:val="17"/>
        </w:rPr>
        <w:t xml:space="preserve">                               series is -- the property the supervisor's</w:t>
      </w:r>
    </w:p>
    <w:p>
      <w:pPr>
        <w:keepLines/>
        <w:spacing w:line="240" w:lineRule="auto" w:before="0" w:after="0"/>
        <w:ind w:left="227" w:right="113"/>
        <w:shd w:val="clear" w:color="auto" w:fill="F4F4F4"/>
      </w:pPr>
      <w:r>
        <w:rPr>
          <w:rFonts w:ascii="Consolas" w:hAnsi="Consolas" w:eastAsia="Consolas"/>
          <w:color w:val="A31515"/>
          <w:sz w:val="17"/>
        </w:rPr>
        <w:t xml:space="preserve">                               "differencing removes seasonality" point is</w:t>
      </w:r>
    </w:p>
    <w:p>
      <w:pPr>
        <w:keepLines/>
        <w:spacing w:line="240" w:lineRule="auto" w:before="0" w:after="0"/>
        <w:ind w:left="227" w:right="113"/>
        <w:shd w:val="clear" w:color="auto" w:fill="F4F4F4"/>
      </w:pPr>
      <w:r>
        <w:rPr>
          <w:rFonts w:ascii="Consolas" w:hAnsi="Consolas" w:eastAsia="Consolas"/>
          <w:color w:val="A31515"/>
          <w:sz w:val="17"/>
        </w:rPr>
        <w:t xml:space="preserve">                               really about)</w:t>
      </w:r>
    </w:p>
    <w:p>
      <w:pPr>
        <w:keepLines/>
        <w:spacing w:line="240" w:lineRule="auto" w:before="0" w:after="0"/>
        <w:ind w:left="227" w:right="113"/>
        <w:shd w:val="clear" w:color="auto" w:fill="F4F4F4"/>
      </w:pPr>
      <w:r>
        <w:rPr>
          <w:rFonts w:ascii="Consolas" w:hAnsi="Consolas" w:eastAsia="Consolas"/>
          <w:color w:val="A31515"/>
          <w:sz w:val="17"/>
        </w:rPr>
        <w:t xml:space="preserve">    max_dry_spell           : longest run of months below the 20th</w:t>
      </w:r>
    </w:p>
    <w:p>
      <w:pPr>
        <w:keepLines/>
        <w:spacing w:line="240" w:lineRule="auto" w:before="0" w:after="0"/>
        <w:ind w:left="227" w:right="113"/>
        <w:shd w:val="clear" w:color="auto" w:fill="F4F4F4"/>
      </w:pPr>
      <w:r>
        <w:rPr>
          <w:rFonts w:ascii="Consolas" w:hAnsi="Consolas" w:eastAsia="Consolas"/>
          <w:color w:val="A31515"/>
          <w:sz w:val="17"/>
        </w:rPr>
        <w:t xml:space="preserve">                               percentile of the series itself (a drought /</w:t>
      </w:r>
    </w:p>
    <w:p>
      <w:pPr>
        <w:keepLines/>
        <w:spacing w:line="240" w:lineRule="auto" w:before="0" w:after="0"/>
        <w:ind w:left="227" w:right="113"/>
        <w:shd w:val="clear" w:color="auto" w:fill="F4F4F4"/>
      </w:pPr>
      <w:r>
        <w:rPr>
          <w:rFonts w:ascii="Consolas" w:hAnsi="Consolas" w:eastAsia="Consolas"/>
          <w:color w:val="A31515"/>
          <w:sz w:val="17"/>
        </w:rPr>
        <w:t xml:space="preserve">                               low-flow duration proxy)</w:t>
      </w:r>
    </w:p>
    <w:p>
      <w:pPr>
        <w:keepLines/>
        <w:spacing w:line="240" w:lineRule="auto" w:before="0" w:after="0"/>
        <w:ind w:left="227" w:right="113"/>
        <w:shd w:val="clear" w:color="auto" w:fill="F4F4F4"/>
      </w:pPr>
      <w:r>
        <w:rPr>
          <w:rFonts w:ascii="Consolas" w:hAnsi="Consolas" w:eastAsia="Consolas"/>
          <w:color w:val="A31515"/>
          <w:sz w:val="17"/>
        </w:rPr>
        <w:t xml:space="preserve">    peak                    : maximum monthly value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pPr>
        <w:keepLines/>
        <w:spacing w:line="240" w:lineRule="auto" w:before="0" w:after="0"/>
        <w:ind w:left="227" w:right="113"/>
        <w:shd w:val="clear" w:color="auto" w:fill="F4F4F4"/>
      </w:pPr>
      <w:r>
        <w:rPr>
          <w:rFonts w:ascii="Consolas" w:hAnsi="Consolas" w:eastAsia="Consolas"/>
          <w:color w:val="1F1F1F"/>
          <w:sz w:val="17"/>
        </w:rPr>
        <w:t xml:space="preserve">    vc = v - v.mean()</w:t>
      </w:r>
    </w:p>
    <w:p>
      <w:pPr>
        <w:keepLines/>
        <w:spacing w:line="240" w:lineRule="auto" w:before="0" w:after="0"/>
        <w:ind w:left="227" w:right="113"/>
        <w:shd w:val="clear" w:color="auto" w:fill="F4F4F4"/>
      </w:pPr>
      <w:r>
        <w:rPr>
          <w:rFonts w:ascii="Consolas" w:hAnsi="Consolas" w:eastAsia="Consolas"/>
          <w:color w:val="1F1F1F"/>
          <w:sz w:val="17"/>
        </w:rPr>
        <w:t xml:space="preserve">    props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below = v &lt; thresh</w:t>
      </w:r>
    </w:p>
    <w:p>
      <w:pPr>
        <w:keepLines/>
        <w:spacing w:line="240" w:lineRule="auto" w:before="0" w:after="0"/>
        <w:ind w:left="227" w:right="113"/>
        <w:shd w:val="clear" w:color="auto" w:fill="F4F4F4"/>
      </w:pPr>
      <w:r>
        <w:rPr>
          <w:rFonts w:ascii="Consolas" w:hAnsi="Consolas" w:eastAsia="Consolas"/>
          <w:color w:val="1F1F1F"/>
          <w:sz w:val="17"/>
        </w:rPr>
        <w:t xml:space="preserve">    run = max_run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pPr>
        <w:keepLines/>
        <w:spacing w:line="240" w:lineRule="auto" w:before="0" w:after="0"/>
        <w:ind w:left="227" w:right="113"/>
        <w:shd w:val="clear" w:color="auto" w:fill="F4F4F4"/>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pd.Series(v, index=pd.to_datetime(dates))</w:t>
      </w:r>
    </w:p>
    <w:p>
      <w:pPr>
        <w:keepLines/>
        <w:spacing w:line="240" w:lineRule="auto" w:before="0" w:after="0"/>
        <w:ind w:left="227" w:right="113"/>
        <w:shd w:val="clear" w:color="auto" w:fill="F4F4F4"/>
      </w:pPr>
      <w:r>
        <w:rPr>
          <w:rFonts w:ascii="Consolas" w:hAnsi="Consolas" w:eastAsia="Consolas"/>
          <w:color w:val="1F1F1F"/>
          <w:sz w:val="17"/>
        </w:rPr>
        <w:t xml:space="preserve">        seasonal_means = s.groupby(s.index.month).mean()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pPr>
        <w:keepLines/>
        <w:spacing w:line="240" w:lineRule="auto" w:before="0" w:after="0"/>
        <w:ind w:left="227" w:right="113"/>
        <w:shd w:val="clear" w:color="auto" w:fill="F4F4F4"/>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Compare one historical series to an ensemble of synthetic realisations</w:t>
      </w:r>
    </w:p>
    <w:p>
      <w:pPr>
        <w:keepLines/>
        <w:spacing w:line="240" w:lineRule="auto" w:before="0" w:after="0"/>
        <w:ind w:left="227" w:right="113"/>
        <w:shd w:val="clear" w:color="auto" w:fill="F4F4F4"/>
      </w:pPr>
      <w:r>
        <w:rPr>
          <w:rFonts w:ascii="Consolas" w:hAnsi="Consolas" w:eastAsia="Consolas"/>
          <w:color w:val="A31515"/>
          <w:sz w:val="17"/>
        </w:rPr>
        <w:t xml:space="preserve">    (rows of `ensemble`, same length as hist_values).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each property, reports the historical value, the ensemble's median</w:t>
      </w:r>
    </w:p>
    <w:p>
      <w:pPr>
        <w:keepLines/>
        <w:spacing w:line="240" w:lineRule="auto" w:before="0" w:after="0"/>
        <w:ind w:left="227" w:right="113"/>
        <w:shd w:val="clear" w:color="auto" w:fill="F4F4F4"/>
      </w:pPr>
      <w:r>
        <w:rPr>
          <w:rFonts w:ascii="Consolas" w:hAnsi="Consolas" w:eastAsia="Consolas"/>
          <w:color w:val="A31515"/>
          <w:sz w:val="17"/>
        </w:rPr>
        <w:t xml:space="preserve">    and 90% envelope (5th-95th percentile across realisations), and whether</w:t>
      </w:r>
    </w:p>
    <w:p>
      <w:pPr>
        <w:keepLines/>
        <w:spacing w:line="240" w:lineRule="auto" w:before="0" w:after="0"/>
        <w:ind w:left="227" w:right="113"/>
        <w:shd w:val="clear" w:color="auto" w:fill="F4F4F4"/>
      </w:pPr>
      <w:r>
        <w:rPr>
          <w:rFonts w:ascii="Consolas" w:hAnsi="Consolas" w:eastAsia="Consolas"/>
          <w:color w:val="A31515"/>
          <w:sz w:val="17"/>
        </w:rPr>
        <w:t xml:space="preserve">    the historical value falls inside that envelope -- the pass/fail</w:t>
      </w:r>
    </w:p>
    <w:p>
      <w:pPr>
        <w:keepLines/>
        <w:spacing w:line="240" w:lineRule="auto" w:before="0" w:after="0"/>
        <w:ind w:left="227" w:right="113"/>
        <w:shd w:val="clear" w:color="auto" w:fill="F4F4F4"/>
      </w:pPr>
      <w:r>
        <w:rPr>
          <w:rFonts w:ascii="Consolas" w:hAnsi="Consolas" w:eastAsia="Consolas"/>
          <w:color w:val="A31515"/>
          <w:sz w:val="17"/>
        </w:rPr>
        <w:t xml:space="preserve">    criterion for "the model reproduces the right variability".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hist_props = series_properties(hist_values, hist_dates)</w:t>
      </w:r>
    </w:p>
    <w:p>
      <w:pPr>
        <w:keepLines/>
        <w:spacing w:line="240" w:lineRule="auto" w:before="0" w:after="0"/>
        <w:ind w:left="227" w:right="113"/>
        <w:shd w:val="clear" w:color="auto" w:fill="F4F4F4"/>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pPr>
        <w:keepLines/>
        <w:spacing w:line="240" w:lineRule="auto" w:before="0" w:after="0"/>
        <w:ind w:left="227" w:right="113"/>
        <w:shd w:val="clear" w:color="auto" w:fill="F4F4F4"/>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summary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pPr>
        <w:keepLines/>
        <w:spacing w:line="240" w:lineRule="auto" w:before="0" w:after="0"/>
        <w:ind w:left="227" w:right="113"/>
        <w:shd w:val="clear" w:color="auto" w:fill="F4F4F4"/>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pPr>
        <w:keepLines/>
        <w:spacing w:line="240" w:lineRule="auto" w:before="0" w:after="0"/>
        <w:ind w:left="227" w:right="113"/>
        <w:shd w:val="clear" w:color="auto" w:fill="F4F4F4"/>
      </w:pPr>
      <w:r>
        <w:rPr>
          <w:rFonts w:ascii="Consolas" w:hAnsi="Consolas" w:eastAsia="Consolas"/>
          <w:color w:val="1F1F1F"/>
          <w:sz w:val="17"/>
        </w:rPr>
        <w:t xml:space="preserve">        h = hist_props[key]</w:t>
      </w:r>
    </w:p>
    <w:p>
      <w:pPr>
        <w:keepLines/>
        <w:spacing w:line="240" w:lineRule="auto" w:before="0" w:after="0"/>
        <w:ind w:left="227" w:right="113"/>
        <w:shd w:val="clear" w:color="auto" w:fill="F4F4F4"/>
      </w:pPr>
      <w:r>
        <w:rPr>
          <w:rFonts w:ascii="Consolas" w:hAnsi="Consolas" w:eastAsia="Consolas"/>
          <w:color w:val="1F1F1F"/>
          <w:sz w:val="17"/>
        </w:rPr>
        <w:t xml:space="preserve">        summary[key]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rsidR="00FC693F" w:rsidRPr="0006063C" w:rsidSect="00034616">
      <w:footerReference w:type="default" r:id="rId11"/>
      <w:pgSz w:w="11906" w:h="16838"/>
      <w:pgMar w:top="1134" w:right="1134" w:bottom="1134" w:left="1134"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b w:val="0"/>
      <w:sz w:val="22"/>
    </w:rPr>
  </w:style>
  <w:style w:type="paragraph" w:customStyle="1" w:styleId="TableCaption">
    <w:name w:val="TableCaption"/>
    <w:basedOn w:val="Normal"/>
    <w:rPr>
      <w:rFonts w:ascii="Times New Roman" w:hAnsi="Times New Roman"/>
      <w:b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