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5F"/>
          <w:sz w:val="48"/>
        </w:rPr>
        <w:t>Project Overview — Computer Hydrological Forecasting</w:t>
      </w:r>
    </w:p>
    <w:p>
      <w:pPr>
        <w:spacing w:after="160" w:line="276" w:lineRule="auto"/>
      </w:pPr>
      <w:r>
        <w:rPr>
          <w:rFonts w:ascii="Calibri" w:hAnsi="Calibri"/>
          <w:color w:val="1E293B"/>
          <w:sz w:val="22"/>
        </w:rPr>
        <w:t>A plain-English rundown of what this project is and how it fits together, as of 2026-08-13 — after the pivot to a monthly, three-variable, stochastically-validated framework, and the app/overview rewrite that followed it.</w:t>
      </w:r>
    </w:p>
    <w:p>
      <w:pPr>
        <w:pBdr>
          <w:bottom w:val="single" w:sz="8" w:space="4" w:color="2563EB"/>
        </w:pBdr>
        <w:spacing w:before="80" w:after="200"/>
      </w:pPr>
    </w:p>
    <w:p>
      <w:pPr>
        <w:shd w:val="clear" w:fill="EFF6FF"/>
        <w:spacing w:before="280" w:after="160"/>
      </w:pPr>
      <w:r>
        <w:rPr>
          <w:rFonts w:ascii="Calibri" w:hAnsi="Calibri"/>
          <w:b/>
          <w:color w:val="1E3A5F"/>
          <w:sz w:val="32"/>
        </w:rPr>
        <w:t>What this project is</w:t>
      </w:r>
    </w:p>
    <w:p>
      <w:pPr>
        <w:spacing w:after="160" w:line="276" w:lineRule="auto"/>
      </w:pPr>
      <w:r>
        <w:rPr>
          <w:rFonts w:ascii="Calibri" w:hAnsi="Calibri"/>
          <w:color w:val="1E293B"/>
          <w:sz w:val="22"/>
        </w:rPr>
        <w:t xml:space="preserve">This is a </w:t>
      </w:r>
      <w:r>
        <w:rPr>
          <w:rFonts w:ascii="Calibri" w:hAnsi="Calibri"/>
          <w:b/>
          <w:color w:val="1E3A5F"/>
          <w:sz w:val="22"/>
        </w:rPr>
        <w:t>B.Sc. Civil &amp; Environmental Engineering final-year project</w:t>
      </w:r>
      <w:r>
        <w:rPr>
          <w:rFonts w:ascii="Calibri" w:hAnsi="Calibri"/>
          <w:color w:val="1E293B"/>
          <w:sz w:val="22"/>
        </w:rPr>
        <w:t xml:space="preserve"> — </w:t>
      </w:r>
      <w:r>
        <w:rPr>
          <w:rFonts w:ascii="Calibri" w:hAnsi="Calibri"/>
          <w:i/>
          <w:color w:val="2563EB"/>
          <w:sz w:val="22"/>
        </w:rPr>
        <w:t>"Computer Hydrological Forecasting"</w:t>
      </w:r>
      <w:r>
        <w:rPr>
          <w:rFonts w:ascii="Calibri" w:hAnsi="Calibri"/>
          <w:color w:val="1E293B"/>
          <w:sz w:val="22"/>
        </w:rPr>
        <w:t>.</w:t>
      </w:r>
    </w:p>
    <w:p>
      <w:pPr>
        <w:pStyle w:val="ListBullet"/>
        <w:spacing w:after="160" w:line="276" w:lineRule="auto"/>
      </w:pPr>
      <w:r>
        <w:rPr>
          <w:rFonts w:ascii="Calibri" w:hAnsi="Calibri"/>
          <w:b/>
          <w:color w:val="1E3A5F"/>
          <w:sz w:val="22"/>
        </w:rPr>
        <w:t>Author:</w:t>
      </w:r>
      <w:r>
        <w:rPr>
          <w:rFonts w:ascii="Calibri" w:hAnsi="Calibri"/>
          <w:color w:val="1E293B"/>
          <w:sz w:val="22"/>
        </w:rPr>
        <w:t xml:space="preserve"> Ugbodaga Benedict Osikpemi (Matric 190402003)</w:t>
      </w:r>
    </w:p>
    <w:p>
      <w:pPr>
        <w:pStyle w:val="ListBullet"/>
        <w:spacing w:after="160" w:line="276" w:lineRule="auto"/>
      </w:pPr>
      <w:r>
        <w:rPr>
          <w:rFonts w:ascii="Calibri" w:hAnsi="Calibri"/>
          <w:b/>
          <w:color w:val="1E3A5F"/>
          <w:sz w:val="22"/>
        </w:rPr>
        <w:t>Institution:</w:t>
      </w:r>
      <w:r>
        <w:rPr>
          <w:rFonts w:ascii="Calibri" w:hAnsi="Calibri"/>
          <w:color w:val="1E293B"/>
          <w:sz w:val="22"/>
        </w:rPr>
        <w:t xml:space="preserve"> University of Lagos</w:t>
      </w:r>
    </w:p>
    <w:p>
      <w:pPr>
        <w:pStyle w:val="ListBullet"/>
        <w:spacing w:after="160" w:line="276" w:lineRule="auto"/>
      </w:pPr>
      <w:r>
        <w:rPr>
          <w:rFonts w:ascii="Calibri" w:hAnsi="Calibri"/>
          <w:b/>
          <w:color w:val="1E3A5F"/>
          <w:sz w:val="22"/>
        </w:rPr>
        <w:t>Supervisor:</w:t>
      </w:r>
      <w:r>
        <w:rPr>
          <w:rFonts w:ascii="Calibri" w:hAnsi="Calibri"/>
          <w:color w:val="1E293B"/>
          <w:sz w:val="22"/>
        </w:rPr>
        <w:t xml:space="preserve"> Prof. K. O. Aiyesimoju</w:t>
      </w:r>
    </w:p>
    <w:p>
      <w:pPr>
        <w:pStyle w:val="ListBullet"/>
        <w:spacing w:after="160" w:line="276" w:lineRule="auto"/>
      </w:pPr>
      <w:r>
        <w:rPr>
          <w:rFonts w:ascii="Calibri" w:hAnsi="Calibri"/>
          <w:b/>
          <w:color w:val="1E3A5F"/>
          <w:sz w:val="22"/>
        </w:rPr>
        <w:t>Submission:</w:t>
      </w:r>
      <w:r>
        <w:rPr>
          <w:rFonts w:ascii="Calibri" w:hAnsi="Calibri"/>
          <w:color w:val="1E293B"/>
          <w:sz w:val="22"/>
        </w:rPr>
        <w:t xml:space="preserve"> February 2026</w:t>
      </w:r>
    </w:p>
    <w:p>
      <w:pPr>
        <w:spacing w:after="160" w:line="276" w:lineRule="auto"/>
      </w:pPr>
      <w:r>
        <w:rPr>
          <w:rFonts w:ascii="Calibri" w:hAnsi="Calibri"/>
          <w:color w:val="1E293B"/>
          <w:sz w:val="22"/>
        </w:rPr>
        <w:t xml:space="preserve">In simple terms: it's </w:t>
      </w:r>
      <w:r>
        <w:rPr>
          <w:rFonts w:ascii="Calibri" w:hAnsi="Calibri"/>
          <w:b/>
          <w:color w:val="1E3A5F"/>
          <w:sz w:val="22"/>
        </w:rPr>
        <w:t>three computer programs, each learning one river variable's own habits</w:t>
      </w:r>
      <w:r>
        <w:rPr>
          <w:rFonts w:ascii="Calibri" w:hAnsi="Calibri"/>
          <w:color w:val="1E293B"/>
          <w:sz w:val="22"/>
        </w:rPr>
        <w:t xml:space="preserve"> — discharge, rainfall, and stage — from decades of monthly history, and using that to generate plausible future sequences. No variable is used to predict another, and no weather forecast is consumed. The approach is purely </w:t>
      </w:r>
      <w:r>
        <w:rPr>
          <w:rFonts w:ascii="Calibri" w:hAnsi="Calibri"/>
          <w:b/>
          <w:color w:val="1E3A5F"/>
          <w:sz w:val="22"/>
        </w:rPr>
        <w:t>statistical</w:t>
      </w:r>
      <w:r>
        <w:rPr>
          <w:rFonts w:ascii="Calibri" w:hAnsi="Calibri"/>
          <w:color w:val="1E293B"/>
          <w:sz w:val="22"/>
        </w:rPr>
        <w:t xml:space="preserve">, and it is deliberately </w:t>
      </w:r>
      <w:r>
        <w:rPr>
          <w:rFonts w:ascii="Calibri" w:hAnsi="Calibri"/>
          <w:b/>
          <w:color w:val="1E3A5F"/>
          <w:sz w:val="22"/>
        </w:rPr>
        <w:t>stochastic</w:t>
      </w:r>
      <w:r>
        <w:rPr>
          <w:rFonts w:ascii="Calibri" w:hAnsi="Calibri"/>
          <w:color w:val="1E293B"/>
          <w:sz w:val="22"/>
        </w:rPr>
        <w:t xml:space="preserve">: it does not claim to predict the one true future, only the </w:t>
      </w:r>
      <w:r>
        <w:rPr>
          <w:rFonts w:ascii="Calibri" w:hAnsi="Calibri"/>
          <w:i/>
          <w:color w:val="2563EB"/>
          <w:sz w:val="22"/>
        </w:rPr>
        <w:t>range</w:t>
      </w:r>
      <w:r>
        <w:rPr>
          <w:rFonts w:ascii="Calibri" w:hAnsi="Calibri"/>
          <w:color w:val="1E293B"/>
          <w:sz w:val="22"/>
        </w:rPr>
        <w:t xml:space="preserve"> of futures the river could plausibly produce, which is what actually matters for sizing a reservoir or a spillway.</w:t>
      </w:r>
    </w:p>
    <w:p>
      <w:pPr>
        <w:pBdr>
          <w:bottom w:val="single" w:sz="8" w:space="4" w:color="2563EB"/>
        </w:pBdr>
        <w:spacing w:before="80" w:after="200"/>
      </w:pPr>
    </w:p>
    <w:p>
      <w:pPr>
        <w:shd w:val="clear" w:fill="EFF6FF"/>
        <w:spacing w:before="280" w:after="160"/>
      </w:pPr>
      <w:r>
        <w:rPr>
          <w:rFonts w:ascii="Calibri" w:hAnsi="Calibri"/>
          <w:b/>
          <w:color w:val="1E3A5F"/>
          <w:sz w:val="32"/>
        </w:rPr>
        <w:t>What changed on 2026-08-12 (read this first)</w:t>
      </w:r>
    </w:p>
    <w:p>
      <w:pPr>
        <w:spacing w:after="160" w:line="276" w:lineRule="auto"/>
      </w:pPr>
      <w:r>
        <w:rPr>
          <w:rFonts w:ascii="Calibri" w:hAnsi="Calibri"/>
          <w:color w:val="1E293B"/>
          <w:sz w:val="22"/>
        </w:rPr>
        <w:t xml:space="preserve">The whole modelling approach pivoted, per the supervisor's direct feedback (a defence-style meeting): </w:t>
      </w:r>
      <w:r>
        <w:rPr>
          <w:rFonts w:ascii="Calibri" w:hAnsi="Calibri"/>
          <w:b/>
          <w:color w:val="1E3A5F"/>
          <w:sz w:val="22"/>
        </w:rPr>
        <w:t>monthly</w:t>
      </w:r>
      <w:r>
        <w:rPr>
          <w:rFonts w:ascii="Calibri" w:hAnsi="Calibri"/>
          <w:color w:val="1E293B"/>
          <w:sz w:val="22"/>
        </w:rPr>
        <w:t xml:space="preserve"> instead of daily timestep (differencing only does real work — removing seasonality — at a monthly step, not a daily one); </w:t>
      </w:r>
      <w:r>
        <w:rPr>
          <w:rFonts w:ascii="Calibri" w:hAnsi="Calibri"/>
          <w:b/>
          <w:color w:val="1E3A5F"/>
          <w:sz w:val="22"/>
        </w:rPr>
        <w:t>three independent variables</w:t>
      </w:r>
      <w:r>
        <w:rPr>
          <w:rFonts w:ascii="Calibri" w:hAnsi="Calibri"/>
          <w:color w:val="1E293B"/>
          <w:sz w:val="22"/>
        </w:rPr>
        <w:t xml:space="preserve"> (discharge, rainfall, stage) instead of discharge alone, to demonstrate the same ARIMA machinery generalises across variable types; and </w:t>
      </w:r>
      <w:r>
        <w:rPr>
          <w:rFonts w:ascii="Calibri" w:hAnsi="Calibri"/>
          <w:b/>
          <w:color w:val="1E3A5F"/>
          <w:sz w:val="22"/>
        </w:rPr>
        <w:t>stochastic, property-based validation</w:t>
      </w:r>
      <w:r>
        <w:rPr>
          <w:rFonts w:ascii="Calibri" w:hAnsi="Calibri"/>
          <w:color w:val="1E293B"/>
          <w:sz w:val="22"/>
        </w:rPr>
        <w:t xml:space="preserve"> instead of comparing one forecast to the one thing that actually happened, since a stochastic model's individual runs aren't meant to match a specific observed sequence — only its statistical </w:t>
      </w:r>
      <w:r>
        <w:rPr>
          <w:rFonts w:ascii="Calibri" w:hAnsi="Calibri"/>
          <w:i/>
          <w:color w:val="2563EB"/>
          <w:sz w:val="22"/>
        </w:rPr>
        <w:t>properties</w:t>
      </w:r>
      <w:r>
        <w:rPr>
          <w:rFonts w:ascii="Calibri" w:hAnsi="Calibri"/>
          <w:color w:val="1E293B"/>
          <w:sz w:val="22"/>
        </w:rPr>
        <w:t xml:space="preserve"> (mean, variability, seasonality, drought duration, peak size) should.</w:t>
      </w:r>
    </w:p>
    <w:p>
      <w:pPr>
        <w:spacing w:after="160" w:line="276" w:lineRule="auto"/>
      </w:pPr>
      <w:r>
        <w:rPr>
          <w:rFonts w:ascii="Calibri" w:hAnsi="Calibri"/>
          <w:color w:val="1E293B"/>
          <w:sz w:val="22"/>
        </w:rPr>
        <w:t xml:space="preserve">Everything below describes the project </w:t>
      </w:r>
      <w:r>
        <w:rPr>
          <w:rFonts w:ascii="Calibri" w:hAnsi="Calibri"/>
          <w:b/>
          <w:color w:val="1E3A5F"/>
          <w:sz w:val="22"/>
        </w:rPr>
        <w:t>after</w:t>
      </w:r>
      <w:r>
        <w:rPr>
          <w:rFonts w:ascii="Calibri" w:hAnsi="Calibri"/>
          <w:color w:val="1E293B"/>
          <w:sz w:val="22"/>
        </w:rPr>
        <w:t xml:space="preserve"> this change.</w:t>
      </w:r>
    </w:p>
    <w:p>
      <w:pPr>
        <w:pBdr>
          <w:bottom w:val="single" w:sz="8" w:space="4" w:color="2563EB"/>
        </w:pBdr>
        <w:spacing w:before="80" w:after="200"/>
      </w:pPr>
    </w:p>
    <w:p>
      <w:pPr>
        <w:shd w:val="clear" w:fill="EFF6FF"/>
        <w:spacing w:before="280" w:after="160"/>
      </w:pPr>
      <w:r>
        <w:rPr>
          <w:rFonts w:ascii="Calibri" w:hAnsi="Calibri"/>
          <w:b/>
          <w:color w:val="1E3A5F"/>
          <w:sz w:val="32"/>
        </w:rPr>
        <w:t>Questions and Answers From Last Review</w:t>
      </w:r>
    </w:p>
    <w:p>
      <w:pPr>
        <w:spacing w:after="160" w:line="276" w:lineRule="auto"/>
      </w:pPr>
      <w:r>
        <w:rPr>
          <w:rFonts w:ascii="Calibri" w:hAnsi="Calibri"/>
          <w:color w:val="1E293B"/>
          <w:sz w:val="22"/>
        </w:rPr>
        <w:t>This is the actual defence-style review session that drove the 2026-08-12 pivot above — extracted question by question from the recording, with what the project does about each one today. Some overlap with the curated "Questions to expect" list further down; this is the direct, literal record.</w:t>
      </w:r>
    </w:p>
    <w:p>
      <w:pPr>
        <w:spacing w:after="160" w:line="276" w:lineRule="auto"/>
      </w:pPr>
      <w:r>
        <w:rPr>
          <w:rFonts w:ascii="Calibri" w:hAnsi="Calibri"/>
          <w:b/>
          <w:color w:val="1E3A5F"/>
          <w:sz w:val="22"/>
        </w:rPr>
        <w:t>Q: "Why are you using ARIMA? AR alone? MA alone? ARMA? ARIMA? ARIMAX? There are many variants — why introduce all of them?"</w:t>
      </w:r>
      <w:r>
        <w:rPr>
          <w:rFonts w:ascii="Calibri" w:hAnsi="Calibri"/>
          <w:color w:val="1E293B"/>
          <w:sz w:val="22"/>
        </w:rPr>
        <w:t xml:space="preserve"> A: Because they each answer a different question about a series' memory (past values only, past shocks only, both, both plus differencing, both plus an outside variable), and the project doesn't just assert ARIMA — it runs an explicit family comparison in the literature review and lets an AIC-based grid search choose the specific structure per variable from the data itself, not from preference. → </w:t>
      </w:r>
      <w:r>
        <w:rPr>
          <w:rFonts w:ascii="Calibri" w:hAnsi="Calibri"/>
          <w:i/>
          <w:color w:val="2563EB"/>
          <w:sz w:val="22"/>
        </w:rPr>
        <w:t>Report Ch.2 §2.4.</w:t>
      </w:r>
    </w:p>
    <w:p>
      <w:pPr>
        <w:spacing w:after="160" w:line="276" w:lineRule="auto"/>
      </w:pPr>
      <w:r>
        <w:rPr>
          <w:rFonts w:ascii="Calibri" w:hAnsi="Calibri"/>
          <w:b/>
          <w:color w:val="1E3A5F"/>
          <w:sz w:val="22"/>
        </w:rPr>
        <w:t>Q: "Why are you using daily data with ARIMA? You won't gain anything from the differencing... but if you difference monthly flows, you actually gain something, because it removes the seasonality."</w:t>
      </w:r>
      <w:r>
        <w:rPr>
          <w:rFonts w:ascii="Calibri" w:hAnsi="Calibri"/>
          <w:color w:val="1E293B"/>
          <w:sz w:val="22"/>
        </w:rPr>
        <w:t xml:space="preserve"> A: Fixed, exactly along those lines — the whole pipeline now runs at a monthly timestep. Daily discharge doesn't have a seasonal cycle for differencing to usefully remove; monthly does. → </w:t>
      </w:r>
      <w:r>
        <w:rPr>
          <w:rFonts w:ascii="Calibri" w:hAnsi="Calibri"/>
          <w:i/>
          <w:color w:val="2563EB"/>
          <w:sz w:val="22"/>
        </w:rPr>
        <w:t>Report Ch.1 §1.5, Ch.3 §3.1.</w:t>
      </w:r>
    </w:p>
    <w:p>
      <w:pPr>
        <w:spacing w:after="160" w:line="276" w:lineRule="auto"/>
      </w:pPr>
      <w:r>
        <w:rPr>
          <w:rFonts w:ascii="Calibri" w:hAnsi="Calibri"/>
          <w:b/>
          <w:color w:val="1E3A5F"/>
          <w:sz w:val="22"/>
        </w:rPr>
        <w:t>Q: "How do you estimate the parameters? The p, d, q you mentioned are not the parameters — that's just the order. How do you estimate the autoregressive component? The moving average parameters? How did you get it?"</w:t>
      </w:r>
      <w:r>
        <w:rPr>
          <w:rFonts w:ascii="Calibri" w:hAnsi="Calibri"/>
          <w:color w:val="1E293B"/>
          <w:sz w:val="22"/>
        </w:rPr>
        <w:t xml:space="preserve"> A: p, d, q are the order (structure), chosen by AIC. The actual parameters — the AR (phi) and MA (theta) coefficients — are estimated by conditional sum of squares, and every one is reported with a standard error, not just a value. → </w:t>
      </w:r>
      <w:r>
        <w:rPr>
          <w:rFonts w:ascii="Calibri" w:hAnsi="Calibri"/>
          <w:i/>
          <w:color w:val="2563EB"/>
          <w:sz w:val="22"/>
        </w:rPr>
        <w:t>Report Ch.3 §3.5, Ch.4 Table 5; app "For the curious" panel.</w:t>
      </w:r>
    </w:p>
    <w:p>
      <w:pPr>
        <w:spacing w:after="160" w:line="276" w:lineRule="auto"/>
      </w:pPr>
      <w:r>
        <w:rPr>
          <w:rFonts w:ascii="Calibri" w:hAnsi="Calibri"/>
          <w:b/>
          <w:color w:val="1E3A5F"/>
          <w:sz w:val="22"/>
        </w:rPr>
        <w:t>Q: "Can you even forecast? 'I can only forecast 7 days' — that's terrible. Why?"</w:t>
      </w:r>
      <w:r>
        <w:rPr>
          <w:rFonts w:ascii="Calibri" w:hAnsi="Calibri"/>
          <w:color w:val="1E293B"/>
          <w:sz w:val="22"/>
        </w:rPr>
        <w:t xml:space="preserve"> A: That was a real bug (a leftover default), now removed. The app forecasts any user-chosen future range via explicit "predict from/to" month-and-year controls.</w:t>
      </w:r>
    </w:p>
    <w:p>
      <w:pPr>
        <w:spacing w:after="160" w:line="276" w:lineRule="auto"/>
      </w:pPr>
      <w:r>
        <w:rPr>
          <w:rFonts w:ascii="Calibri" w:hAnsi="Calibri"/>
          <w:b/>
          <w:color w:val="1E3A5F"/>
          <w:sz w:val="22"/>
        </w:rPr>
        <w:t>Q: "Your data is up to 2014 — how do you now know 2015 is correct? How do you check that? How do we know it's not garbage that you have forecasted?"</w:t>
      </w:r>
      <w:r>
        <w:rPr>
          <w:rFonts w:ascii="Calibri" w:hAnsi="Calibri"/>
          <w:color w:val="1E293B"/>
          <w:sz w:val="22"/>
        </w:rPr>
        <w:t xml:space="preserve"> A: You can't check one stochastic run against one real sequence — every run differs by design. What's actually checkable, and is checked, is whether the historical record's statistical properties (mean, variability, seasonality, drought length, peak size) fall within the range a 1,000-member synthetic ensemble produces. → </w:t>
      </w:r>
      <w:r>
        <w:rPr>
          <w:rFonts w:ascii="Calibri" w:hAnsi="Calibri"/>
          <w:i/>
          <w:color w:val="2563EB"/>
          <w:sz w:val="22"/>
        </w:rPr>
        <w:t>Report §3.6, §4.6.</w:t>
      </w:r>
    </w:p>
    <w:p>
      <w:pPr>
        <w:spacing w:after="160" w:line="276" w:lineRule="auto"/>
      </w:pPr>
      <w:r>
        <w:rPr>
          <w:rFonts w:ascii="Calibri" w:hAnsi="Calibri"/>
          <w:b/>
          <w:color w:val="1E3A5F"/>
          <w:sz w:val="22"/>
        </w:rPr>
        <w:t>Q: "The data is bulky — 35 years, 365 days a year — is that bulky for a computer?"</w:t>
      </w:r>
      <w:r>
        <w:rPr>
          <w:rFonts w:ascii="Calibri" w:hAnsi="Calibri"/>
          <w:color w:val="1E293B"/>
          <w:sz w:val="22"/>
        </w:rPr>
        <w:t xml:space="preserve"> A: Not for a computer, no, and that was never really the constraint. The reason the project moved to monthly wasn't data volume — it was that differencing only does useful work (removing seasonal drift) at a monthly step, which is the point made two questions above.</w:t>
      </w:r>
    </w:p>
    <w:p>
      <w:pPr>
        <w:spacing w:after="160" w:line="276" w:lineRule="auto"/>
      </w:pPr>
      <w:r>
        <w:rPr>
          <w:rFonts w:ascii="Calibri" w:hAnsi="Calibri"/>
          <w:b/>
          <w:color w:val="1E3A5F"/>
          <w:sz w:val="22"/>
        </w:rPr>
        <w:t>Q: "Which year to which year did you use — 1980 to 2014?"</w:t>
      </w:r>
      <w:r>
        <w:rPr>
          <w:rFonts w:ascii="Calibri" w:hAnsi="Calibri"/>
          <w:color w:val="1E293B"/>
          <w:sz w:val="22"/>
        </w:rPr>
        <w:t xml:space="preserve"> A: Yes — 420 months, split 1980–2003 (288 months) to identify order and estimate parameters, and 2004–2014 (132 months) held back entirely for validation. → </w:t>
      </w:r>
      <w:r>
        <w:rPr>
          <w:rFonts w:ascii="Calibri" w:hAnsi="Calibri"/>
          <w:i/>
          <w:color w:val="2563EB"/>
          <w:sz w:val="22"/>
        </w:rPr>
        <w:t>Report Ch.3 §3.4.</w:t>
      </w:r>
    </w:p>
    <w:p>
      <w:pPr>
        <w:spacing w:after="160" w:line="276" w:lineRule="auto"/>
      </w:pPr>
      <w:r>
        <w:rPr>
          <w:rFonts w:ascii="Calibri" w:hAnsi="Calibri"/>
          <w:b/>
          <w:color w:val="1E3A5F"/>
          <w:sz w:val="22"/>
        </w:rPr>
        <w:t>Q: "When you're forecasting stochastic data, you can't compare to real data — each forecast is different, so how can you compare it to 2015? It's meaningless. You can only compare the parameters — the properties — of what you forecast to the properties of the original data."</w:t>
      </w:r>
      <w:r>
        <w:rPr>
          <w:rFonts w:ascii="Calibri" w:hAnsi="Calibri"/>
          <w:color w:val="1E293B"/>
          <w:sz w:val="22"/>
        </w:rPr>
        <w:t xml:space="preserve"> A: Agreed, and that's exactly the current validation design: the project never compares one synthetic run to the one thing that actually happened. It compares the ensemble's statistical properties to history's. This is the core idea of the whole 2026-08-12 rebuild. → </w:t>
      </w:r>
      <w:r>
        <w:rPr>
          <w:rFonts w:ascii="Calibri" w:hAnsi="Calibri"/>
          <w:i/>
          <w:color w:val="2563EB"/>
          <w:sz w:val="22"/>
        </w:rPr>
        <w:t>Report §4.6, Table 7.</w:t>
      </w:r>
    </w:p>
    <w:p>
      <w:pPr>
        <w:spacing w:after="160" w:line="276" w:lineRule="auto"/>
      </w:pPr>
      <w:r>
        <w:rPr>
          <w:rFonts w:ascii="Calibri" w:hAnsi="Calibri"/>
          <w:b/>
          <w:color w:val="1E3A5F"/>
          <w:sz w:val="22"/>
        </w:rPr>
        <w:t>Q: "Why are you using whatever river in the US? Have you checked for monthly data in Nigeria that you didn't find?"</w:t>
      </w:r>
      <w:r>
        <w:rPr>
          <w:rFonts w:ascii="Calibri" w:hAnsi="Calibri"/>
          <w:color w:val="1E293B"/>
          <w:sz w:val="22"/>
        </w:rPr>
        <w:t xml:space="preserve"> A: Yes — NIHSA was checked directly, not skipped, and couldn't give a firm price or delivery date inside the project deadline. Conecuh was already downloaded, verified, and clean, so it became the working basin while the Nigerian request stayed open — a disclosed trade-off. → </w:t>
      </w:r>
      <w:r>
        <w:rPr>
          <w:rFonts w:ascii="Calibri" w:hAnsi="Calibri"/>
          <w:i/>
          <w:color w:val="2563EB"/>
          <w:sz w:val="22"/>
        </w:rPr>
        <w:t>Report Ch.1 §1.5; "Why Conecuh, specifically" below.</w:t>
      </w:r>
    </w:p>
    <w:p>
      <w:pPr>
        <w:spacing w:after="160" w:line="276" w:lineRule="auto"/>
      </w:pPr>
      <w:r>
        <w:rPr>
          <w:rFonts w:ascii="Calibri" w:hAnsi="Calibri"/>
          <w:b/>
          <w:color w:val="1E3A5F"/>
          <w:sz w:val="22"/>
        </w:rPr>
        <w:t>Q: "This business of 'not enough data' isn't really relevant — it's precisely because you don't have enough data that you're forecasting. If you had huge data, why would you be forecasting at all?"</w:t>
      </w:r>
      <w:r>
        <w:rPr>
          <w:rFonts w:ascii="Calibri" w:hAnsi="Calibri"/>
          <w:color w:val="1E293B"/>
          <w:sz w:val="22"/>
        </w:rPr>
        <w:t xml:space="preserve"> A: Agreed — this is the actual justification given for stochastic hydrology in the literature review, not "35 years is too little" or "too much." → </w:t>
      </w:r>
      <w:r>
        <w:rPr>
          <w:rFonts w:ascii="Calibri" w:hAnsi="Calibri"/>
          <w:i/>
          <w:color w:val="2563EB"/>
          <w:sz w:val="22"/>
        </w:rPr>
        <w:t>Report Ch.2 (Matalas, 1967).</w:t>
      </w:r>
    </w:p>
    <w:p>
      <w:pPr>
        <w:spacing w:after="160" w:line="276" w:lineRule="auto"/>
      </w:pPr>
      <w:r>
        <w:rPr>
          <w:rFonts w:ascii="Calibri" w:hAnsi="Calibri"/>
          <w:b/>
          <w:color w:val="1E3A5F"/>
          <w:sz w:val="22"/>
        </w:rPr>
        <w:t>Q: "Forecast rainfall from rainfall, runoff from runoff — there's no difference. Your model doesn't change, it's the same model. You should be able to estimate the parameters for whatever data you put in."</w:t>
      </w:r>
      <w:r>
        <w:rPr>
          <w:rFonts w:ascii="Calibri" w:hAnsi="Calibri"/>
          <w:color w:val="1E293B"/>
          <w:sz w:val="22"/>
        </w:rPr>
        <w:t xml:space="preserve"> A: That is exactly how it's built: one ARIMA implementation, applied unmodified to discharge, rainfall, and stage — only the fitted coefficients differ between them, not the code. → </w:t>
      </w:r>
      <w:r>
        <w:rPr>
          <w:rFonts w:ascii="Calibri" w:hAnsi="Calibri"/>
          <w:i/>
          <w:color w:val="2563EB"/>
          <w:sz w:val="22"/>
        </w:rPr>
        <w:t>Report §2.4, §3.2; app: switch tabs between the three variables.</w:t>
      </w:r>
    </w:p>
    <w:p>
      <w:pPr>
        <w:spacing w:after="160" w:line="276" w:lineRule="auto"/>
      </w:pPr>
      <w:r>
        <w:rPr>
          <w:rFonts w:ascii="Calibri" w:hAnsi="Calibri"/>
          <w:b/>
          <w:color w:val="1E3A5F"/>
          <w:sz w:val="22"/>
        </w:rPr>
        <w:t>Q: "You have to show that the ARIMA model fits the data — ARIMA can't be used for just anything, you must show the data itself fits it, not assume it."</w:t>
      </w:r>
      <w:r>
        <w:rPr>
          <w:rFonts w:ascii="Calibri" w:hAnsi="Calibri"/>
          <w:color w:val="1E293B"/>
          <w:sz w:val="22"/>
        </w:rPr>
        <w:t xml:space="preserve"> A: Every variable runs through ADF and KPSS stationarity tests before a model is chosen, and the evidence — not just the conclusion — is reported and shown live in the app. → </w:t>
      </w:r>
      <w:r>
        <w:rPr>
          <w:rFonts w:ascii="Calibri" w:hAnsi="Calibri"/>
          <w:i/>
          <w:color w:val="2563EB"/>
          <w:sz w:val="22"/>
        </w:rPr>
        <w:t>Report §3.5, §4.2; app "For the curious" → stationarity evidence line.</w:t>
      </w:r>
    </w:p>
    <w:p>
      <w:pPr>
        <w:pBdr>
          <w:bottom w:val="single" w:sz="8" w:space="4" w:color="2563EB"/>
        </w:pBdr>
        <w:spacing w:before="80" w:after="200"/>
      </w:pPr>
    </w:p>
    <w:p>
      <w:pPr>
        <w:shd w:val="clear" w:fill="EFF6FF"/>
        <w:spacing w:before="280" w:after="160"/>
      </w:pPr>
      <w:r>
        <w:rPr>
          <w:rFonts w:ascii="Calibri" w:hAnsi="Calibri"/>
          <w:b/>
          <w:color w:val="1E3A5F"/>
          <w:sz w:val="32"/>
        </w:rPr>
        <w:t>What was added on 2026-08-13 (two rounds of critical review)</w:t>
      </w:r>
    </w:p>
    <w:p>
      <w:pPr>
        <w:spacing w:after="160" w:line="276" w:lineRule="auto"/>
      </w:pPr>
      <w:r>
        <w:rPr>
          <w:rFonts w:ascii="Calibri" w:hAnsi="Calibri"/>
          <w:color w:val="1E293B"/>
          <w:sz w:val="22"/>
        </w:rPr>
        <w:t xml:space="preserve">After the pivot above, the thesis text was put through </w:t>
      </w:r>
      <w:r>
        <w:rPr>
          <w:rFonts w:ascii="Calibri" w:hAnsi="Calibri"/>
          <w:b/>
          <w:color w:val="1E3A5F"/>
          <w:sz w:val="22"/>
        </w:rPr>
        <w:t>two independent rounds of critical review</w:t>
      </w:r>
      <w:r>
        <w:rPr>
          <w:rFonts w:ascii="Calibri" w:hAnsi="Calibri"/>
          <w:color w:val="1E293B"/>
          <w:sz w:val="22"/>
        </w:rPr>
        <w:t xml:space="preserve"> (three simulated professor-reviewer agents each round, asked to challenge "why", "how", and "where did this come from" across the whole document, not just skim it). Real, checkable problems came out of both rounds, and each was either fixed directly or deliberately deferred and disclosed — not silently dropped:</w:t>
      </w:r>
    </w:p>
    <w:p>
      <w:pPr>
        <w:spacing w:after="160" w:line="276" w:lineRule="auto"/>
      </w:pPr>
      <w:r>
        <w:rPr>
          <w:rFonts w:ascii="Calibri" w:hAnsi="Calibri"/>
          <w:b/>
          <w:color w:val="1E3A5F"/>
          <w:sz w:val="22"/>
        </w:rPr>
        <w:t>Fixed directly</w:t>
      </w:r>
      <w:r>
        <w:rPr>
          <w:rFonts w:ascii="Calibri" w:hAnsi="Calibri"/>
          <w:color w:val="1E293B"/>
          <w:sz w:val="22"/>
        </w:rPr>
        <w:t xml:space="preserve"> — an arithmetic error in the property-validation summary (text said 13/21 property checks passed; the data said 20/21 — this is now Table 7, after the table-numbering fixes below); a missing "Table 1" caused by an earlier deletion, which had silently shifted every later table number by one; an ARCH-test paragraph that had rainfall and stage's borderline p-values backwards; a Jarque–Bera paragraph that claimed normality was rejected for "every variable" when the data show only rainfall's residuals actually fail that test.</w:t>
      </w:r>
    </w:p>
    <w:p>
      <w:pPr>
        <w:spacing w:after="160" w:line="276" w:lineRule="auto"/>
      </w:pPr>
      <w:r>
        <w:rPr>
          <w:rFonts w:ascii="Calibri" w:hAnsi="Calibri"/>
          <w:b/>
          <w:color w:val="1E3A5F"/>
          <w:sz w:val="22"/>
        </w:rPr>
        <w:t>Resolved with new work, not just edited text</w:t>
      </w:r>
      <w:r>
        <w:rPr>
          <w:rFonts w:ascii="Calibri" w:hAnsi="Calibri"/>
          <w:color w:val="1E293B"/>
          <w:sz w:val="22"/>
        </w:rPr>
        <w:t xml:space="preserve"> — three specific methodological gaps were raised twice, independently, by different reviewer angles, and each got a real supplementary analysis rather than a rewording:</w:t>
      </w:r>
    </w:p>
    <w:p>
      <w:pPr>
        <w:pStyle w:val="ListBullet"/>
        <w:spacing w:after="160" w:line="276" w:lineRule="auto"/>
      </w:pPr>
      <w:r>
        <w:rPr>
          <w:rFonts w:ascii="Calibri" w:hAnsi="Calibri"/>
          <w:i/>
          <w:color w:val="2563EB"/>
          <w:sz w:val="22"/>
        </w:rPr>
        <w:t>"Reservoir/spillway sizing is the motivating application but never once demonstrated with an actual calculation."</w:t>
      </w:r>
      <w:r>
        <w:rPr>
          <w:rFonts w:ascii="Calibri" w:hAnsi="Calibri"/>
          <w:color w:val="1E293B"/>
          <w:sz w:val="22"/>
        </w:rPr>
        <w:t xml:space="preserve"> → A worked design-discharge example now exists: 500 synthetic 30-year discharge traces, pooled annual maxima, empirical return-period discharges read off the pooled distribution (the plotting-position method, Chow, Maidment &amp; Mays 2008) — e.g. a 100-year design discharge of ~376 m³/s, versus a 35-year observed peak of ~110 m³/s. → </w:t>
      </w:r>
      <w:r>
        <w:rPr>
          <w:rFonts w:ascii="Calibri" w:hAnsi="Calibri"/>
          <w:i/>
          <w:color w:val="2563EB"/>
          <w:sz w:val="22"/>
        </w:rPr>
        <w:t>Report §4.6, Table 8; `design_discharge_example.py`.</w:t>
      </w:r>
    </w:p>
    <w:p>
      <w:pPr>
        <w:pStyle w:val="ListBullet"/>
        <w:spacing w:after="160" w:line="276" w:lineRule="auto"/>
      </w:pPr>
      <w:r>
        <w:rPr>
          <w:rFonts w:ascii="Calibri" w:hAnsi="Calibri"/>
          <w:i/>
          <w:color w:val="2563EB"/>
          <w:sz w:val="22"/>
        </w:rPr>
        <w:t>"The framework 'transfers to any basin... demonstrated here directly' — but only one basin was ever tested."</w:t>
      </w:r>
      <w:r>
        <w:rPr>
          <w:rFonts w:ascii="Calibri" w:hAnsi="Calibri"/>
          <w:color w:val="1E293B"/>
          <w:sz w:val="22"/>
        </w:rPr>
        <w:t xml:space="preserve"> → The identical identification-and-estimation procedure was run, unmodified, on two more CAMELS basins from different climate regimes (Great Basin, arid; New England, humid continental/snow-influenced). The honest result: the </w:t>
      </w:r>
      <w:r>
        <w:rPr>
          <w:rFonts w:ascii="Calibri" w:hAnsi="Calibri"/>
          <w:i/>
          <w:color w:val="2563EB"/>
          <w:sz w:val="22"/>
        </w:rPr>
        <w:t>procedure</w:t>
      </w:r>
      <w:r>
        <w:rPr>
          <w:rFonts w:ascii="Calibri" w:hAnsi="Calibri"/>
          <w:color w:val="1E293B"/>
          <w:sz w:val="22"/>
        </w:rPr>
        <w:t xml:space="preserve"> runs cleanly everywhere, but the </w:t>
      </w:r>
      <w:r>
        <w:rPr>
          <w:rFonts w:ascii="Calibri" w:hAnsi="Calibri"/>
          <w:i/>
          <w:color w:val="2563EB"/>
          <w:sz w:val="22"/>
        </w:rPr>
        <w:t>specific findings</w:t>
      </w:r>
      <w:r>
        <w:rPr>
          <w:rFonts w:ascii="Calibri" w:hAnsi="Calibri"/>
          <w:color w:val="1E293B"/>
          <w:sz w:val="22"/>
        </w:rPr>
        <w:t xml:space="preserve"> don't transfer — discharge shows AR(1) persistence at all three basins but fails its residual test at all three, and rainfall's persistence genuinely differs by basin (near-zero at Conecuh, strong at New England). Two of the four new fits also showed real numerical warning signs (boundary-pinned coefficients, near-zero standard errors) — evidence the pipeline's own diagnostics work, not evidence to be swept under the rug. → </w:t>
      </w:r>
      <w:r>
        <w:rPr>
          <w:rFonts w:ascii="Calibri" w:hAnsi="Calibri"/>
          <w:i/>
          <w:color w:val="2563EB"/>
          <w:sz w:val="22"/>
        </w:rPr>
        <w:t>Report §4.8, Table 9, Figure 9; `cross_basin_check.py`, `cross_basin_figure.py`.</w:t>
      </w:r>
    </w:p>
    <w:p>
      <w:pPr>
        <w:pStyle w:val="ListBullet"/>
        <w:spacing w:after="160" w:line="276" w:lineRule="auto"/>
      </w:pPr>
      <w:r>
        <w:rPr>
          <w:rFonts w:ascii="Calibri" w:hAnsi="Calibri"/>
          <w:i/>
          <w:color w:val="2563EB"/>
          <w:sz w:val="22"/>
        </w:rPr>
        <w:t>"Discharge and stage are hydraulically linked (stage is discharge through a rating curve) — that weakens the 'three independent variable types' claim."</w:t>
      </w:r>
      <w:r>
        <w:rPr>
          <w:rFonts w:ascii="Calibri" w:hAnsi="Calibri"/>
          <w:color w:val="1E293B"/>
          <w:sz w:val="22"/>
        </w:rPr>
        <w:t xml:space="preserve"> → The report now states this caveat directly next to the independence claim instead of leaving it implicit. → </w:t>
      </w:r>
      <w:r>
        <w:rPr>
          <w:rFonts w:ascii="Calibri" w:hAnsi="Calibri"/>
          <w:i/>
          <w:color w:val="2563EB"/>
          <w:sz w:val="22"/>
        </w:rPr>
        <w:t>Report §3.2.</w:t>
      </w:r>
    </w:p>
    <w:p>
      <w:pPr>
        <w:spacing w:after="160" w:line="276" w:lineRule="auto"/>
      </w:pPr>
      <w:r>
        <w:rPr>
          <w:rFonts w:ascii="Calibri" w:hAnsi="Calibri"/>
          <w:b/>
          <w:color w:val="1E3A5F"/>
          <w:sz w:val="22"/>
        </w:rPr>
        <w:t>Deliberately declined, not fixed</w:t>
      </w:r>
      <w:r>
        <w:rPr>
          <w:rFonts w:ascii="Calibri" w:hAnsi="Calibri"/>
          <w:color w:val="1E293B"/>
          <w:sz w:val="22"/>
        </w:rPr>
        <w:t xml:space="preserve"> — the same review rounds asked, point-blank, whether to (1) make the persistence skill score the headline metric, (2) reintroduce an explicit Duan/log-normal bias-correction step, and (3) claim the method "transfers to any basin... demonstrated here directly" without qualification. All three were </w:t>
      </w:r>
      <w:r>
        <w:rPr>
          <w:rFonts w:ascii="Calibri" w:hAnsi="Calibri"/>
          <w:b/>
          <w:color w:val="1E3A5F"/>
          <w:sz w:val="22"/>
        </w:rPr>
        <w:t>declined</w:t>
      </w:r>
      <w:r>
        <w:rPr>
          <w:rFonts w:ascii="Calibri" w:hAnsi="Calibri"/>
          <w:color w:val="1E293B"/>
          <w:sz w:val="22"/>
        </w:rPr>
        <w:t>: the first two would have reintroduced exactly the point-forecast machinery the 2026-08-12 pivot deliberately moved away from (the stochastic ensemble already handles log-normal bias by Monte Carlo integration, and property-based validation is the correct standard for a stochastic model, not a repackaged point-forecast score); the third would have been an overclaim the one-basin study didn't support — which is exactly what the new §4.8 supplementary check above replaces it with, honestly.</w:t>
      </w:r>
    </w:p>
    <w:p>
      <w:pPr>
        <w:spacing w:after="160" w:line="276" w:lineRule="auto"/>
      </w:pPr>
      <w:r>
        <w:rPr>
          <w:rFonts w:ascii="Calibri" w:hAnsi="Calibri"/>
          <w:b/>
          <w:color w:val="1E3A5F"/>
          <w:sz w:val="22"/>
        </w:rPr>
        <w:t>App and screenshots refreshed to match.</w:t>
      </w:r>
      <w:r>
        <w:rPr>
          <w:rFonts w:ascii="Calibri" w:hAnsi="Calibri"/>
          <w:color w:val="1E293B"/>
          <w:sz w:val="22"/>
        </w:rPr>
        <w:t xml:space="preserve"> The Streamlit app's forecast controls were rebuilt around explicit "predict from [month/year] to [month/year]" fields with range presets, replacing an earlier "horizon from today" framing that couldn't express an arbitrary future window; a rendering bug that left the controls panel an empty bordered box was fixed; and a colour/shadow pass was applied for a more finished look. The two app screenshots in Chapter 3 (Figures 3 and 4) were retaken from the current app to match.</w:t>
      </w:r>
    </w:p>
    <w:p>
      <w:pPr>
        <w:pBdr>
          <w:bottom w:val="single" w:sz="8" w:space="4" w:color="2563EB"/>
        </w:pBdr>
        <w:spacing w:before="80" w:after="200"/>
      </w:pPr>
    </w:p>
    <w:p>
      <w:pPr>
        <w:shd w:val="clear" w:fill="EFF6FF"/>
        <w:spacing w:before="280" w:after="160"/>
      </w:pPr>
      <w:r>
        <w:rPr>
          <w:rFonts w:ascii="Calibri" w:hAnsi="Calibri"/>
          <w:b/>
          <w:color w:val="1E3A5F"/>
          <w:sz w:val="32"/>
        </w:rPr>
        <w:t>Questions to expect, and where the answer lives</w:t>
      </w:r>
    </w:p>
    <w:p>
      <w:pPr>
        <w:spacing w:after="160" w:line="276" w:lineRule="auto"/>
      </w:pPr>
      <w:r>
        <w:rPr>
          <w:rFonts w:ascii="Calibri" w:hAnsi="Calibri"/>
          <w:color w:val="1E293B"/>
          <w:sz w:val="22"/>
        </w:rPr>
        <w:t>Every question below is one the supervisor has actually asked, in the defence session that drove this rewrite. Full detail (with page/section numbers) is in the PDF; this is the fast-reference version.</w:t>
      </w:r>
    </w:p>
    <w:p>
      <w:pPr>
        <w:spacing w:after="160" w:line="276" w:lineRule="auto"/>
      </w:pPr>
      <w:r>
        <w:rPr>
          <w:rFonts w:ascii="Calibri" w:hAnsi="Calibri"/>
          <w:b/>
          <w:color w:val="1E3A5F"/>
          <w:sz w:val="22"/>
        </w:rPr>
        <w:t>On the choice of model</w:t>
      </w:r>
    </w:p>
    <w:p>
      <w:pPr>
        <w:pStyle w:val="ListBullet"/>
        <w:spacing w:after="160" w:line="276" w:lineRule="auto"/>
      </w:pPr>
      <w:r>
        <w:rPr>
          <w:rFonts w:ascii="Calibri" w:hAnsi="Calibri"/>
          <w:b/>
          <w:color w:val="1E3A5F"/>
          <w:sz w:val="22"/>
        </w:rPr>
        <w:t>"Why ARIMA, not AR alone, MA alone, ARMA, or ARIMAX?"</w:t>
      </w:r>
      <w:r>
        <w:rPr>
          <w:rFonts w:ascii="Calibri" w:hAnsi="Calibri"/>
          <w:color w:val="1E293B"/>
          <w:sz w:val="22"/>
        </w:rPr>
        <w:t xml:space="preserve"> AR alone assumes only past values matter; MA alone assumes only past shocks matter; ARMA combines both but needs stationary data; ARIMA adds differencing for non-stationary data; ARIMAX adds an outside variable. Order selection tests AR-only, MA-only, and mixed forms for every variable and keeps whichever fits best by AIC — the data picks, not us. ARIMAX was ruled out on purpose: each variable is forecast from its own past only, so there's no outside variable to add. → </w:t>
      </w:r>
      <w:r>
        <w:rPr>
          <w:rFonts w:ascii="Calibri" w:hAnsi="Calibri"/>
          <w:i/>
          <w:color w:val="2563EB"/>
          <w:sz w:val="22"/>
        </w:rPr>
        <w:t>Report Ch.2 §2.4; app "For the curious" shows each variable's actual (p,d,q).</w:t>
      </w:r>
    </w:p>
    <w:p>
      <w:pPr>
        <w:pStyle w:val="ListBullet"/>
        <w:spacing w:after="160" w:line="276" w:lineRule="auto"/>
      </w:pPr>
      <w:r>
        <w:rPr>
          <w:rFonts w:ascii="Calibri" w:hAnsi="Calibri"/>
          <w:b/>
          <w:color w:val="1E3A5F"/>
          <w:sz w:val="22"/>
        </w:rPr>
        <w:t>"Shouldn't the model work on rainfall too, not just discharge?"</w:t>
      </w:r>
      <w:r>
        <w:rPr>
          <w:rFonts w:ascii="Calibri" w:hAnsi="Calibri"/>
          <w:color w:val="1E293B"/>
          <w:sz w:val="22"/>
        </w:rPr>
        <w:t xml:space="preserve"> It does — same code, unmodified, independently fits discharge, rainfall, and stage. → </w:t>
      </w:r>
      <w:r>
        <w:rPr>
          <w:rFonts w:ascii="Calibri" w:hAnsi="Calibri"/>
          <w:i/>
          <w:color w:val="2563EB"/>
          <w:sz w:val="22"/>
        </w:rPr>
        <w:t>App: switch tabs between the three variables. Report Ch.2 §2.4, Ch.3 §3.2.</w:t>
      </w:r>
    </w:p>
    <w:p>
      <w:pPr>
        <w:spacing w:after="160" w:line="276" w:lineRule="auto"/>
      </w:pPr>
      <w:r>
        <w:rPr>
          <w:rFonts w:ascii="Calibri" w:hAnsi="Calibri"/>
          <w:b/>
          <w:color w:val="1E3A5F"/>
          <w:sz w:val="22"/>
        </w:rPr>
        <w:t>On daily vs. monthly</w:t>
      </w:r>
    </w:p>
    <w:p>
      <w:pPr>
        <w:pStyle w:val="ListBullet"/>
        <w:spacing w:after="160" w:line="276" w:lineRule="auto"/>
      </w:pPr>
      <w:r>
        <w:rPr>
          <w:rFonts w:ascii="Calibri" w:hAnsi="Calibri"/>
          <w:b/>
          <w:color w:val="1E3A5F"/>
          <w:sz w:val="22"/>
        </w:rPr>
        <w:t>"Why daily data with ARIMA?"</w:t>
      </w:r>
      <w:r>
        <w:rPr>
          <w:rFonts w:ascii="Calibri" w:hAnsi="Calibri"/>
          <w:color w:val="1E293B"/>
          <w:sz w:val="22"/>
        </w:rPr>
        <w:t xml:space="preserve"> We're not using daily anymore. Differencing only does real work — removing seasonal drift — at a monthly timestep. → </w:t>
      </w:r>
      <w:r>
        <w:rPr>
          <w:rFonts w:ascii="Calibri" w:hAnsi="Calibri"/>
          <w:i/>
          <w:color w:val="2563EB"/>
          <w:sz w:val="22"/>
        </w:rPr>
        <w:t>App left rail; Report Ch.1 §1.5, Ch.3 §3.1.</w:t>
      </w:r>
    </w:p>
    <w:p>
      <w:pPr>
        <w:spacing w:after="160" w:line="276" w:lineRule="auto"/>
      </w:pPr>
      <w:r>
        <w:rPr>
          <w:rFonts w:ascii="Calibri" w:hAnsi="Calibri"/>
          <w:b/>
          <w:color w:val="1E3A5F"/>
          <w:sz w:val="22"/>
        </w:rPr>
        <w:t>On parameter estimation (asked the most, and the most pointed)</w:t>
      </w:r>
    </w:p>
    <w:p>
      <w:pPr>
        <w:pStyle w:val="ListBullet"/>
        <w:spacing w:after="160" w:line="276" w:lineRule="auto"/>
      </w:pPr>
      <w:r>
        <w:rPr>
          <w:rFonts w:ascii="Calibri" w:hAnsi="Calibri"/>
          <w:b/>
          <w:color w:val="1E3A5F"/>
          <w:sz w:val="22"/>
        </w:rPr>
        <w:t>"How do you estimate the parameters? p,d,q aren't the parameters."</w:t>
      </w:r>
      <w:r>
        <w:rPr>
          <w:rFonts w:ascii="Calibri" w:hAnsi="Calibri"/>
          <w:color w:val="1E293B"/>
          <w:sz w:val="22"/>
        </w:rPr>
        <w:t xml:space="preserve"> Correct — p,d,q are the </w:t>
      </w:r>
      <w:r>
        <w:rPr>
          <w:rFonts w:ascii="Calibri" w:hAnsi="Calibri"/>
          <w:i/>
          <w:color w:val="2563EB"/>
          <w:sz w:val="22"/>
        </w:rPr>
        <w:t>order</w:t>
      </w:r>
      <w:r>
        <w:rPr>
          <w:rFonts w:ascii="Calibri" w:hAnsi="Calibri"/>
          <w:color w:val="1E293B"/>
          <w:sz w:val="22"/>
        </w:rPr>
        <w:t xml:space="preserve"> (structure), chosen by AIC. The actual parameters are the phi (AR) and theta (MA) coefficients, estimated by conditional sum of squares, each with a standard error. → </w:t>
      </w:r>
      <w:r>
        <w:rPr>
          <w:rFonts w:ascii="Calibri" w:hAnsi="Calibri"/>
          <w:i/>
          <w:color w:val="2563EB"/>
          <w:sz w:val="22"/>
        </w:rPr>
        <w:t>App "For the curious" → coefficient table per variable. Report Ch.3 §3.5, Ch.4 §4.4 (Table 5, Fig.5).</w:t>
      </w:r>
    </w:p>
    <w:p>
      <w:pPr>
        <w:pStyle w:val="ListBullet"/>
        <w:spacing w:after="160" w:line="276" w:lineRule="auto"/>
      </w:pPr>
      <w:r>
        <w:rPr>
          <w:rFonts w:ascii="Calibri" w:hAnsi="Calibri"/>
          <w:b/>
          <w:color w:val="1E3A5F"/>
          <w:sz w:val="22"/>
        </w:rPr>
        <w:t>"You must show the data fits ARIMA, not assume it."</w:t>
      </w:r>
      <w:r>
        <w:rPr>
          <w:rFonts w:ascii="Calibri" w:hAnsi="Calibri"/>
          <w:color w:val="1E293B"/>
          <w:sz w:val="22"/>
        </w:rPr>
        <w:t xml:space="preserve"> Each variable runs through ADF and KPSS stationarity tests before a model is picked, and the result is shown, not just the conclusion. → </w:t>
      </w:r>
      <w:r>
        <w:rPr>
          <w:rFonts w:ascii="Calibri" w:hAnsi="Calibri"/>
          <w:i/>
          <w:color w:val="2563EB"/>
          <w:sz w:val="22"/>
        </w:rPr>
        <w:t>App "For the curious" → stationarity evidence line. Report Ch.3 §3.5, Ch.4 §4.2.</w:t>
      </w:r>
    </w:p>
    <w:p>
      <w:pPr>
        <w:spacing w:after="160" w:line="276" w:lineRule="auto"/>
      </w:pPr>
      <w:r>
        <w:rPr>
          <w:rFonts w:ascii="Calibri" w:hAnsi="Calibri"/>
          <w:b/>
          <w:color w:val="1E3A5F"/>
          <w:sz w:val="22"/>
        </w:rPr>
        <w:t>On whether it can even forecast</w:t>
      </w:r>
    </w:p>
    <w:p>
      <w:pPr>
        <w:pStyle w:val="ListBullet"/>
        <w:spacing w:after="160" w:line="276" w:lineRule="auto"/>
      </w:pPr>
      <w:r>
        <w:rPr>
          <w:rFonts w:ascii="Calibri" w:hAnsi="Calibri"/>
          <w:b/>
          <w:color w:val="1E3A5F"/>
          <w:sz w:val="22"/>
        </w:rPr>
        <w:t>"Can it forecast? Why only 7 days?"</w:t>
      </w:r>
      <w:r>
        <w:rPr>
          <w:rFonts w:ascii="Calibri" w:hAnsi="Calibri"/>
          <w:color w:val="1E293B"/>
          <w:sz w:val="22"/>
        </w:rPr>
        <w:t xml:space="preserve"> That cap is gone — leftover default, not a real limit. The app now takes an explicit "predict from [month/year] to [month/year]" range, not a horizon length off a fixed anchor, so it can target any future window (2030–2035, 2050–2060, whatever is asked for) rather than a capped number of days or years ahead. → </w:t>
      </w:r>
      <w:r>
        <w:rPr>
          <w:rFonts w:ascii="Calibri" w:hAnsi="Calibri"/>
          <w:i/>
          <w:color w:val="2563EB"/>
          <w:sz w:val="22"/>
        </w:rPr>
        <w:t>App "Predict from / to" controls.</w:t>
      </w:r>
    </w:p>
    <w:p>
      <w:pPr>
        <w:spacing w:after="160" w:line="276" w:lineRule="auto"/>
      </w:pPr>
      <w:r>
        <w:rPr>
          <w:rFonts w:ascii="Calibri" w:hAnsi="Calibri"/>
          <w:b/>
          <w:color w:val="1E3A5F"/>
          <w:sz w:val="22"/>
        </w:rPr>
        <w:t>On checking correctness</w:t>
      </w:r>
    </w:p>
    <w:p>
      <w:pPr>
        <w:pStyle w:val="ListBullet"/>
        <w:spacing w:after="160" w:line="276" w:lineRule="auto"/>
      </w:pPr>
      <w:r>
        <w:rPr>
          <w:rFonts w:ascii="Calibri" w:hAnsi="Calibri"/>
          <w:b/>
          <w:color w:val="1E3A5F"/>
          <w:sz w:val="22"/>
        </w:rPr>
        <w:t>"Your data stops at 2014 — how do you know 2015 is correct? How do you check?"</w:t>
      </w:r>
      <w:r>
        <w:rPr>
          <w:rFonts w:ascii="Calibri" w:hAnsi="Calibri"/>
          <w:color w:val="1E293B"/>
          <w:sz w:val="22"/>
        </w:rPr>
        <w:t xml:space="preserve"> You can't check one stochastic forecast against one real sequence — each run differs. What's checkable is whether history's </w:t>
      </w:r>
      <w:r>
        <w:rPr>
          <w:rFonts w:ascii="Calibri" w:hAnsi="Calibri"/>
          <w:i/>
          <w:color w:val="2563EB"/>
          <w:sz w:val="22"/>
        </w:rPr>
        <w:t>properties</w:t>
      </w:r>
      <w:r>
        <w:rPr>
          <w:rFonts w:ascii="Calibri" w:hAnsi="Calibri"/>
          <w:color w:val="1E293B"/>
          <w:sz w:val="22"/>
        </w:rPr>
        <w:t xml:space="preserve"> (mean, variability, seasonality, drought length, peak size) fall inside the range 1,000 simulated versions produce. → </w:t>
      </w:r>
      <w:r>
        <w:rPr>
          <w:rFonts w:ascii="Calibri" w:hAnsi="Calibri"/>
          <w:i/>
          <w:color w:val="2563EB"/>
          <w:sz w:val="22"/>
        </w:rPr>
        <w:t>App: the shaded band + "track record" score on every card. Report Ch.3 §3.6, Ch.4 §4.6.</w:t>
      </w:r>
    </w:p>
    <w:p>
      <w:pPr>
        <w:pStyle w:val="ListBullet"/>
        <w:spacing w:after="160" w:line="276" w:lineRule="auto"/>
      </w:pPr>
      <w:r>
        <w:rPr>
          <w:rFonts w:ascii="Calibri" w:hAnsi="Calibri"/>
          <w:b/>
          <w:color w:val="1E3A5F"/>
          <w:sz w:val="22"/>
        </w:rPr>
        <w:t>"Stochastic forecasts — you can only compare properties, not the forecast itself."</w:t>
      </w:r>
      <w:r>
        <w:rPr>
          <w:rFonts w:ascii="Calibri" w:hAnsi="Calibri"/>
          <w:color w:val="1E293B"/>
          <w:sz w:val="22"/>
        </w:rPr>
        <w:t xml:space="preserve"> Yes, exactly — that's the whole 2026-08-12 rebuild in one sentence.</w:t>
      </w:r>
    </w:p>
    <w:p>
      <w:pPr>
        <w:pStyle w:val="ListBullet"/>
        <w:spacing w:after="160" w:line="276" w:lineRule="auto"/>
      </w:pPr>
      <w:r>
        <w:rPr>
          <w:rFonts w:ascii="Calibri" w:hAnsi="Calibri"/>
          <w:b/>
          <w:color w:val="1E3A5F"/>
          <w:sz w:val="22"/>
        </w:rPr>
        <w:t>"Is 35 years 'not enough', or daily data 'too much'?"</w:t>
      </w:r>
      <w:r>
        <w:rPr>
          <w:rFonts w:ascii="Calibri" w:hAnsi="Calibri"/>
          <w:color w:val="1E293B"/>
          <w:sz w:val="22"/>
        </w:rPr>
        <w:t xml:space="preserve"> Neither is the point — forecasting exists because the future is never in hand, regardless of how much history you have. → </w:t>
      </w:r>
      <w:r>
        <w:rPr>
          <w:rFonts w:ascii="Calibri" w:hAnsi="Calibri"/>
          <w:i/>
          <w:color w:val="2563EB"/>
          <w:sz w:val="22"/>
        </w:rPr>
        <w:t>Report Ch.2 (Matalas 1967, stochastic hydrology).</w:t>
      </w:r>
    </w:p>
    <w:p>
      <w:pPr>
        <w:spacing w:after="160" w:line="276" w:lineRule="auto"/>
      </w:pPr>
      <w:r>
        <w:rPr>
          <w:rFonts w:ascii="Calibri" w:hAnsi="Calibri"/>
          <w:b/>
          <w:color w:val="1E3A5F"/>
          <w:sz w:val="22"/>
        </w:rPr>
        <w:t>On the study basin</w:t>
      </w:r>
    </w:p>
    <w:p>
      <w:pPr>
        <w:pStyle w:val="ListBullet"/>
        <w:spacing w:after="160" w:line="276" w:lineRule="auto"/>
      </w:pPr>
      <w:r>
        <w:rPr>
          <w:rFonts w:ascii="Calibri" w:hAnsi="Calibri"/>
          <w:b/>
          <w:color w:val="1E3A5F"/>
          <w:sz w:val="22"/>
        </w:rPr>
        <w:t>"Why a US river? That's a standard panel question."</w:t>
      </w:r>
      <w:r>
        <w:rPr>
          <w:rFonts w:ascii="Calibri" w:hAnsi="Calibri"/>
          <w:color w:val="1E293B"/>
          <w:sz w:val="22"/>
        </w:rPr>
        <w:t xml:space="preserve"> The Nigerian custodian (NIHSA) was checked directly, not skipped — see below for the specific numbers. Short version: it couldn't give a firm price or delivery date inside the project timeline, so the pipeline was built on the Conecuh record, already in hand and verified. The Nigerian request stayed open as a possible future swap — this is a disclosed trade-off, not a hidden one. → </w:t>
      </w:r>
      <w:r>
        <w:rPr>
          <w:rFonts w:ascii="Calibri" w:hAnsi="Calibri"/>
          <w:i/>
          <w:color w:val="2563EB"/>
          <w:sz w:val="22"/>
        </w:rPr>
        <w:t>Report Ch.1 §1.5.</w:t>
      </w:r>
    </w:p>
    <w:p>
      <w:pPr>
        <w:spacing w:before="200" w:after="80"/>
      </w:pPr>
      <w:r>
        <w:rPr>
          <w:rFonts w:ascii="Calibri" w:hAnsi="Calibri"/>
          <w:b/>
          <w:color w:val="2563EB"/>
          <w:sz w:val="25"/>
        </w:rPr>
        <w:t>Why Conecuh, specifically — the Nigerian data attempt</w:t>
      </w:r>
    </w:p>
    <w:p>
      <w:pPr>
        <w:spacing w:after="160" w:line="276" w:lineRule="auto"/>
      </w:pPr>
      <w:r>
        <w:rPr>
          <w:rFonts w:ascii="Calibri" w:hAnsi="Calibri"/>
          <w:color w:val="1E293B"/>
          <w:sz w:val="22"/>
        </w:rPr>
        <w:t>NIHSA (Nigeria Hydrological Services Agency) has a real online request form (</w:t>
      </w:r>
      <w:r>
        <w:rPr>
          <w:rFonts w:ascii="Consolas" w:hAnsi="Consolas"/>
          <w:color w:val="B42828"/>
          <w:sz w:val="22"/>
        </w:rPr>
        <w:t>nihsa.gov.ng/data-request</w:t>
      </w:r>
      <w:r>
        <w:rPr>
          <w:rFonts w:ascii="Calibri" w:hAnsi="Calibri"/>
          <w:color w:val="1E293B"/>
          <w:sz w:val="22"/>
        </w:rPr>
        <w:t xml:space="preserve">) stating </w:t>
      </w:r>
      <w:r>
        <w:rPr>
          <w:rFonts w:ascii="Calibri" w:hAnsi="Calibri"/>
          <w:b/>
          <w:color w:val="1E3A5F"/>
          <w:sz w:val="22"/>
        </w:rPr>
        <w:t>5–7 working days</w:t>
      </w:r>
      <w:r>
        <w:rPr>
          <w:rFonts w:ascii="Calibri" w:hAnsi="Calibri"/>
          <w:color w:val="1E293B"/>
          <w:sz w:val="22"/>
        </w:rPr>
        <w:t xml:space="preserve"> turnaround for straightforward requests, but the request is </w:t>
      </w:r>
      <w:r>
        <w:rPr>
          <w:rFonts w:ascii="Calibri" w:hAnsi="Calibri"/>
          <w:b/>
          <w:color w:val="1E3A5F"/>
          <w:sz w:val="22"/>
        </w:rPr>
        <w:t>not free</w:t>
      </w:r>
      <w:r>
        <w:rPr>
          <w:rFonts w:ascii="Calibri" w:hAnsi="Calibri"/>
          <w:color w:val="1E293B"/>
          <w:sz w:val="22"/>
        </w:rPr>
        <w:t xml:space="preserve"> — cost is assessed per request and only communicated after NIHSA reviews it, so neither a firm price nor a true delivery date could be known in advance, inside a project deadline. CAMELS, by contrast, already provides free, ready-to-use monthly data for hundreds of US basins — which is exactly what made it possible to test transferability on two more basins (the cross-basin check, Report §4.8) at zero cost and no wait. The method itself doesn't care which country supplied the numbers: it's the same ARIMA procedure applied to whatever series is in front of it, so if the Nigerian data comes through, it would run on a Nigerian basin exactly as it already runs on Conecuh and the two supplementary US basins. See </w:t>
      </w:r>
      <w:r>
        <w:rPr>
          <w:rFonts w:ascii="Consolas" w:hAnsi="Consolas"/>
          <w:color w:val="B42828"/>
          <w:sz w:val="22"/>
        </w:rPr>
        <w:t>DATA_OPTIONS.md</w:t>
      </w:r>
      <w:r>
        <w:rPr>
          <w:rFonts w:ascii="Calibri" w:hAnsi="Calibri"/>
          <w:color w:val="1E293B"/>
          <w:sz w:val="22"/>
        </w:rPr>
        <w:t xml:space="preserve"> for the full investigation.</w:t>
      </w:r>
    </w:p>
    <w:p>
      <w:pPr>
        <w:spacing w:after="160" w:line="276" w:lineRule="auto"/>
      </w:pPr>
      <w:r>
        <w:rPr>
          <w:rFonts w:ascii="Calibri" w:hAnsi="Calibri"/>
          <w:b/>
          <w:color w:val="1E3A5F"/>
          <w:sz w:val="22"/>
        </w:rPr>
        <w:t>On generalisation and design use (added after the 2026-08-13 review rounds)</w:t>
      </w:r>
    </w:p>
    <w:p>
      <w:pPr>
        <w:pStyle w:val="ListBullet"/>
        <w:spacing w:after="160" w:line="276" w:lineRule="auto"/>
      </w:pPr>
      <w:r>
        <w:rPr>
          <w:rFonts w:ascii="Calibri" w:hAnsi="Calibri"/>
          <w:b/>
          <w:color w:val="1E3A5F"/>
          <w:sz w:val="22"/>
        </w:rPr>
        <w:t>"Does this actually transfer to other basins, or just this one?"</w:t>
      </w:r>
      <w:r>
        <w:rPr>
          <w:rFonts w:ascii="Calibri" w:hAnsi="Calibri"/>
          <w:color w:val="1E293B"/>
          <w:sz w:val="22"/>
        </w:rPr>
        <w:t xml:space="preserve"> The identical procedure was run, unmodified, on two more CAMELS basins in different climate regimes. It runs cleanly everywhere; the </w:t>
      </w:r>
      <w:r>
        <w:rPr>
          <w:rFonts w:ascii="Calibri" w:hAnsi="Calibri"/>
          <w:i/>
          <w:color w:val="2563EB"/>
          <w:sz w:val="22"/>
        </w:rPr>
        <w:t>specific</w:t>
      </w:r>
      <w:r>
        <w:rPr>
          <w:rFonts w:ascii="Calibri" w:hAnsi="Calibri"/>
          <w:color w:val="1E293B"/>
          <w:sz w:val="22"/>
        </w:rPr>
        <w:t xml:space="preserve"> findings (which order fits, whether residuals pass) don't automatically carry over — reported honestly, not oversold. → </w:t>
      </w:r>
      <w:r>
        <w:rPr>
          <w:rFonts w:ascii="Calibri" w:hAnsi="Calibri"/>
          <w:i/>
          <w:color w:val="2563EB"/>
          <w:sz w:val="22"/>
        </w:rPr>
        <w:t>Report §4.8, Table 9, Figure 9.</w:t>
      </w:r>
    </w:p>
    <w:p>
      <w:pPr>
        <w:pStyle w:val="ListBullet"/>
        <w:spacing w:after="160" w:line="276" w:lineRule="auto"/>
      </w:pPr>
      <w:r>
        <w:rPr>
          <w:rFonts w:ascii="Calibri" w:hAnsi="Calibri"/>
          <w:b/>
          <w:color w:val="1E3A5F"/>
          <w:sz w:val="22"/>
        </w:rPr>
        <w:t>"You keep saying this is for reservoir/spillway design — show me a number."</w:t>
      </w:r>
      <w:r>
        <w:rPr>
          <w:rFonts w:ascii="Calibri" w:hAnsi="Calibri"/>
          <w:color w:val="1E293B"/>
          <w:sz w:val="22"/>
        </w:rPr>
        <w:t xml:space="preserve"> A worked example now exists: pooled synthetic annual maxima across 500 thirty-year traces give return-period design discharges by the standard plotting-position method (100-year ≈ 376 m³/s). → </w:t>
      </w:r>
      <w:r>
        <w:rPr>
          <w:rFonts w:ascii="Calibri" w:hAnsi="Calibri"/>
          <w:i/>
          <w:color w:val="2563EB"/>
          <w:sz w:val="22"/>
        </w:rPr>
        <w:t>Report §4.6, Table 8.</w:t>
      </w:r>
    </w:p>
    <w:p>
      <w:pPr>
        <w:pStyle w:val="ListBullet"/>
        <w:spacing w:after="160" w:line="276" w:lineRule="auto"/>
      </w:pPr>
      <w:r>
        <w:rPr>
          <w:rFonts w:ascii="Calibri" w:hAnsi="Calibri"/>
          <w:b/>
          <w:color w:val="1E3A5F"/>
          <w:sz w:val="22"/>
        </w:rPr>
        <w:t>"Discharge and stage aren't really independent, are they?"</w:t>
      </w:r>
      <w:r>
        <w:rPr>
          <w:rFonts w:ascii="Calibri" w:hAnsi="Calibri"/>
          <w:color w:val="1E293B"/>
          <w:sz w:val="22"/>
        </w:rPr>
        <w:t xml:space="preserve"> Correct, and now stated directly — they're linked by the site's rating curve, which is a real limitation on the "three independent variable types" framing, not something to gloss over. → </w:t>
      </w:r>
      <w:r>
        <w:rPr>
          <w:rFonts w:ascii="Calibri" w:hAnsi="Calibri"/>
          <w:i/>
          <w:color w:val="2563EB"/>
          <w:sz w:val="22"/>
        </w:rPr>
        <w:t>Report §3.2.</w:t>
      </w:r>
    </w:p>
    <w:p>
      <w:pPr>
        <w:pBdr>
          <w:bottom w:val="single" w:sz="8" w:space="4" w:color="2563EB"/>
        </w:pBdr>
        <w:spacing w:before="80" w:after="200"/>
      </w:pPr>
    </w:p>
    <w:p>
      <w:pPr>
        <w:shd w:val="clear" w:fill="EFF6FF"/>
        <w:spacing w:before="280" w:after="160"/>
      </w:pPr>
      <w:r>
        <w:rPr>
          <w:rFonts w:ascii="Calibri" w:hAnsi="Calibri"/>
          <w:b/>
          <w:color w:val="1E3A5F"/>
          <w:sz w:val="32"/>
        </w:rPr>
        <w:t>How it works (the science, simply)</w:t>
      </w:r>
    </w:p>
    <w:p>
      <w:pPr>
        <w:spacing w:after="160" w:line="276" w:lineRule="auto"/>
      </w:pPr>
      <w:r>
        <w:rPr>
          <w:rFonts w:ascii="Calibri" w:hAnsi="Calibri"/>
          <w:color w:val="1E293B"/>
          <w:sz w:val="22"/>
        </w:rPr>
        <w:t xml:space="preserve">Each of the three variables — discharge, rainfall, stage — gets its own </w:t>
      </w:r>
      <w:r>
        <w:rPr>
          <w:rFonts w:ascii="Calibri" w:hAnsi="Calibri"/>
          <w:b/>
          <w:color w:val="1E3A5F"/>
          <w:sz w:val="22"/>
        </w:rPr>
        <w:t>independent ARIMA (Box–Jenkins) model</w:t>
      </w:r>
      <w:r>
        <w:rPr>
          <w:rFonts w:ascii="Calibri" w:hAnsi="Calibri"/>
          <w:color w:val="1E293B"/>
          <w:sz w:val="22"/>
        </w:rPr>
        <w:t>, fitted the same way:</w:t>
      </w:r>
    </w:p>
    <w:p>
      <w:pPr>
        <w:spacing w:after="160" w:line="276" w:lineRule="auto"/>
      </w:pPr>
      <w:r>
        <w:rPr>
          <w:rFonts w:ascii="Calibri" w:hAnsi="Calibri"/>
          <w:color w:val="1E293B"/>
          <w:sz w:val="22"/>
        </w:rPr>
        <w:t xml:space="preserve">1. </w:t>
      </w:r>
      <w:r>
        <w:rPr>
          <w:rFonts w:ascii="Calibri" w:hAnsi="Calibri"/>
          <w:b/>
          <w:color w:val="1E3A5F"/>
          <w:sz w:val="22"/>
        </w:rPr>
        <w:t>Stationarity tests</w:t>
      </w:r>
      <w:r>
        <w:rPr>
          <w:rFonts w:ascii="Calibri" w:hAnsi="Calibri"/>
          <w:color w:val="1E293B"/>
          <w:sz w:val="22"/>
        </w:rPr>
        <w:t xml:space="preserve"> (ADF + KPSS) decide how much to </w:t>
      </w:r>
      <w:r>
        <w:rPr>
          <w:rFonts w:ascii="Calibri" w:hAnsi="Calibri"/>
          <w:i/>
          <w:color w:val="2563EB"/>
          <w:sz w:val="22"/>
        </w:rPr>
        <w:t>difference</w:t>
      </w:r>
      <w:r>
        <w:rPr>
          <w:rFonts w:ascii="Calibri" w:hAnsi="Calibri"/>
          <w:color w:val="1E293B"/>
          <w:sz w:val="22"/>
        </w:rPr>
        <w:t xml:space="preserve"> the series → </w:t>
      </w:r>
      <w:r>
        <w:rPr>
          <w:rFonts w:ascii="Consolas" w:hAnsi="Consolas"/>
          <w:color w:val="B42828"/>
          <w:sz w:val="22"/>
        </w:rPr>
        <w:t>d</w:t>
      </w:r>
      <w:r>
        <w:rPr>
          <w:rFonts w:ascii="Calibri" w:hAnsi="Calibri"/>
          <w:color w:val="1E293B"/>
          <w:sz w:val="22"/>
        </w:rPr>
        <w:t xml:space="preserve">. For this basin, at the monthly timestep, all three variables came back </w:t>
      </w:r>
      <w:r>
        <w:rPr>
          <w:rFonts w:ascii="Consolas" w:hAnsi="Consolas"/>
          <w:color w:val="B42828"/>
          <w:sz w:val="22"/>
        </w:rPr>
        <w:t>d = 0</w:t>
      </w:r>
      <w:r>
        <w:rPr>
          <w:rFonts w:ascii="Calibri" w:hAnsi="Calibri"/>
          <w:color w:val="1E293B"/>
          <w:sz w:val="22"/>
        </w:rPr>
        <w:t xml:space="preserve"> — the data itself said no differencing was needed, which the pipeline reports honestly rather than forcing. 2. </w:t>
      </w:r>
      <w:r>
        <w:rPr>
          <w:rFonts w:ascii="Calibri" w:hAnsi="Calibri"/>
          <w:b/>
          <w:color w:val="1E3A5F"/>
          <w:sz w:val="22"/>
        </w:rPr>
        <w:t>ACF / PACF</w:t>
      </w:r>
      <w:r>
        <w:rPr>
          <w:rFonts w:ascii="Calibri" w:hAnsi="Calibri"/>
          <w:color w:val="1E293B"/>
          <w:sz w:val="22"/>
        </w:rPr>
        <w:t xml:space="preserve"> plots suggest the autoregressive (</w:t>
      </w:r>
      <w:r>
        <w:rPr>
          <w:rFonts w:ascii="Consolas" w:hAnsi="Consolas"/>
          <w:color w:val="B42828"/>
          <w:sz w:val="22"/>
        </w:rPr>
        <w:t>p</w:t>
      </w:r>
      <w:r>
        <w:rPr>
          <w:rFonts w:ascii="Calibri" w:hAnsi="Calibri"/>
          <w:color w:val="1E293B"/>
          <w:sz w:val="22"/>
        </w:rPr>
        <w:t>) and moving-average (</w:t>
      </w:r>
      <w:r>
        <w:rPr>
          <w:rFonts w:ascii="Consolas" w:hAnsi="Consolas"/>
          <w:color w:val="B42828"/>
          <w:sz w:val="22"/>
        </w:rPr>
        <w:t>q</w:t>
      </w:r>
      <w:r>
        <w:rPr>
          <w:rFonts w:ascii="Calibri" w:hAnsi="Calibri"/>
          <w:color w:val="1E293B"/>
          <w:sz w:val="22"/>
        </w:rPr>
        <w:t xml:space="preserve">) orders. 3. </w:t>
      </w:r>
      <w:r>
        <w:rPr>
          <w:rFonts w:ascii="Calibri" w:hAnsi="Calibri"/>
          <w:b/>
          <w:color w:val="1E3A5F"/>
          <w:sz w:val="22"/>
        </w:rPr>
        <w:t>All combinations</w:t>
      </w:r>
      <w:r>
        <w:rPr>
          <w:rFonts w:ascii="Calibri" w:hAnsi="Calibri"/>
          <w:color w:val="1E293B"/>
          <w:sz w:val="22"/>
        </w:rPr>
        <w:t xml:space="preserve"> over a grid of p and q values are fitted and ranked by </w:t>
      </w:r>
      <w:r>
        <w:rPr>
          <w:rFonts w:ascii="Calibri" w:hAnsi="Calibri"/>
          <w:b/>
          <w:color w:val="1E3A5F"/>
          <w:sz w:val="22"/>
        </w:rPr>
        <w:t>AIC</w:t>
      </w:r>
      <w:r>
        <w:rPr>
          <w:rFonts w:ascii="Calibri" w:hAnsi="Calibri"/>
          <w:color w:val="1E293B"/>
          <w:sz w:val="22"/>
        </w:rPr>
        <w:t xml:space="preserve"> (Akaike Information Criterion) — the score that rewards accuracy while penalising complexity. 4. </w:t>
      </w:r>
      <w:r>
        <w:rPr>
          <w:rFonts w:ascii="Calibri" w:hAnsi="Calibri"/>
          <w:b/>
          <w:color w:val="1E3A5F"/>
          <w:sz w:val="22"/>
        </w:rPr>
        <w:t>Every coefficient gets a standard error</w:t>
      </w:r>
      <w:r>
        <w:rPr>
          <w:rFonts w:ascii="Calibri" w:hAnsi="Calibri"/>
          <w:color w:val="1E293B"/>
          <w:sz w:val="22"/>
        </w:rPr>
        <w:t xml:space="preserve"> — not just a value. This directly answers the question "how do you estimate the parameters?", distinct from "what order did you pick?" — the two are different questions, and only the second was answered before. 5. Each fitted model then generates an </w:t>
      </w:r>
      <w:r>
        <w:rPr>
          <w:rFonts w:ascii="Calibri" w:hAnsi="Calibri"/>
          <w:b/>
          <w:color w:val="1E3A5F"/>
          <w:sz w:val="22"/>
        </w:rPr>
        <w:t>ensemble of 1,000 synthetic monthly sequences</w:t>
      </w:r>
      <w:r>
        <w:rPr>
          <w:rFonts w:ascii="Calibri" w:hAnsi="Calibri"/>
          <w:color w:val="1E293B"/>
          <w:sz w:val="22"/>
        </w:rPr>
        <w:t xml:space="preserve">, and validation checks whether the </w:t>
      </w:r>
      <w:r>
        <w:rPr>
          <w:rFonts w:ascii="Calibri" w:hAnsi="Calibri"/>
          <w:i/>
          <w:color w:val="2563EB"/>
          <w:sz w:val="22"/>
        </w:rPr>
        <w:t>historical</w:t>
      </w:r>
      <w:r>
        <w:rPr>
          <w:rFonts w:ascii="Calibri" w:hAnsi="Calibri"/>
          <w:color w:val="1E293B"/>
          <w:sz w:val="22"/>
        </w:rPr>
        <w:t xml:space="preserve"> record's statistical properties fall inside the </w:t>
      </w:r>
      <w:r>
        <w:rPr>
          <w:rFonts w:ascii="Calibri" w:hAnsi="Calibri"/>
          <w:i/>
          <w:color w:val="2563EB"/>
          <w:sz w:val="22"/>
        </w:rPr>
        <w:t>range</w:t>
      </w:r>
      <w:r>
        <w:rPr>
          <w:rFonts w:ascii="Calibri" w:hAnsi="Calibri"/>
          <w:color w:val="1E293B"/>
          <w:sz w:val="22"/>
        </w:rPr>
        <w:t xml:space="preserve"> that ensemble produces — not whether any one synthetic sequence matches history exactly.</w:t>
      </w:r>
    </w:p>
    <w:p>
      <w:pPr>
        <w:spacing w:after="160" w:line="276" w:lineRule="auto"/>
      </w:pPr>
      <w:r>
        <w:rPr>
          <w:rFonts w:ascii="Calibri" w:hAnsi="Calibri"/>
          <w:color w:val="1E293B"/>
          <w:sz w:val="22"/>
        </w:rPr>
        <w:t xml:space="preserve">Each model is fitted to the </w:t>
      </w:r>
      <w:r>
        <w:rPr>
          <w:rFonts w:ascii="Calibri" w:hAnsi="Calibri"/>
          <w:b/>
          <w:color w:val="1E3A5F"/>
          <w:sz w:val="22"/>
        </w:rPr>
        <w:t>natural log</w:t>
      </w:r>
      <w:r>
        <w:rPr>
          <w:rFonts w:ascii="Calibri" w:hAnsi="Calibri"/>
          <w:color w:val="1E293B"/>
          <w:sz w:val="22"/>
        </w:rPr>
        <w:t xml:space="preserve"> of its variable to stabilise variance — checked to be valid (all three series are strictly positive at every one of 420 months), not assumed.</w:t>
      </w:r>
    </w:p>
    <w:p>
      <w:pPr>
        <w:pBdr>
          <w:bottom w:val="single" w:sz="8" w:space="4" w:color="2563EB"/>
        </w:pBdr>
        <w:spacing w:before="80" w:after="200"/>
      </w:pPr>
    </w:p>
    <w:p>
      <w:pPr>
        <w:shd w:val="clear" w:fill="EFF6FF"/>
        <w:spacing w:before="280" w:after="160"/>
      </w:pPr>
      <w:r>
        <w:rPr>
          <w:rFonts w:ascii="Calibri" w:hAnsi="Calibri"/>
          <w:b/>
          <w:color w:val="1E3A5F"/>
          <w:sz w:val="32"/>
        </w:rPr>
        <w:t>The basin and the models</w:t>
      </w:r>
    </w:p>
    <w:p>
      <w:pPr>
        <w:spacing w:after="160" w:line="276" w:lineRule="auto"/>
      </w:pPr>
      <w:r>
        <w:rPr>
          <w:rFonts w:ascii="Calibri" w:hAnsi="Calibri"/>
          <w:b/>
          <w:color w:val="1E3A5F"/>
          <w:sz w:val="22"/>
        </w:rPr>
        <w:t>Conecuh River at Brantley, Alabama (USA)</w:t>
      </w:r>
      <w:r>
        <w:rPr>
          <w:rFonts w:ascii="Calibri" w:hAnsi="Calibri"/>
          <w:color w:val="1E293B"/>
          <w:sz w:val="22"/>
        </w:rPr>
        <w:t xml:space="preserve"> — USGS/CAMELS gauge </w:t>
      </w:r>
      <w:r>
        <w:rPr>
          <w:rFonts w:ascii="Consolas" w:hAnsi="Consolas"/>
          <w:color w:val="B42828"/>
          <w:sz w:val="22"/>
        </w:rPr>
        <w:t>02371500</w:t>
      </w:r>
      <w:r>
        <w:rPr>
          <w:rFonts w:ascii="Calibri" w:hAnsi="Calibri"/>
          <w:color w:val="1E293B"/>
          <w:sz w:val="22"/>
        </w:rPr>
        <w:t>. 35 years of monthly data (1980–2014, 420 months), trained on 1980–2003, validated on 2004–2014.</w:t>
      </w:r>
    </w:p>
    <w:tbl>
      <w:tblPr>
        <w:tblStyle w:val="TableGrid"/>
        <w:tblW w:type="auto" w:w="0"/>
        <w:jc w:val="center"/>
        <w:tblLook w:firstColumn="1" w:firstRow="1" w:lastColumn="0" w:lastRow="0" w:noHBand="0" w:noVBand="1" w:val="04A0"/>
      </w:tblPr>
      <w:tblGrid>
        <w:gridCol w:w="3249"/>
        <w:gridCol w:w="3249"/>
        <w:gridCol w:w="3249"/>
      </w:tblGrid>
      <w:tr>
        <w:tc>
          <w:tcPr>
            <w:tcW w:type="dxa" w:w="3249"/>
          </w:tcPr>
          <w:p>
            <w:pPr>
              <w:shd w:val="clear" w:fill="EFF6FF"/>
            </w:pPr>
            <w:r>
              <w:rPr>
                <w:rFonts w:ascii="Calibri" w:hAnsi="Calibri"/>
                <w:b/>
                <w:color w:val="1E293B"/>
                <w:sz w:val="21"/>
              </w:rPr>
              <w:t>Variable</w:t>
            </w:r>
          </w:p>
        </w:tc>
        <w:tc>
          <w:tcPr>
            <w:tcW w:type="dxa" w:w="3249"/>
          </w:tcPr>
          <w:p>
            <w:pPr>
              <w:shd w:val="clear" w:fill="EFF6FF"/>
            </w:pPr>
            <w:r>
              <w:rPr>
                <w:rFonts w:ascii="Calibri" w:hAnsi="Calibri"/>
                <w:b/>
                <w:color w:val="1E293B"/>
                <w:sz w:val="21"/>
              </w:rPr>
              <w:t>Selected model</w:t>
            </w:r>
          </w:p>
        </w:tc>
        <w:tc>
          <w:tcPr>
            <w:tcW w:type="dxa" w:w="3249"/>
          </w:tcPr>
          <w:p>
            <w:pPr>
              <w:shd w:val="clear" w:fill="EFF6FF"/>
            </w:pPr>
            <w:r>
              <w:rPr>
                <w:rFonts w:ascii="Calibri" w:hAnsi="Calibri"/>
                <w:b/>
                <w:color w:val="1E293B"/>
                <w:sz w:val="21"/>
              </w:rPr>
              <w:t>Validation: properties within envelope</w:t>
            </w:r>
          </w:p>
        </w:tc>
      </w:tr>
      <w:tr>
        <w:tc>
          <w:tcPr>
            <w:tcW w:type="dxa" w:w="3249"/>
          </w:tcPr>
          <w:p>
            <w:r>
              <w:rPr>
                <w:rFonts w:ascii="Calibri" w:hAnsi="Calibri"/>
                <w:color w:val="1E293B"/>
                <w:sz w:val="21"/>
              </w:rPr>
              <w:t>Discharge (m³/s)</w:t>
            </w:r>
          </w:p>
        </w:tc>
        <w:tc>
          <w:tcPr>
            <w:tcW w:type="dxa" w:w="3249"/>
          </w:tcPr>
          <w:p>
            <w:r>
              <w:rPr>
                <w:rFonts w:ascii="Calibri" w:hAnsi="Calibri"/>
                <w:color w:val="1E293B"/>
                <w:sz w:val="21"/>
              </w:rPr>
              <w:t>ARIMA(4,0,1)</w:t>
            </w:r>
          </w:p>
        </w:tc>
        <w:tc>
          <w:tcPr>
            <w:tcW w:type="dxa" w:w="3249"/>
          </w:tcPr>
          <w:p>
            <w:r>
              <w:rPr>
                <w:rFonts w:ascii="Calibri" w:hAnsi="Calibri"/>
                <w:b/>
                <w:color w:val="1E3A5F"/>
                <w:sz w:val="21"/>
              </w:rPr>
              <w:t>7 / 7</w:t>
            </w:r>
          </w:p>
        </w:tc>
      </w:tr>
      <w:tr>
        <w:tc>
          <w:tcPr>
            <w:tcW w:type="dxa" w:w="3249"/>
          </w:tcPr>
          <w:p>
            <w:r>
              <w:rPr>
                <w:rFonts w:ascii="Calibri" w:hAnsi="Calibri"/>
                <w:color w:val="1E293B"/>
                <w:sz w:val="21"/>
              </w:rPr>
              <w:t>Rainfall (mm/month)</w:t>
            </w:r>
          </w:p>
        </w:tc>
        <w:tc>
          <w:tcPr>
            <w:tcW w:type="dxa" w:w="3249"/>
          </w:tcPr>
          <w:p>
            <w:r>
              <w:rPr>
                <w:rFonts w:ascii="Calibri" w:hAnsi="Calibri"/>
                <w:color w:val="1E293B"/>
                <w:sz w:val="21"/>
              </w:rPr>
              <w:t>ARIMA(1,0,0)</w:t>
            </w:r>
          </w:p>
        </w:tc>
        <w:tc>
          <w:tcPr>
            <w:tcW w:type="dxa" w:w="3249"/>
          </w:tcPr>
          <w:p>
            <w:r>
              <w:rPr>
                <w:rFonts w:ascii="Calibri" w:hAnsi="Calibri"/>
                <w:b/>
                <w:color w:val="1E3A5F"/>
                <w:sz w:val="21"/>
              </w:rPr>
              <w:t>7 / 7</w:t>
            </w:r>
          </w:p>
        </w:tc>
      </w:tr>
      <w:tr>
        <w:tc>
          <w:tcPr>
            <w:tcW w:type="dxa" w:w="3249"/>
          </w:tcPr>
          <w:p>
            <w:r>
              <w:rPr>
                <w:rFonts w:ascii="Calibri" w:hAnsi="Calibri"/>
                <w:color w:val="1E293B"/>
                <w:sz w:val="21"/>
              </w:rPr>
              <w:t>Stage (m)</w:t>
            </w:r>
          </w:p>
        </w:tc>
        <w:tc>
          <w:tcPr>
            <w:tcW w:type="dxa" w:w="3249"/>
          </w:tcPr>
          <w:p>
            <w:r>
              <w:rPr>
                <w:rFonts w:ascii="Calibri" w:hAnsi="Calibri"/>
                <w:color w:val="1E293B"/>
                <w:sz w:val="21"/>
              </w:rPr>
              <w:t>ARIMA(4,0,0)</w:t>
            </w:r>
          </w:p>
        </w:tc>
        <w:tc>
          <w:tcPr>
            <w:tcW w:type="dxa" w:w="3249"/>
          </w:tcPr>
          <w:p>
            <w:r>
              <w:rPr>
                <w:rFonts w:ascii="Calibri" w:hAnsi="Calibri"/>
                <w:b/>
                <w:color w:val="1E3A5F"/>
                <w:sz w:val="21"/>
              </w:rPr>
              <w:t>6 / 7</w:t>
            </w:r>
            <w:r>
              <w:rPr>
                <w:rFonts w:ascii="Calibri" w:hAnsi="Calibri"/>
                <w:color w:val="1E293B"/>
                <w:sz w:val="21"/>
              </w:rPr>
              <w:t xml:space="preserve"> (mean falls short — see below)</w:t>
            </w:r>
          </w:p>
        </w:tc>
      </w:tr>
    </w:tbl>
    <w:p>
      <w:pPr>
        <w:spacing w:after="120"/>
      </w:pPr>
    </w:p>
    <w:p>
      <w:pPr>
        <w:spacing w:after="160" w:line="276" w:lineRule="auto"/>
      </w:pPr>
      <w:r>
        <w:rPr>
          <w:rFonts w:ascii="Calibri" w:hAnsi="Calibri"/>
          <w:color w:val="1E293B"/>
          <w:sz w:val="22"/>
        </w:rPr>
        <w:t>The one honest miss — stage's mean — is traced to residual seasonal structure the non-seasonal ARIMA specification doesn't fully absorb (visible as a failed Ljung-Box test for discharge and stage, though not for rainfall). This is reported, not hidden: that's the whole point of validating by properties instead of picking a metric that would look clean.</w:t>
      </w:r>
    </w:p>
    <w:p>
      <w:pPr>
        <w:pBdr>
          <w:bottom w:val="single" w:sz="8" w:space="4" w:color="2563EB"/>
        </w:pBdr>
        <w:spacing w:before="80" w:after="200"/>
      </w:pPr>
    </w:p>
    <w:p>
      <w:pPr>
        <w:shd w:val="clear" w:fill="EFF6FF"/>
        <w:spacing w:before="280" w:after="160"/>
      </w:pPr>
      <w:r>
        <w:rPr>
          <w:rFonts w:ascii="Calibri" w:hAnsi="Calibri"/>
          <w:b/>
          <w:color w:val="1E3A5F"/>
          <w:sz w:val="32"/>
        </w:rPr>
        <w:t>What's in the folder</w:t>
      </w:r>
    </w:p>
    <w:tbl>
      <w:tblPr>
        <w:tblStyle w:val="TableGrid"/>
        <w:tblW w:type="auto" w:w="0"/>
        <w:jc w:val="center"/>
        <w:tblLook w:firstColumn="1" w:firstRow="1" w:lastColumn="0" w:lastRow="0" w:noHBand="0" w:noVBand="1" w:val="04A0"/>
      </w:tblPr>
      <w:tblGrid>
        <w:gridCol w:w="4873"/>
        <w:gridCol w:w="4873"/>
      </w:tblGrid>
      <w:tr>
        <w:tc>
          <w:tcPr>
            <w:tcW w:type="dxa" w:w="4873"/>
          </w:tcPr>
          <w:p>
            <w:pPr>
              <w:shd w:val="clear" w:fill="EFF6FF"/>
            </w:pPr>
            <w:r>
              <w:rPr>
                <w:rFonts w:ascii="Calibri" w:hAnsi="Calibri"/>
                <w:b/>
                <w:color w:val="1E293B"/>
                <w:sz w:val="21"/>
              </w:rPr>
              <w:t>Piece</w:t>
            </w:r>
          </w:p>
        </w:tc>
        <w:tc>
          <w:tcPr>
            <w:tcW w:type="dxa" w:w="4873"/>
          </w:tcPr>
          <w:p>
            <w:pPr>
              <w:shd w:val="clear" w:fill="EFF6FF"/>
            </w:pPr>
            <w:r>
              <w:rPr>
                <w:rFonts w:ascii="Calibri" w:hAnsi="Calibri"/>
                <w:b/>
                <w:color w:val="1E293B"/>
                <w:sz w:val="21"/>
              </w:rPr>
              <w:t>What it does</w:t>
            </w:r>
          </w:p>
        </w:tc>
      </w:tr>
      <w:tr>
        <w:tc>
          <w:tcPr>
            <w:tcW w:type="dxa" w:w="4873"/>
          </w:tcPr>
          <w:p>
            <w:r>
              <w:rPr>
                <w:rFonts w:ascii="Consolas" w:hAnsi="Consolas"/>
                <w:color w:val="B42828"/>
                <w:sz w:val="21"/>
              </w:rPr>
              <w:t>src/preprocess.py</w:t>
            </w:r>
          </w:p>
        </w:tc>
        <w:tc>
          <w:tcPr>
            <w:tcW w:type="dxa" w:w="4873"/>
          </w:tcPr>
          <w:p>
            <w:r>
              <w:rPr>
                <w:rFonts w:ascii="Calibri" w:hAnsi="Calibri"/>
                <w:color w:val="1E293B"/>
                <w:sz w:val="21"/>
              </w:rPr>
              <w:t>Loads and monthly-aggregates all three series (discharge, rainfall, stage), log transform, train/valid split</w:t>
            </w:r>
          </w:p>
        </w:tc>
      </w:tr>
      <w:tr>
        <w:tc>
          <w:tcPr>
            <w:tcW w:type="dxa" w:w="4873"/>
          </w:tcPr>
          <w:p>
            <w:r>
              <w:rPr>
                <w:rFonts w:ascii="Consolas" w:hAnsi="Consolas"/>
                <w:color w:val="B42828"/>
                <w:sz w:val="21"/>
              </w:rPr>
              <w:t>src/model.py</w:t>
            </w:r>
          </w:p>
        </w:tc>
        <w:tc>
          <w:tcPr>
            <w:tcW w:type="dxa" w:w="4873"/>
          </w:tcPr>
          <w:p>
            <w:r>
              <w:rPr>
                <w:rFonts w:ascii="Calibri" w:hAnsi="Calibri"/>
                <w:color w:val="1E293B"/>
                <w:sz w:val="21"/>
              </w:rPr>
              <w:t xml:space="preserve">Self-contained ARIMA + ADF/KPSS/ACF/PACF/Ljung–Box/ARCH/Jarque–Bera </w:t>
            </w:r>
            <w:r>
              <w:rPr>
                <w:rFonts w:ascii="Calibri" w:hAnsi="Calibri"/>
                <w:b/>
                <w:color w:val="1E3A5F"/>
                <w:sz w:val="21"/>
              </w:rPr>
              <w:t>+ parameter standard errors</w:t>
            </w:r>
          </w:p>
        </w:tc>
      </w:tr>
      <w:tr>
        <w:tc>
          <w:tcPr>
            <w:tcW w:type="dxa" w:w="4873"/>
          </w:tcPr>
          <w:p>
            <w:r>
              <w:rPr>
                <w:rFonts w:ascii="Consolas" w:hAnsi="Consolas"/>
                <w:color w:val="B42828"/>
                <w:sz w:val="21"/>
              </w:rPr>
              <w:t>src/calibrate.py</w:t>
            </w:r>
          </w:p>
        </w:tc>
        <w:tc>
          <w:tcPr>
            <w:tcW w:type="dxa" w:w="4873"/>
          </w:tcPr>
          <w:p>
            <w:r>
              <w:rPr>
                <w:rFonts w:ascii="Calibri" w:hAnsi="Calibri"/>
                <w:color w:val="1E293B"/>
                <w:sz w:val="21"/>
              </w:rPr>
              <w:t>Stationarity testing + AIC order selection</w:t>
            </w:r>
          </w:p>
        </w:tc>
      </w:tr>
      <w:tr>
        <w:tc>
          <w:tcPr>
            <w:tcW w:type="dxa" w:w="4873"/>
          </w:tcPr>
          <w:p>
            <w:r>
              <w:rPr>
                <w:rFonts w:ascii="Consolas" w:hAnsi="Consolas"/>
                <w:color w:val="B42828"/>
                <w:sz w:val="21"/>
              </w:rPr>
              <w:t>src/simulate.py</w:t>
            </w:r>
          </w:p>
        </w:tc>
        <w:tc>
          <w:tcPr>
            <w:tcW w:type="dxa" w:w="4873"/>
          </w:tcPr>
          <w:p>
            <w:r>
              <w:rPr>
                <w:rFonts w:ascii="Calibri" w:hAnsi="Calibri"/>
                <w:b/>
                <w:color w:val="1E3A5F"/>
                <w:sz w:val="21"/>
              </w:rPr>
              <w:t>New</w:t>
            </w:r>
            <w:r>
              <w:rPr>
                <w:rFonts w:ascii="Calibri" w:hAnsi="Calibri"/>
                <w:color w:val="1E293B"/>
                <w:sz w:val="21"/>
              </w:rPr>
              <w:t xml:space="preserve"> — generates stochastic synthetic-sequence ensembles from a fitted model</w:t>
            </w:r>
          </w:p>
        </w:tc>
      </w:tr>
      <w:tr>
        <w:tc>
          <w:tcPr>
            <w:tcW w:type="dxa" w:w="4873"/>
          </w:tcPr>
          <w:p>
            <w:r>
              <w:rPr>
                <w:rFonts w:ascii="Consolas" w:hAnsi="Consolas"/>
                <w:color w:val="B42828"/>
                <w:sz w:val="21"/>
              </w:rPr>
              <w:t>src/validation.py</w:t>
            </w:r>
          </w:p>
        </w:tc>
        <w:tc>
          <w:tcPr>
            <w:tcW w:type="dxa" w:w="4873"/>
          </w:tcPr>
          <w:p>
            <w:r>
              <w:rPr>
                <w:rFonts w:ascii="Calibri" w:hAnsi="Calibri"/>
                <w:b/>
                <w:color w:val="1E3A5F"/>
                <w:sz w:val="21"/>
              </w:rPr>
              <w:t>New</w:t>
            </w:r>
            <w:r>
              <w:rPr>
                <w:rFonts w:ascii="Calibri" w:hAnsi="Calibri"/>
                <w:color w:val="1E293B"/>
                <w:sz w:val="21"/>
              </w:rPr>
              <w:t xml:space="preserve"> — property-based validation: compares an ensemble's statistical properties to the historical record</w:t>
            </w:r>
          </w:p>
        </w:tc>
      </w:tr>
      <w:tr>
        <w:tc>
          <w:tcPr>
            <w:tcW w:type="dxa" w:w="4873"/>
          </w:tcPr>
          <w:p>
            <w:r>
              <w:rPr>
                <w:rFonts w:ascii="Consolas" w:hAnsi="Consolas"/>
                <w:color w:val="B42828"/>
                <w:sz w:val="21"/>
              </w:rPr>
              <w:t>src/plots.py</w:t>
            </w:r>
          </w:p>
        </w:tc>
        <w:tc>
          <w:tcPr>
            <w:tcW w:type="dxa" w:w="4873"/>
          </w:tcPr>
          <w:p>
            <w:r>
              <w:rPr>
                <w:rFonts w:ascii="Calibri" w:hAnsi="Calibri"/>
                <w:color w:val="1E293B"/>
                <w:sz w:val="21"/>
              </w:rPr>
              <w:t>The 6 figures, rewritten for 3 variables x monthly x stochastic</w:t>
            </w:r>
          </w:p>
        </w:tc>
      </w:tr>
      <w:tr>
        <w:tc>
          <w:tcPr>
            <w:tcW w:type="dxa" w:w="4873"/>
          </w:tcPr>
          <w:p>
            <w:r>
              <w:rPr>
                <w:rFonts w:ascii="Consolas" w:hAnsi="Consolas"/>
                <w:color w:val="B42828"/>
                <w:sz w:val="21"/>
              </w:rPr>
              <w:t>run_pipeline.py</w:t>
            </w:r>
          </w:p>
        </w:tc>
        <w:tc>
          <w:tcPr>
            <w:tcW w:type="dxa" w:w="4873"/>
          </w:tcPr>
          <w:p>
            <w:r>
              <w:rPr>
                <w:rFonts w:ascii="Calibri" w:hAnsi="Calibri"/>
                <w:color w:val="1E293B"/>
                <w:sz w:val="21"/>
              </w:rPr>
              <w:t xml:space="preserve">The </w:t>
            </w:r>
            <w:r>
              <w:rPr>
                <w:rFonts w:ascii="Calibri" w:hAnsi="Calibri"/>
                <w:b/>
                <w:color w:val="1E3A5F"/>
                <w:sz w:val="21"/>
              </w:rPr>
              <w:t>"run everything" button</w:t>
            </w:r>
            <w:r>
              <w:rPr>
                <w:rFonts w:ascii="Calibri" w:hAnsi="Calibri"/>
                <w:color w:val="1E293B"/>
                <w:sz w:val="21"/>
              </w:rPr>
              <w:t xml:space="preserve"> — loads all 3 variables, fits all 3 models, runs stochastic validation, saves </w:t>
            </w:r>
            <w:r>
              <w:rPr>
                <w:rFonts w:ascii="Consolas" w:hAnsi="Consolas"/>
                <w:color w:val="B42828"/>
                <w:sz w:val="21"/>
              </w:rPr>
              <w:t>data/results.json</w:t>
            </w:r>
            <w:r>
              <w:rPr>
                <w:rFonts w:ascii="Calibri" w:hAnsi="Calibri"/>
                <w:color w:val="1E293B"/>
                <w:sz w:val="21"/>
              </w:rPr>
              <w:t xml:space="preserve"> + all figures</w:t>
            </w:r>
          </w:p>
        </w:tc>
      </w:tr>
      <w:tr>
        <w:tc>
          <w:tcPr>
            <w:tcW w:type="dxa" w:w="4873"/>
          </w:tcPr>
          <w:p>
            <w:r>
              <w:rPr>
                <w:rFonts w:ascii="Consolas" w:hAnsi="Consolas"/>
                <w:color w:val="B42828"/>
                <w:sz w:val="21"/>
              </w:rPr>
              <w:t>app.py</w:t>
            </w:r>
            <w:r>
              <w:rPr>
                <w:rFonts w:ascii="Calibri" w:hAnsi="Calibri"/>
                <w:color w:val="1E293B"/>
                <w:sz w:val="21"/>
              </w:rPr>
              <w:t xml:space="preserve"> + </w:t>
            </w:r>
            <w:r>
              <w:rPr>
                <w:rFonts w:ascii="Consolas" w:hAnsi="Consolas"/>
                <w:color w:val="B42828"/>
                <w:sz w:val="21"/>
              </w:rPr>
              <w:t>pages/</w:t>
            </w:r>
          </w:p>
        </w:tc>
        <w:tc>
          <w:tcPr>
            <w:tcW w:type="dxa" w:w="4873"/>
          </w:tcPr>
          <w:p>
            <w:r>
              <w:rPr>
                <w:rFonts w:ascii="Calibri" w:hAnsi="Calibri"/>
                <w:color w:val="1E293B"/>
                <w:sz w:val="21"/>
              </w:rPr>
              <w:t>"River Outlook" — a 3-pane Streamlit dashboard (context left, controls/charts/story centre, compact per-variable cards right). One button forecasts all 3 variables at once; "For the curious" surfaces the AR/MA coefficients, standard errors, and stationarity evidence live</w:t>
            </w:r>
          </w:p>
        </w:tc>
      </w:tr>
      <w:tr>
        <w:tc>
          <w:tcPr>
            <w:tcW w:type="dxa" w:w="4873"/>
          </w:tcPr>
          <w:p>
            <w:r>
              <w:rPr>
                <w:rFonts w:ascii="Consolas" w:hAnsi="Consolas"/>
                <w:color w:val="B42828"/>
                <w:sz w:val="21"/>
              </w:rPr>
              <w:t>figures/</w:t>
            </w:r>
          </w:p>
        </w:tc>
        <w:tc>
          <w:tcPr>
            <w:tcW w:type="dxa" w:w="4873"/>
          </w:tcPr>
          <w:p>
            <w:r>
              <w:rPr>
                <w:rFonts w:ascii="Calibri" w:hAnsi="Calibri"/>
                <w:color w:val="1E293B"/>
                <w:sz w:val="21"/>
              </w:rPr>
              <w:t>9 charts: monthly series, ACF/PACF, ensemble vs. observed, property validation, residual diagnostics, parameter estimates with confidence intervals (all 3-variable panels), plus the two app screenshots and the cross-basin check figure</w:t>
            </w:r>
          </w:p>
        </w:tc>
      </w:tr>
      <w:tr>
        <w:tc>
          <w:tcPr>
            <w:tcW w:type="dxa" w:w="4873"/>
          </w:tcPr>
          <w:p>
            <w:r>
              <w:rPr>
                <w:rFonts w:ascii="Consolas" w:hAnsi="Consolas"/>
                <w:color w:val="B42828"/>
                <w:sz w:val="21"/>
              </w:rPr>
              <w:t>documents/Computer_Hydrological_Forecasting_Full_Report.docx</w:t>
            </w:r>
          </w:p>
        </w:tc>
        <w:tc>
          <w:tcPr>
            <w:tcW w:type="dxa" w:w="4873"/>
          </w:tcPr>
          <w:p>
            <w:r>
              <w:rPr>
                <w:rFonts w:ascii="Calibri" w:hAnsi="Calibri"/>
                <w:color w:val="1E293B"/>
                <w:sz w:val="21"/>
              </w:rPr>
              <w:t>The full Chapter 1–5 thesis, rewritten for the new methodology</w:t>
            </w:r>
          </w:p>
        </w:tc>
      </w:tr>
      <w:tr>
        <w:tc>
          <w:tcPr>
            <w:tcW w:type="dxa" w:w="4873"/>
          </w:tcPr>
          <w:p>
            <w:r>
              <w:rPr>
                <w:rFonts w:ascii="Consolas" w:hAnsi="Consolas"/>
                <w:color w:val="B42828"/>
                <w:sz w:val="21"/>
              </w:rPr>
              <w:t>write_full_report.py</w:t>
            </w:r>
            <w:r>
              <w:rPr>
                <w:rFonts w:ascii="Calibri" w:hAnsi="Calibri"/>
                <w:color w:val="1E293B"/>
                <w:sz w:val="21"/>
              </w:rPr>
              <w:t xml:space="preserve"> (+ </w:t>
            </w:r>
            <w:r>
              <w:rPr>
                <w:rFonts w:ascii="Consolas" w:hAnsi="Consolas"/>
                <w:color w:val="B42828"/>
                <w:sz w:val="21"/>
              </w:rPr>
              <w:t>report_front_ch12.py</w:t>
            </w:r>
            <w:r>
              <w:rPr>
                <w:rFonts w:ascii="Calibri" w:hAnsi="Calibri"/>
                <w:color w:val="1E293B"/>
                <w:sz w:val="21"/>
              </w:rPr>
              <w:t xml:space="preserve">, </w:t>
            </w:r>
            <w:r>
              <w:rPr>
                <w:rFonts w:ascii="Consolas" w:hAnsi="Consolas"/>
                <w:color w:val="B42828"/>
                <w:sz w:val="21"/>
              </w:rPr>
              <w:t>report_ch345.py</w:t>
            </w:r>
            <w:r>
              <w:rPr>
                <w:rFonts w:ascii="Calibri" w:hAnsi="Calibri"/>
                <w:color w:val="1E293B"/>
                <w:sz w:val="21"/>
              </w:rPr>
              <w:t xml:space="preserve">, </w:t>
            </w:r>
            <w:r>
              <w:rPr>
                <w:rFonts w:ascii="Consolas" w:hAnsi="Consolas"/>
                <w:color w:val="B42828"/>
                <w:sz w:val="21"/>
              </w:rPr>
              <w:t>report_lib.py</w:t>
            </w:r>
            <w:r>
              <w:rPr>
                <w:rFonts w:ascii="Calibri" w:hAnsi="Calibri"/>
                <w:color w:val="1E293B"/>
                <w:sz w:val="21"/>
              </w:rPr>
              <w:t>)</w:t>
            </w:r>
          </w:p>
        </w:tc>
        <w:tc>
          <w:tcPr>
            <w:tcW w:type="dxa" w:w="4873"/>
          </w:tcPr>
          <w:p>
            <w:r>
              <w:rPr>
                <w:rFonts w:ascii="Calibri" w:hAnsi="Calibri"/>
                <w:color w:val="1E293B"/>
                <w:sz w:val="21"/>
              </w:rPr>
              <w:t xml:space="preserve">Generates the full report from </w:t>
            </w:r>
            <w:r>
              <w:rPr>
                <w:rFonts w:ascii="Consolas" w:hAnsi="Consolas"/>
                <w:color w:val="B42828"/>
                <w:sz w:val="21"/>
              </w:rPr>
              <w:t>data/results.json</w:t>
            </w:r>
            <w:r>
              <w:rPr>
                <w:rFonts w:ascii="Calibri" w:hAnsi="Calibri"/>
                <w:color w:val="1E293B"/>
                <w:sz w:val="21"/>
              </w:rPr>
              <w:t xml:space="preserve">; the code appendix is extracted live from </w:t>
            </w:r>
            <w:r>
              <w:rPr>
                <w:rFonts w:ascii="Consolas" w:hAnsi="Consolas"/>
                <w:color w:val="B42828"/>
                <w:sz w:val="21"/>
              </w:rPr>
              <w:t>src/*.py</w:t>
            </w:r>
            <w:r>
              <w:rPr>
                <w:rFonts w:ascii="Calibri" w:hAnsi="Calibri"/>
                <w:color w:val="1E293B"/>
                <w:sz w:val="21"/>
              </w:rPr>
              <w:t xml:space="preserve"> so it can't drift from the code that produced the results</w:t>
            </w:r>
          </w:p>
        </w:tc>
      </w:tr>
      <w:tr>
        <w:tc>
          <w:tcPr>
            <w:tcW w:type="dxa" w:w="4873"/>
          </w:tcPr>
          <w:p>
            <w:r>
              <w:rPr>
                <w:rFonts w:ascii="Consolas" w:hAnsi="Consolas"/>
                <w:color w:val="B42828"/>
                <w:sz w:val="21"/>
              </w:rPr>
              <w:t>cross_basin_check.py</w:t>
            </w:r>
          </w:p>
        </w:tc>
        <w:tc>
          <w:tcPr>
            <w:tcW w:type="dxa" w:w="4873"/>
          </w:tcPr>
          <w:p>
            <w:r>
              <w:rPr>
                <w:rFonts w:ascii="Calibri" w:hAnsi="Calibri"/>
                <w:color w:val="1E293B"/>
                <w:sz w:val="21"/>
              </w:rPr>
              <w:t xml:space="preserve">Supplementary: reruns the identification/estimation procedure, unmodified, on two more CAMELS basins → </w:t>
            </w:r>
            <w:r>
              <w:rPr>
                <w:rFonts w:ascii="Consolas" w:hAnsi="Consolas"/>
                <w:color w:val="B42828"/>
                <w:sz w:val="21"/>
              </w:rPr>
              <w:t>data/cross_basin_check.json</w:t>
            </w:r>
          </w:p>
        </w:tc>
      </w:tr>
      <w:tr>
        <w:tc>
          <w:tcPr>
            <w:tcW w:type="dxa" w:w="4873"/>
          </w:tcPr>
          <w:p>
            <w:r>
              <w:rPr>
                <w:rFonts w:ascii="Consolas" w:hAnsi="Consolas"/>
                <w:color w:val="B42828"/>
                <w:sz w:val="21"/>
              </w:rPr>
              <w:t>cross_basin_figure.py</w:t>
            </w:r>
          </w:p>
        </w:tc>
        <w:tc>
          <w:tcPr>
            <w:tcW w:type="dxa" w:w="4873"/>
          </w:tcPr>
          <w:p>
            <w:r>
              <w:rPr>
                <w:rFonts w:ascii="Calibri" w:hAnsi="Calibri"/>
                <w:color w:val="1E293B"/>
                <w:sz w:val="21"/>
              </w:rPr>
              <w:t>Turns the cross-basin check into Figure 9 (AR(1) coefficients with 95% CI, coloured by Ljung-Box pass/fail)</w:t>
            </w:r>
          </w:p>
        </w:tc>
      </w:tr>
      <w:tr>
        <w:tc>
          <w:tcPr>
            <w:tcW w:type="dxa" w:w="4873"/>
          </w:tcPr>
          <w:p>
            <w:r>
              <w:rPr>
                <w:rFonts w:ascii="Consolas" w:hAnsi="Consolas"/>
                <w:color w:val="B42828"/>
                <w:sz w:val="21"/>
              </w:rPr>
              <w:t>design_discharge_example.py</w:t>
            </w:r>
          </w:p>
        </w:tc>
        <w:tc>
          <w:tcPr>
            <w:tcW w:type="dxa" w:w="4873"/>
          </w:tcPr>
          <w:p>
            <w:r>
              <w:rPr>
                <w:rFonts w:ascii="Calibri" w:hAnsi="Calibri"/>
                <w:color w:val="1E293B"/>
                <w:sz w:val="21"/>
              </w:rPr>
              <w:t xml:space="preserve">Worked reservoir/spillway design-discharge example from pooled synthetic annual maxima → </w:t>
            </w:r>
            <w:r>
              <w:rPr>
                <w:rFonts w:ascii="Consolas" w:hAnsi="Consolas"/>
                <w:color w:val="B42828"/>
                <w:sz w:val="21"/>
              </w:rPr>
              <w:t>data/design_discharge_example.json</w:t>
            </w:r>
          </w:p>
        </w:tc>
      </w:tr>
    </w:tbl>
    <w:p>
      <w:pPr>
        <w:spacing w:after="120"/>
      </w:pPr>
    </w:p>
    <w:p>
      <w:pPr>
        <w:pBdr>
          <w:bottom w:val="single" w:sz="8" w:space="4" w:color="2563EB"/>
        </w:pBdr>
        <w:spacing w:before="80" w:after="200"/>
      </w:pPr>
    </w:p>
    <w:p>
      <w:pPr>
        <w:shd w:val="clear" w:fill="EFF6FF"/>
        <w:spacing w:before="280" w:after="160"/>
      </w:pPr>
      <w:r>
        <w:rPr>
          <w:rFonts w:ascii="Calibri" w:hAnsi="Calibri"/>
          <w:b/>
          <w:color w:val="1E3A5F"/>
          <w:sz w:val="32"/>
        </w:rPr>
        <w:t>Tech used</w:t>
      </w:r>
    </w:p>
    <w:p>
      <w:pPr>
        <w:spacing w:after="160" w:line="276" w:lineRule="auto"/>
      </w:pPr>
      <w:r>
        <w:rPr>
          <w:rFonts w:ascii="Calibri" w:hAnsi="Calibri"/>
          <w:color w:val="1E293B"/>
          <w:sz w:val="22"/>
        </w:rPr>
        <w:t xml:space="preserve">Plain </w:t>
      </w:r>
      <w:r>
        <w:rPr>
          <w:rFonts w:ascii="Calibri" w:hAnsi="Calibri"/>
          <w:b/>
          <w:color w:val="1E3A5F"/>
          <w:sz w:val="22"/>
        </w:rPr>
        <w:t>Python</w:t>
      </w:r>
      <w:r>
        <w:rPr>
          <w:rFonts w:ascii="Calibri" w:hAnsi="Calibri"/>
          <w:color w:val="1E293B"/>
          <w:sz w:val="22"/>
        </w:rPr>
        <w:t xml:space="preserve"> — </w:t>
      </w:r>
      <w:r>
        <w:rPr>
          <w:rFonts w:ascii="Consolas" w:hAnsi="Consolas"/>
          <w:color w:val="B42828"/>
          <w:sz w:val="22"/>
        </w:rPr>
        <w:t>pandas</w:t>
      </w:r>
      <w:r>
        <w:rPr>
          <w:rFonts w:ascii="Calibri" w:hAnsi="Calibri"/>
          <w:color w:val="1E293B"/>
          <w:sz w:val="22"/>
        </w:rPr>
        <w:t xml:space="preserve">, </w:t>
      </w:r>
      <w:r>
        <w:rPr>
          <w:rFonts w:ascii="Consolas" w:hAnsi="Consolas"/>
          <w:color w:val="B42828"/>
          <w:sz w:val="22"/>
        </w:rPr>
        <w:t>numpy</w:t>
      </w:r>
      <w:r>
        <w:rPr>
          <w:rFonts w:ascii="Calibri" w:hAnsi="Calibri"/>
          <w:color w:val="1E293B"/>
          <w:sz w:val="22"/>
        </w:rPr>
        <w:t xml:space="preserve">, </w:t>
      </w:r>
      <w:r>
        <w:rPr>
          <w:rFonts w:ascii="Consolas" w:hAnsi="Consolas"/>
          <w:color w:val="B42828"/>
          <w:sz w:val="22"/>
        </w:rPr>
        <w:t>scipy</w:t>
      </w:r>
      <w:r>
        <w:rPr>
          <w:rFonts w:ascii="Calibri" w:hAnsi="Calibri"/>
          <w:color w:val="1E293B"/>
          <w:sz w:val="22"/>
        </w:rPr>
        <w:t xml:space="preserve"> (the math), </w:t>
      </w:r>
      <w:r>
        <w:rPr>
          <w:rFonts w:ascii="Consolas" w:hAnsi="Consolas"/>
          <w:color w:val="B42828"/>
          <w:sz w:val="22"/>
        </w:rPr>
        <w:t>matplotlib</w:t>
      </w:r>
      <w:r>
        <w:rPr>
          <w:rFonts w:ascii="Calibri" w:hAnsi="Calibri"/>
          <w:color w:val="1E293B"/>
          <w:sz w:val="22"/>
        </w:rPr>
        <w:t xml:space="preserve"> (charts), </w:t>
      </w:r>
      <w:r>
        <w:rPr>
          <w:rFonts w:ascii="Consolas" w:hAnsi="Consolas"/>
          <w:color w:val="B42828"/>
          <w:sz w:val="22"/>
        </w:rPr>
        <w:t>streamlit</w:t>
      </w:r>
      <w:r>
        <w:rPr>
          <w:rFonts w:ascii="Calibri" w:hAnsi="Calibri"/>
          <w:color w:val="1E293B"/>
          <w:sz w:val="22"/>
        </w:rPr>
        <w:t xml:space="preserve"> (the web app), </w:t>
      </w:r>
      <w:r>
        <w:rPr>
          <w:rFonts w:ascii="Consolas" w:hAnsi="Consolas"/>
          <w:color w:val="B42828"/>
          <w:sz w:val="22"/>
        </w:rPr>
        <w:t>requests</w:t>
      </w:r>
      <w:r>
        <w:rPr>
          <w:rFonts w:ascii="Calibri" w:hAnsi="Calibri"/>
          <w:color w:val="1E293B"/>
          <w:sz w:val="22"/>
        </w:rPr>
        <w:t xml:space="preserve"> (one-off USGS NWIS data pull). The whole time-series toolkit — ARIMA, stationarity tests, ACF/PACF, Ljung–Box, standard errors, stochastic simulation, property-based validation — is implemented from first principles. No external time-series modelling library (no </w:t>
      </w:r>
      <w:r>
        <w:rPr>
          <w:rFonts w:ascii="Consolas" w:hAnsi="Consolas"/>
          <w:color w:val="B42828"/>
          <w:sz w:val="22"/>
        </w:rPr>
        <w:t>statsmodels</w:t>
      </w:r>
      <w:r>
        <w:rPr>
          <w:rFonts w:ascii="Calibri" w:hAnsi="Calibri"/>
          <w:color w:val="1E293B"/>
          <w:sz w:val="22"/>
        </w:rPr>
        <w:t>).</w:t>
      </w:r>
    </w:p>
    <w:p>
      <w:pPr>
        <w:pBdr>
          <w:bottom w:val="single" w:sz="8" w:space="4" w:color="2563EB"/>
        </w:pBdr>
        <w:spacing w:before="80" w:after="200"/>
      </w:pPr>
    </w:p>
    <w:p>
      <w:pPr>
        <w:shd w:val="clear" w:fill="EFF6FF"/>
        <w:spacing w:before="280" w:after="160"/>
      </w:pPr>
      <w:r>
        <w:rPr>
          <w:rFonts w:ascii="Calibri" w:hAnsi="Calibri"/>
          <w:b/>
          <w:color w:val="1E3A5F"/>
          <w:sz w:val="32"/>
        </w:rPr>
        <w:t>Where it stands</w:t>
      </w:r>
    </w:p>
    <w:p>
      <w:pPr>
        <w:pStyle w:val="ListBullet"/>
        <w:spacing w:after="160" w:line="276" w:lineRule="auto"/>
      </w:pPr>
      <w:r>
        <w:rPr>
          <w:rFonts w:ascii="Calibri" w:hAnsi="Calibri"/>
          <w:b/>
          <w:color w:val="1E3A5F"/>
          <w:sz w:val="22"/>
        </w:rPr>
        <w:t>Data:</w:t>
      </w:r>
      <w:r>
        <w:rPr>
          <w:rFonts w:ascii="Calibri" w:hAnsi="Calibri"/>
          <w:color w:val="1E293B"/>
          <w:sz w:val="22"/>
        </w:rPr>
        <w:t xml:space="preserve"> verified against USGS NWIS for gauge 02371500. Discharge 0.56% missing at daily resolution, effectively complete monthly (0 of 420 months fully missing); rainfall complete (zero missing days, Daymet product, 0 of 420 months fully missing); stage 3 of 420 months fully missing and filled by time-based linear interpolation — disclosed, not hidden.</w:t>
      </w:r>
    </w:p>
    <w:p>
      <w:pPr>
        <w:pStyle w:val="ListBullet"/>
        <w:spacing w:after="160" w:line="276" w:lineRule="auto"/>
      </w:pPr>
      <w:r>
        <w:rPr>
          <w:rFonts w:ascii="Calibri" w:hAnsi="Calibri"/>
          <w:b/>
          <w:color w:val="1E3A5F"/>
          <w:sz w:val="22"/>
        </w:rPr>
        <w:t>Models:</w:t>
      </w:r>
      <w:r>
        <w:rPr>
          <w:rFonts w:ascii="Calibri" w:hAnsi="Calibri"/>
          <w:color w:val="1E293B"/>
          <w:sz w:val="22"/>
        </w:rPr>
        <w:t xml:space="preserve"> all three variables fitted, diagnosed, and validated. Full diagnostics (Ljung-Box, ARCH, Jarque-Bera, characteristic roots) computed and reported honestly, including where they don't pass.</w:t>
      </w:r>
    </w:p>
    <w:p>
      <w:pPr>
        <w:pStyle w:val="ListBullet"/>
        <w:spacing w:after="160" w:line="276" w:lineRule="auto"/>
      </w:pPr>
      <w:r>
        <w:rPr>
          <w:rFonts w:ascii="Calibri" w:hAnsi="Calibri"/>
          <w:b/>
          <w:color w:val="1E3A5F"/>
          <w:sz w:val="22"/>
        </w:rPr>
        <w:t>App:</w:t>
      </w:r>
      <w:r>
        <w:rPr>
          <w:rFonts w:ascii="Calibri" w:hAnsi="Calibri"/>
          <w:color w:val="1E293B"/>
          <w:sz w:val="22"/>
        </w:rPr>
        <w:t xml:space="preserve"> redesigned repeatedly, in response to real feedback each round — from a per-variable form into "River Outlook," a one-click dashboard that forecasts all 3 variables together with a plain-language explanation per variable, a 3-pane layout (not a narrow centred column), a "For the curious" panel exposing the actual AR/MA coefficients, their standard errors, and the stationarity test evidence, and finally an explicit "predict from/to" date-range control replacing an earlier horizon-from-2014 framing that couldn't express an arbitrary future window. Tested end-to-end in a real browser, committed and pushed — the live Render deployment updates automatically from this.</w:t>
      </w:r>
    </w:p>
    <w:p>
      <w:pPr>
        <w:pStyle w:val="ListBullet"/>
        <w:spacing w:after="160" w:line="276" w:lineRule="auto"/>
      </w:pPr>
      <w:r>
        <w:rPr>
          <w:rFonts w:ascii="Calibri" w:hAnsi="Calibri"/>
          <w:b/>
          <w:color w:val="1E3A5F"/>
          <w:sz w:val="22"/>
        </w:rPr>
        <w:t>Report:</w:t>
      </w:r>
      <w:r>
        <w:rPr>
          <w:rFonts w:ascii="Calibri" w:hAnsi="Calibri"/>
          <w:color w:val="1E293B"/>
          <w:sz w:val="22"/>
        </w:rPr>
        <w:t xml:space="preserve"> Chapters 1–5 rewritten — corrected basin identity throughout, added an explicit AR/MA/ARMA/ARIMA/ARIMAX comparison to the literature review, rewrote the methodology chapter around monthly/multi-variable/stochastic validation, rewrote the results chapter around the new figures and tables, and the code appendix auto-updated to include the two new modules (</w:t>
      </w:r>
      <w:r>
        <w:rPr>
          <w:rFonts w:ascii="Consolas" w:hAnsi="Consolas"/>
          <w:color w:val="B42828"/>
          <w:sz w:val="22"/>
        </w:rPr>
        <w:t>simulate.py</w:t>
      </w:r>
      <w:r>
        <w:rPr>
          <w:rFonts w:ascii="Calibri" w:hAnsi="Calibri"/>
          <w:color w:val="1E293B"/>
          <w:sz w:val="22"/>
        </w:rPr>
        <w:t xml:space="preserve">, </w:t>
      </w:r>
      <w:r>
        <w:rPr>
          <w:rFonts w:ascii="Consolas" w:hAnsi="Consolas"/>
          <w:color w:val="B42828"/>
          <w:sz w:val="22"/>
        </w:rPr>
        <w:t>validation.py</w:t>
      </w:r>
      <w:r>
        <w:rPr>
          <w:rFonts w:ascii="Calibri" w:hAnsi="Calibri"/>
          <w:color w:val="1E293B"/>
          <w:sz w:val="22"/>
        </w:rPr>
        <w:t>).</w:t>
      </w:r>
    </w:p>
    <w:p>
      <w:pPr>
        <w:pStyle w:val="ListBullet"/>
        <w:spacing w:after="160" w:line="276" w:lineRule="auto"/>
      </w:pPr>
      <w:r>
        <w:rPr>
          <w:rFonts w:ascii="Calibri" w:hAnsi="Calibri"/>
          <w:b/>
          <w:color w:val="1E3A5F"/>
          <w:sz w:val="22"/>
        </w:rPr>
        <w:t>Reviewed twice, independently.</w:t>
      </w:r>
      <w:r>
        <w:rPr>
          <w:rFonts w:ascii="Calibri" w:hAnsi="Calibri"/>
          <w:color w:val="1E293B"/>
          <w:sz w:val="22"/>
        </w:rPr>
        <w:t xml:space="preserve"> Two rounds of critical review surfaced real problems (a table numbering gap, a data-vs-text mismatch, two backwards test-result claims) that are now fixed, plus three genuine methodological gaps (no reservoir/ spillway worked example, an unsupported cross-basin transfer claim, an unstated discharge/stage independence caveat) that are now resolved with real supplementary analysis (§4.6, §4.8, §3.2) rather than just softened language. See "What was added on 2026-08-13" above for the full list.</w:t>
      </w:r>
    </w:p>
    <w:p>
      <w:pPr>
        <w:pStyle w:val="ListBullet"/>
        <w:spacing w:after="160" w:line="276" w:lineRule="auto"/>
      </w:pPr>
      <w:r>
        <w:rPr>
          <w:rFonts w:ascii="Calibri" w:hAnsi="Calibri"/>
          <w:b/>
          <w:color w:val="1E3A5F"/>
          <w:sz w:val="22"/>
        </w:rPr>
        <w:t>Still open, disclosed rather than hidden:</w:t>
      </w:r>
      <w:r>
        <w:rPr>
          <w:rFonts w:ascii="Calibri" w:hAnsi="Calibri"/>
          <w:color w:val="1E293B"/>
          <w:sz w:val="22"/>
        </w:rPr>
        <w:t xml:space="preserve"> the cross-basin check covers discharge and rainfall only (not stage, which needs a live per-basin data pull) and stops at order selection + diagnostics — it does not repeat the full 1,000-member stochastic validation for the two extra basins; that full replication is future work (Report §5.4). The design-discharge worked example is explicitly illustrative, not a substitute for a real design study with a formally chosen exceedance-probability standard.</w:t>
      </w:r>
    </w:p>
    <w:p>
      <w:pPr>
        <w:pStyle w:val="ListBullet"/>
        <w:spacing w:after="160" w:line="276" w:lineRule="auto"/>
      </w:pPr>
      <w:r>
        <w:rPr>
          <w:rFonts w:ascii="Calibri" w:hAnsi="Calibri"/>
          <w:b/>
          <w:color w:val="1E3A5F"/>
          <w:sz w:val="22"/>
        </w:rPr>
        <w:t>Not yet done:</w:t>
      </w:r>
      <w:r>
        <w:rPr>
          <w:rFonts w:ascii="Calibri" w:hAnsi="Calibri"/>
          <w:color w:val="1E293B"/>
          <w:sz w:val="22"/>
        </w:rPr>
        <w:t xml:space="preserve"> the docx → PDF export is manual (WPS Writer, Ctrl+A then F9 to refresh the Table of Contents / List of Figures / List of Tables, then export) — this machine has no Word/LibreOffice, so that last step is on you.</w:t>
      </w:r>
    </w:p>
    <w:p>
      <w:pPr>
        <w:pBdr>
          <w:bottom w:val="single" w:sz="8" w:space="4" w:color="2563EB"/>
        </w:pBdr>
        <w:spacing w:before="80" w:after="200"/>
      </w:pPr>
    </w:p>
    <w:p>
      <w:pPr>
        <w:shd w:val="clear" w:fill="EFF6FF"/>
        <w:spacing w:before="280" w:after="160"/>
      </w:pPr>
      <w:r>
        <w:rPr>
          <w:rFonts w:ascii="Calibri" w:hAnsi="Calibri"/>
          <w:b/>
          <w:color w:val="1E3A5F"/>
          <w:sz w:val="32"/>
        </w:rPr>
        <w:t>How to run it</w:t>
      </w:r>
    </w:p>
    <w:p>
      <w:pPr>
        <w:shd w:val="clear" w:fill="F4F6F8"/>
        <w:spacing w:before="80" w:after="200"/>
      </w:pPr>
      <w:r>
        <w:rPr>
          <w:rFonts w:ascii="Consolas" w:hAnsi="Consolas"/>
          <w:color w:val="1E293B"/>
          <w:sz w:val="19"/>
        </w:rPr>
        <w:t># Run the full pipeline (all 3 variables, all figures, data/results.json) — ~1-2 min</w:t>
      </w:r>
      <w:r>
        <w:br/>
      </w:r>
      <w:r>
        <w:rPr>
          <w:rFonts w:ascii="Consolas" w:hAnsi="Consolas"/>
          <w:color w:val="1E293B"/>
          <w:sz w:val="19"/>
        </w:rPr>
        <w:t>python run_pipeline.py</w:t>
      </w:r>
      <w:r>
        <w:br/>
      </w:r>
      <w:r>
        <w:rPr>
          <w:rFonts w:ascii="Consolas" w:hAnsi="Consolas"/>
          <w:color w:val="1E293B"/>
          <w:sz w:val="19"/>
        </w:rPr>
      </w:r>
      <w:r>
        <w:br/>
      </w:r>
      <w:r>
        <w:rPr>
          <w:rFonts w:ascii="Consolas" w:hAnsi="Consolas"/>
          <w:color w:val="1E293B"/>
          <w:sz w:val="19"/>
        </w:rPr>
        <w:t># Rebuild the full Chapter 1-5 report from the latest results.json</w:t>
      </w:r>
      <w:r>
        <w:br/>
      </w:r>
      <w:r>
        <w:rPr>
          <w:rFonts w:ascii="Consolas" w:hAnsi="Consolas"/>
          <w:color w:val="1E293B"/>
          <w:sz w:val="19"/>
        </w:rPr>
        <w:t>python write_full_report.py</w:t>
      </w:r>
      <w:r>
        <w:br/>
      </w:r>
      <w:r>
        <w:rPr>
          <w:rFonts w:ascii="Consolas" w:hAnsi="Consolas"/>
          <w:color w:val="1E293B"/>
          <w:sz w:val="19"/>
        </w:rPr>
      </w:r>
      <w:r>
        <w:br/>
      </w:r>
      <w:r>
        <w:rPr>
          <w:rFonts w:ascii="Consolas" w:hAnsi="Consolas"/>
          <w:color w:val="1E293B"/>
          <w:sz w:val="19"/>
        </w:rPr>
        <w:t># Rebuild this overview PDF</w:t>
      </w:r>
      <w:r>
        <w:br/>
      </w:r>
      <w:r>
        <w:rPr>
          <w:rFonts w:ascii="Consolas" w:hAnsi="Consolas"/>
          <w:color w:val="1E293B"/>
          <w:sz w:val="19"/>
        </w:rPr>
        <w:t>python make_overview_pdf.py</w:t>
      </w:r>
      <w:r>
        <w:br/>
      </w:r>
      <w:r>
        <w:rPr>
          <w:rFonts w:ascii="Consolas" w:hAnsi="Consolas"/>
          <w:color w:val="1E293B"/>
          <w:sz w:val="19"/>
        </w:rPr>
      </w:r>
      <w:r>
        <w:br/>
      </w:r>
      <w:r>
        <w:rPr>
          <w:rFonts w:ascii="Consolas" w:hAnsi="Consolas"/>
          <w:color w:val="1E293B"/>
          <w:sz w:val="19"/>
        </w:rPr>
        <w:t># Launch the interactive web app</w:t>
      </w:r>
      <w:r>
        <w:br/>
      </w:r>
      <w:r>
        <w:rPr>
          <w:rFonts w:ascii="Consolas" w:hAnsi="Consolas"/>
          <w:color w:val="1E293B"/>
          <w:sz w:val="19"/>
        </w:rPr>
        <w:t>streamlit run app.py</w:t>
      </w:r>
    </w:p>
    <w:p>
      <w:pPr>
        <w:spacing w:after="160" w:line="276" w:lineRule="auto"/>
      </w:pPr>
      <w:r>
        <w:rPr>
          <w:rFonts w:ascii="Calibri" w:hAnsi="Calibri"/>
          <w:color w:val="1E293B"/>
          <w:sz w:val="22"/>
        </w:rPr>
        <w:t xml:space="preserve">Regeneration order matters: run </w:t>
      </w:r>
      <w:r>
        <w:rPr>
          <w:rFonts w:ascii="Consolas" w:hAnsi="Consolas"/>
          <w:color w:val="B42828"/>
          <w:sz w:val="22"/>
        </w:rPr>
        <w:t>run_pipeline.py</w:t>
      </w:r>
      <w:r>
        <w:rPr>
          <w:rFonts w:ascii="Calibri" w:hAnsi="Calibri"/>
          <w:color w:val="1E293B"/>
          <w:sz w:val="22"/>
        </w:rPr>
        <w:t xml:space="preserve"> first — everything else reads </w:t>
      </w:r>
      <w:r>
        <w:rPr>
          <w:rFonts w:ascii="Consolas" w:hAnsi="Consolas"/>
          <w:color w:val="B42828"/>
          <w:sz w:val="22"/>
        </w:rPr>
        <w:t>data/results.json</w:t>
      </w:r>
      <w:r>
        <w:rPr>
          <w:rFonts w:ascii="Calibri" w:hAnsi="Calibri"/>
          <w:color w:val="1E293B"/>
          <w:sz w:val="22"/>
        </w:rPr>
        <w:t>, which it writes.</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