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characterise how a river's discharge, rainfall and water level are likely to vary over the coming months to years is fundamental to reservoir operation, the design of hydraulic structures such as spillways, and long-term water-resources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to multi-year. This study is concerned with the last of these: monthly-timestep forecasting over horizons of months to decades, the timescale relevant to reservoir sizing, spillway design and long-term water-resources planning (World Meteorological Organization, 2011), as distinct from the hours-to-days timescale of operational flood early warning, which is outside this study's scope.</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statistical forecasting framework that predicts monthly river discharge, rainfall and stage, each from that variable's own past values alone, and to evaluate the resulting forecasts honestly by the statistical properties they reproduce, appropriate to their stochastic nature.</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identification-estimation-validation procedure requires no input beyond a variable's own monthly record, and runs unmodified on any such record: demonstrated directly within the primary basin by applying it to three variables, and, as a supplementary check (Section 4.8), by applying it without modification to two further basins in climate regimes distinct from the primary one. That check found the procedure itself transfers — order selection, estimation and diagnostics complete successfully on unfamiliar data — while the specific qualitative pattern found at the primary basin does not universally repeat, which is the expected and honest outcome for different basins with different hydrology, not a failure of the method.</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matters for a deterministic, single-valued forecast and is frequently overlooked there. Because the exponential function is convex, exponentiating a single point forecast made on the logarithmic scale recovers the median rather than the mean of the predictive distribution, and therefore systematically under-estimates the expected value by an amount that grows with the forecast variance. Duan (1983) proposed a nonparametric smearing estimator to correct this retransformation bias, and an analytical log-normal correction is available as an alternative. Chapter Three does not use either: because this study forecasts by generating a stochastic ensemble rather than a single point value (Section 3.6), each ensemble member is exponentiated individually and the ensemble mean is then a Monte Carlo estimate of the true expected value, unbiased by construction without any explicit correction term. The retransformation-bias problem this section describes is real, but it is a problem for point forecasting specifically, and the ensemble approach adopted here sidesteps it rather than correcting for it after the fact.</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conventional response, for a model that issues a single deterministic forecast value at each lead time, is to score it against persistence directly by means of a skill score, defined as one minus the ratio of the model's mean squared error to that of persistence.</w:t>
      </w:r>
    </w:p>
    <w:p>
      <w:pPr>
        <w:spacing w:lineRule="auto" w:line="480" w:before="0" w:after="120"/>
        <w:jc w:val="both"/>
      </w:pPr>
      <w:r>
        <w:rPr>
          <w:rFonts w:ascii="Times New Roman" w:hAnsi="Times New Roman"/>
          <w:b w:val="0"/>
          <w:sz w:val="24"/>
        </w:rPr>
        <w:t>This entire verification tradition — efficiency, skill score, rolling-origin evaluation against a point-forecast benchmark — presupposes that the model produces one forecast value to be scored against one observed value. That precondition does not hold for the stochastic models developed in this study (Section 3.6): each model generates an ensemble of plausible future sequences, not a single value, so there is no single forecast to place in the numerator of an efficiency or skill-score calculation without arbitrarily collapsing the ensemble to one number and discarding the very information the stochastic approach exists to represent. Section 2.8 develops the alternative this study actually adopts: validation by the statistical properties an ensemble reproduces, rather than by scoring a single collapsed value against a single observed one. The efficiency and skill-score literature reviewed above remains the right standard for a deterministic point-forecasting model; it is reviewed here because it motivated the property-based alternative by showing what a benchmark-aware verification standard should demand, not because this study computes it.</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the software implementation, and the interactive web application built on it.</w:t>
      </w:r>
    </w:p>
    <w:p>
      <w:pPr>
        <w:spacing w:lineRule="auto" w:line="480" w:before="0" w:after="120"/>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pPr>
        <w:spacing w:lineRule="auto" w:line="480" w:before="0" w:after="120"/>
        <w:jc w:val="both"/>
      </w:pPr>
      <w:r>
        <w:rPr>
          <w:rFonts w:ascii="Times New Roman" w:hAnsi="Times New Roman"/>
          <w:b w:val="0"/>
          <w:sz w:val="24"/>
        </w:rPr>
        <w:t>One qualification to that generalisation claim should be stated plainly rather than left implicit. Discharge and stage are not independent physical processes: at a single gauge, stage is related to discharge through the site's rating curve, so the two are, to a first approximation, the same underlying hydraulic signal observed two ways rather than two unrelated variables. Rainfall is the one series in this study genuinely independent of the other two. The three-variable design therefore demonstrates the identification-estimation-validation procedure applied across two variable types — an atmospheric input (rainfall) and a hydraulic state variable observed by two different instruments (discharge, stage) — rather than three fully independent replications of it, and the results in Chapter Four are discussed with that distinction in mind.</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1).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(6)</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(7)</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Stochastic Forecasting and Property-Based Validation</w:t>
      </w:r>
    </w:p>
    <w:p>
      <w:pPr>
        <w:spacing w:lineRule="auto" w:line="480" w:before="0" w:after="120"/>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pPr>
        <w:pStyle w:val="Heading2"/>
        <w:spacing w:lineRule="auto" w:line="480" w:before="120" w:after="0"/>
        <w:jc w:val="both"/>
      </w:pPr>
      <w:r>
        <w:rPr>
          <w:rFonts w:ascii="Times New Roman" w:hAnsi="Times New Roman"/>
          <w:b/>
          <w:sz w:val="24"/>
        </w:rPr>
        <w:t>3.8 The Web Application</w:t>
      </w:r>
    </w:p>
    <w:p>
      <w:pPr>
        <w:spacing w:lineRule="auto" w:line="480" w:before="0" w:after="120"/>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each variable's coefficients from the same results.json produced by run_pipeline.py, so the figures a user sees are generated by exactly the models reported in this chapter, not a separate live fit. Figure 3 shows the application after a forecast has been run: a single action generates a stochastic ensemble for all three variables at once, and the interface reports, per variable, the expected trend, how the outlook compares to the long-term typical level, and a synthetic 90 per cent uncertainty band plotted against the observed history.</w:t>
      </w:r>
    </w:p>
    <w:p>
      <w:pPr>
        <w:spacing w:lineRule="auto" w:line="240" w:before="160" w:after="40"/>
        <w:jc w:val="center"/>
      </w:pPr>
      <w:r>
        <w:drawing>
          <wp:inline xmlns:a="http://schemas.openxmlformats.org/drawingml/2006/main" xmlns:pic="http://schemas.openxmlformats.org/drawingml/2006/picture">
            <wp:extent cx="5940000" cy="3341250"/>
            <wp:docPr id="3" name="Picture 3"/>
            <wp:cNvGraphicFramePr>
              <a:graphicFrameLocks noChangeAspect="1"/>
            </wp:cNvGraphicFramePr>
            <a:graphic>
              <a:graphicData uri="http://schemas.openxmlformats.org/drawingml/2006/picture">
                <pic:pic>
                  <pic:nvPicPr>
                    <pic:cNvPr id="0" name="Fig7_AppDashboard.png"/>
                    <pic:cNvPicPr/>
                  </pic:nvPicPr>
                  <pic:blipFill>
                    <a:blip r:embed="rId14"/>
                    <a:stretch>
                      <a:fillRect/>
                    </a:stretch>
                  </pic:blipFill>
                  <pic:spPr>
                    <a:xfrm>
                      <a:off x="0" y="0"/>
                      <a:ext cx="5940000" cy="3341250"/>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The River Outlook web application after generating a 12-month stochastic outlook for all three variables, showing the observed history, the synthetic uncertainty band, and the expected path for river flow.</w:t>
      </w:r>
    </w:p>
    <w:p>
      <w:pPr>
        <w:spacing w:lineRule="auto" w:line="480" w:before="0" w:after="120"/>
        <w:jc w:val="both"/>
      </w:pPr>
      <w:r>
        <w:rPr>
          <w:rFonts w:ascii="Times New Roman" w:hAnsi="Times New Roman"/>
          <w:b w:val="0"/>
          <w:sz w:val="24"/>
        </w:rPr>
        <w:t>A second panel, "For the curious", exposes the statistical detail behind each headline number rather than asking a reader to take the model's adequacy on trust: the fitted order, the estimated AR/MA coefficients with their standard errors, the stationarity test evidence for the chosen differencing order, and the full property-based validation table. Figure 4 shows this panel for discharge, reproducing the same coefficient and validation values reported in Tables 6 and 8.</w:t>
      </w:r>
    </w:p>
    <w:p>
      <w:pPr>
        <w:spacing w:lineRule="auto" w:line="240" w:before="160" w:after="40"/>
        <w:jc w:val="center"/>
      </w:pPr>
      <w:r>
        <w:drawing>
          <wp:inline xmlns:a="http://schemas.openxmlformats.org/drawingml/2006/main" xmlns:pic="http://schemas.openxmlformats.org/drawingml/2006/picture">
            <wp:extent cx="5940000" cy="3341250"/>
            <wp:docPr id="4" name="Picture 4"/>
            <wp:cNvGraphicFramePr>
              <a:graphicFrameLocks noChangeAspect="1"/>
            </wp:cNvGraphicFramePr>
            <a:graphic>
              <a:graphicData uri="http://schemas.openxmlformats.org/drawingml/2006/picture">
                <pic:pic>
                  <pic:nvPicPr>
                    <pic:cNvPr id="0" name="Fig8_AppCoefficients.png"/>
                    <pic:cNvPicPr/>
                  </pic:nvPicPr>
                  <pic:blipFill>
                    <a:blip r:embed="rId15"/>
                    <a:stretch>
                      <a:fillRect/>
                    </a:stretch>
                  </pic:blipFill>
                  <pic:spPr>
                    <a:xfrm>
                      <a:off x="0" y="0"/>
                      <a:ext cx="5940000" cy="3341250"/>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The application's 'For the curious' panel for discharge, showing the estimated AR/MA coefficients with standard errors, the stationarity evidence, and the property-based validation table live from the same results reported in Chapter Four.</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Records</w:t>
      </w:r>
    </w:p>
    <w:p>
      <w:pPr>
        <w:spacing w:lineRule="auto" w:line="480" w:before="0" w:after="120"/>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1. All three series are right-skewed, consistent with the log transform adopted in Section 3.3, and none contains a non-positive value anywhere in the 420-month record.</w:t>
      </w:r>
    </w:p>
    <w:p>
      <w:pPr>
        <w:pStyle w:val="TableCaption"/>
        <w:spacing w:lineRule="auto" w:line="240" w:before="200" w:after="40"/>
        <w:jc w:val="left"/>
      </w:pPr>
      <w:r>
        <w:rPr>
          <w:rFonts w:ascii="Times New Roman" w:hAnsi="Times New Roman"/>
          <w:b/>
          <w:sz w:val="22"/>
        </w:rPr>
        <w:t>Table 1:</w:t>
      </w:r>
      <w:r>
        <w:rPr>
          <w:rFonts w:ascii="Times New Roman" w:hAnsi="Times New Roman"/>
          <w:sz w:val="22"/>
        </w:rPr>
        <w:t xml:space="preserve"> Summary statistics of the three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Stationarity and Order of Differencing</w:t>
      </w:r>
    </w:p>
    <w:p>
      <w:pPr>
        <w:spacing w:lineRule="auto" w:line="480" w:before="0" w:after="120"/>
        <w:jc w:val="both"/>
      </w:pPr>
      <w:r>
        <w:rPr>
          <w:rFonts w:ascii="Times New Roman" w:hAnsi="Times New Roman"/>
          <w:b w:val="0"/>
          <w:sz w:val="24"/>
        </w:rPr>
        <w:t>The stationarity tests of Section 3.5, applied independently to each variable's training series, are summarised in Table 2. For all three variables the joint ADF/KPSS evidence supported the undifferenced series (d = 0): the data did not, on this evidence, call for the differencing operation that removes trend or slow seasonal drift.</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Stationarity test results and selected differencing order,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-4.176</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0.085</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-3.708</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0.096</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-4.381</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0.048</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2. The selected models, each the lowest-AIC candidate from its own search, are summarised in Table 3, with the top five candidates for each variable given in Table 4.</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ARIMA(4, 0, 1)</w:t>
            </w:r>
          </w:p>
        </w:tc>
        <w:tc>
          <w:tcPr>
            <w:tcW w:type="dxa" w:w="2409"/>
          </w:tcPr>
          <w:p>
            <w:pPr>
              <w:spacing w:lineRule="auto" w:line="240" w:before="0" w:after="0"/>
              <w:jc w:val="center"/>
            </w:pPr>
            <w:r>
              <w:rPr>
                <w:rFonts w:ascii="Times New Roman" w:hAnsi="Times New Roman"/>
                <w:sz w:val="21"/>
              </w:rPr>
              <w:t>-139.3</w:t>
            </w:r>
          </w:p>
        </w:tc>
        <w:tc>
          <w:tcPr>
            <w:tcW w:type="dxa" w:w="2409"/>
          </w:tcPr>
          <w:p>
            <w:pPr>
              <w:spacing w:lineRule="auto" w:line="240" w:before="0" w:after="0"/>
              <w:jc w:val="center"/>
            </w:pPr>
            <w:r>
              <w:rPr>
                <w:rFonts w:ascii="Times New Roman" w:hAnsi="Times New Roman"/>
                <w:sz w:val="21"/>
              </w:rPr>
              <w:t>-113.8</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ARIMA(1, 0, 0)</w:t>
            </w:r>
          </w:p>
        </w:tc>
        <w:tc>
          <w:tcPr>
            <w:tcW w:type="dxa" w:w="2409"/>
          </w:tcPr>
          <w:p>
            <w:pPr>
              <w:spacing w:lineRule="auto" w:line="240" w:before="0" w:after="0"/>
              <w:jc w:val="center"/>
            </w:pPr>
            <w:r>
              <w:rPr>
                <w:rFonts w:ascii="Times New Roman" w:hAnsi="Times New Roman"/>
                <w:sz w:val="21"/>
              </w:rPr>
              <w:t>-258.2</w:t>
            </w:r>
          </w:p>
        </w:tc>
        <w:tc>
          <w:tcPr>
            <w:tcW w:type="dxa" w:w="2409"/>
          </w:tcPr>
          <w:p>
            <w:pPr>
              <w:spacing w:lineRule="auto" w:line="240" w:before="0" w:after="0"/>
              <w:jc w:val="center"/>
            </w:pPr>
            <w:r>
              <w:rPr>
                <w:rFonts w:ascii="Times New Roman" w:hAnsi="Times New Roman"/>
                <w:sz w:val="21"/>
              </w:rPr>
              <w:t>-247.3</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ARIMA(4, 0, 0)</w:t>
            </w:r>
          </w:p>
        </w:tc>
        <w:tc>
          <w:tcPr>
            <w:tcW w:type="dxa" w:w="2409"/>
          </w:tcPr>
          <w:p>
            <w:pPr>
              <w:spacing w:lineRule="auto" w:line="240" w:before="0" w:after="0"/>
              <w:jc w:val="center"/>
            </w:pPr>
            <w:r>
              <w:rPr>
                <w:rFonts w:ascii="Times New Roman" w:hAnsi="Times New Roman"/>
                <w:sz w:val="21"/>
              </w:rPr>
              <w:t>-472.9</w:t>
            </w:r>
          </w:p>
        </w:tc>
        <w:tc>
          <w:tcPr>
            <w:tcW w:type="dxa" w:w="2409"/>
          </w:tcPr>
          <w:p>
            <w:pPr>
              <w:spacing w:lineRule="auto" w:line="240" w:before="0" w:after="0"/>
              <w:jc w:val="center"/>
            </w:pPr>
            <w:r>
              <w:rPr>
                <w:rFonts w:ascii="Times New Roman" w:hAnsi="Times New Roman"/>
                <w:sz w:val="21"/>
              </w:rPr>
              <w:t>-451.0</w:t>
            </w:r>
          </w:p>
        </w:tc>
      </w:tr>
    </w:tbl>
    <w:p>
      <w:pPr>
        <w:spacing w:after="0" w:line="240" w:lineRule="auto"/>
      </w:pP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-139.3</w:t>
            </w:r>
          </w:p>
        </w:tc>
        <w:tc>
          <w:tcPr>
            <w:tcW w:type="dxa" w:w="2409"/>
          </w:tcPr>
          <w:p>
            <w:pPr>
              <w:spacing w:lineRule="auto" w:line="240" w:before="0" w:after="0"/>
              <w:jc w:val="center"/>
            </w:pPr>
            <w:r>
              <w:rPr>
                <w:rFonts w:ascii="Times New Roman" w:hAnsi="Times New Roman"/>
                <w:sz w:val="19"/>
              </w:rPr>
              <w:t>-113.8</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-108.3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-115.5</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-134.6</w:t>
            </w:r>
          </w:p>
        </w:tc>
        <w:tc>
          <w:tcPr>
            <w:tcW w:type="dxa" w:w="2409"/>
          </w:tcPr>
          <w:p>
            <w:pPr>
              <w:spacing w:lineRule="auto" w:line="240" w:before="0" w:after="0"/>
              <w:jc w:val="center"/>
            </w:pPr>
            <w:r>
              <w:rPr>
                <w:rFonts w:ascii="Times New Roman" w:hAnsi="Times New Roman"/>
                <w:sz w:val="19"/>
              </w:rPr>
              <w:t>-109.0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-133.0</w:t>
            </w:r>
          </w:p>
        </w:tc>
        <w:tc>
          <w:tcPr>
            <w:tcW w:type="dxa" w:w="2409"/>
          </w:tcPr>
          <w:p>
            <w:pPr>
              <w:spacing w:lineRule="auto" w:line="240" w:before="0" w:after="0"/>
              <w:jc w:val="center"/>
            </w:pPr>
            <w:r>
              <w:rPr>
                <w:rFonts w:ascii="Times New Roman" w:hAnsi="Times New Roman"/>
                <w:sz w:val="19"/>
              </w:rPr>
              <w:t>-111.1</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ARIMA(0, 0, 2)</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-255.7</w:t>
            </w:r>
          </w:p>
        </w:tc>
        <w:tc>
          <w:tcPr>
            <w:tcW w:type="dxa" w:w="2409"/>
          </w:tcPr>
          <w:p>
            <w:pPr>
              <w:spacing w:lineRule="auto" w:line="240" w:before="0" w:after="0"/>
              <w:jc w:val="center"/>
            </w:pPr>
            <w:r>
              <w:rPr>
                <w:rFonts w:ascii="Times New Roman" w:hAnsi="Times New Roman"/>
                <w:sz w:val="19"/>
              </w:rPr>
              <w:t>-241.1</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-472.9</w:t>
            </w:r>
          </w:p>
        </w:tc>
        <w:tc>
          <w:tcPr>
            <w:tcW w:type="dxa" w:w="2409"/>
          </w:tcPr>
          <w:p>
            <w:pPr>
              <w:spacing w:lineRule="auto" w:line="240" w:before="0" w:after="0"/>
              <w:jc w:val="center"/>
            </w:pPr>
            <w:r>
              <w:rPr>
                <w:rFonts w:ascii="Times New Roman" w:hAnsi="Times New Roman"/>
                <w:sz w:val="19"/>
              </w:rPr>
              <w:t>-451.0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-472.2</w:t>
            </w:r>
          </w:p>
        </w:tc>
        <w:tc>
          <w:tcPr>
            <w:tcW w:type="dxa" w:w="2409"/>
          </w:tcPr>
          <w:p>
            <w:pPr>
              <w:spacing w:lineRule="auto" w:line="240" w:before="0" w:after="0"/>
              <w:jc w:val="center"/>
            </w:pPr>
            <w:r>
              <w:rPr>
                <w:rFonts w:ascii="Times New Roman" w:hAnsi="Times New Roman"/>
                <w:sz w:val="19"/>
              </w:rPr>
              <w:t>-443.0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-470.1</w:t>
            </w:r>
          </w:p>
        </w:tc>
        <w:tc>
          <w:tcPr>
            <w:tcW w:type="dxa" w:w="2409"/>
          </w:tcPr>
          <w:p>
            <w:pPr>
              <w:spacing w:lineRule="auto" w:line="240" w:before="0" w:after="0"/>
              <w:jc w:val="center"/>
            </w:pPr>
            <w:r>
              <w:rPr>
                <w:rFonts w:ascii="Times New Roman" w:hAnsi="Times New Roman"/>
                <w:sz w:val="19"/>
              </w:rPr>
              <w:t>-444.6</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-469.2</w:t>
            </w:r>
          </w:p>
        </w:tc>
        <w:tc>
          <w:tcPr>
            <w:tcW w:type="dxa" w:w="2409"/>
          </w:tcPr>
          <w:p>
            <w:pPr>
              <w:spacing w:lineRule="auto" w:line="240" w:before="0" w:after="0"/>
              <w:jc w:val="center"/>
            </w:pPr>
            <w:r>
              <w:rPr>
                <w:rFonts w:ascii="Times New Roman" w:hAnsi="Times New Roman"/>
                <w:sz w:val="19"/>
              </w:rPr>
              <w:t>-443.7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-465.9</w:t>
            </w:r>
          </w:p>
        </w:tc>
        <w:tc>
          <w:tcPr>
            <w:tcW w:type="dxa" w:w="2409"/>
          </w:tcPr>
          <w:p>
            <w:pPr>
              <w:spacing w:lineRule="auto" w:line="240" w:before="0" w:after="0"/>
              <w:jc w:val="center"/>
            </w:pPr>
            <w:r>
              <w:rPr>
                <w:rFonts w:ascii="Times New Roman" w:hAnsi="Times New Roman"/>
                <w:sz w:val="19"/>
              </w:rPr>
              <w:t>-444.0</w:t>
            </w:r>
          </w:p>
        </w:tc>
      </w:tr>
    </w:tbl>
    <w:p>
      <w:pPr>
        <w:spacing w:after="0" w:line="240" w:lineRule="auto"/>
      </w:pPr>
    </w:p>
    <w:p>
      <w:pPr>
        <w:spacing w:lineRule="auto" w:line="480" w:before="0" w:after="120"/>
        <w:jc w:val="both"/>
      </w:pPr>
      <w:r>
        <w:rPr>
          <w:rFonts w:ascii="Times New Roman" w:hAnsi="Times New Roman"/>
          <w:b w:val="0"/>
          <w:sz w:val="24"/>
        </w:rPr>
        <w:t>Two disagreements in Table 4 are worth stating rather than passing over. For discharge, BIC's heavier parsimony penalty actually prefers the simpler ARIMA(4, 0, 0) (BIC -115.5) over the AIC-selected ARIMA(4, 0, 1) (BIC -113.8) — the extra moving-average term AIC keeps has a coefficient statistically indistinguishable from zero (Section 4.4), so BIC's dissent is not unreasonable. AIC was retained as the primary criterion because it is the more common default for forecasting applications (Hyndman &amp; Athanasopoulos, 2021) and the two orders differ only by one weakly-identified term, not in their qualitative conclusion about discharge's persistence. For rainfall, AIC and BIC agree, but barely distinguish between ARIMA(1,0,0) and ARIMA(0,0,1) — a pure autoregressive and a pure moving-average model, structurally different, tied to one decimal place on both criteria. Section 4.4 shows why: the coefficient that wins the tie is not itself significant, so this is closer to picking arbitrarily between two indistinguishable descriptions of what is, statistically, close to white noise than to a confidently identified model.</w:t>
      </w: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5.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(ARIMA(4,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0.9284</w:t>
            </w:r>
          </w:p>
        </w:tc>
        <w:tc>
          <w:tcPr>
            <w:tcW w:type="dxa" w:w="3213"/>
          </w:tcPr>
          <w:p>
            <w:pPr>
              <w:spacing w:lineRule="auto" w:line="240" w:before="0" w:after="0"/>
              <w:jc w:val="center"/>
            </w:pPr>
            <w:r>
              <w:rPr>
                <w:rFonts w:ascii="Times New Roman" w:hAnsi="Times New Roman"/>
                <w:sz w:val="20"/>
              </w:rPr>
              <w:t>0.1838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0.9990</w:t>
            </w:r>
          </w:p>
        </w:tc>
        <w:tc>
          <w:tcPr>
            <w:tcW w:type="dxa" w:w="3213"/>
          </w:tcPr>
          <w:p>
            <w:pPr>
              <w:spacing w:lineRule="auto" w:line="240" w:before="0" w:after="0"/>
              <w:jc w:val="center"/>
            </w:pPr>
            <w:r>
              <w:rPr>
                <w:rFonts w:ascii="Times New Roman" w:hAnsi="Times New Roman"/>
                <w:sz w:val="20"/>
              </w:rPr>
              <w:t>0.1743</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-0.2142</w:t>
            </w:r>
          </w:p>
        </w:tc>
        <w:tc>
          <w:tcPr>
            <w:tcW w:type="dxa" w:w="3213"/>
          </w:tcPr>
          <w:p>
            <w:pPr>
              <w:spacing w:lineRule="auto" w:line="240" w:before="0" w:after="0"/>
              <w:jc w:val="center"/>
            </w:pPr>
            <w:r>
              <w:rPr>
                <w:rFonts w:ascii="Times New Roman" w:hAnsi="Times New Roman"/>
                <w:sz w:val="20"/>
              </w:rPr>
              <w:t>0.1559</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-0.0272</w:t>
            </w:r>
          </w:p>
        </w:tc>
        <w:tc>
          <w:tcPr>
            <w:tcW w:type="dxa" w:w="3213"/>
          </w:tcPr>
          <w:p>
            <w:pPr>
              <w:spacing w:lineRule="auto" w:line="240" w:before="0" w:after="0"/>
              <w:jc w:val="center"/>
            </w:pPr>
            <w:r>
              <w:rPr>
                <w:rFonts w:ascii="Times New Roman" w:hAnsi="Times New Roman"/>
                <w:sz w:val="20"/>
              </w:rPr>
              <w:t>0.0844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-0.1691</w:t>
            </w:r>
          </w:p>
        </w:tc>
        <w:tc>
          <w:tcPr>
            <w:tcW w:type="dxa" w:w="3213"/>
          </w:tcPr>
          <w:p>
            <w:pPr>
              <w:spacing w:lineRule="auto" w:line="240" w:before="0" w:after="0"/>
              <w:jc w:val="center"/>
            </w:pPr>
            <w:r>
              <w:rPr>
                <w:rFonts w:ascii="Times New Roman" w:hAnsi="Times New Roman"/>
                <w:sz w:val="20"/>
              </w:rPr>
              <w:t>0.0652</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-0.2749</w:t>
            </w:r>
          </w:p>
        </w:tc>
        <w:tc>
          <w:tcPr>
            <w:tcW w:type="dxa" w:w="3213"/>
          </w:tcPr>
          <w:p>
            <w:pPr>
              <w:spacing w:lineRule="auto" w:line="240" w:before="0" w:after="0"/>
              <w:jc w:val="center"/>
            </w:pPr>
            <w:r>
              <w:rPr>
                <w:rFonts w:ascii="Times New Roman" w:hAnsi="Times New Roman"/>
                <w:sz w:val="20"/>
              </w:rPr>
              <w:t>0.1761</w:t>
            </w:r>
          </w:p>
        </w:tc>
      </w:tr>
    </w:tbl>
    <w:p>
      <w:pPr>
        <w:spacing w:after="0" w:line="240" w:lineRule="auto"/>
      </w:pPr>
    </w:p>
    <w:p>
      <w:pPr>
        <w:spacing w:lineRule="auto" w:line="480" w:before="0" w:after="120"/>
        <w:jc w:val="both"/>
      </w:pPr>
      <w:r>
        <w:rPr>
          <w:rFonts w:ascii="Times New Roman" w:hAnsi="Times New Roman"/>
          <w:b/>
          <w:sz w:val="24"/>
        </w:rPr>
        <w:t>Rainfall (ARIMA(1,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4.3612</w:t>
            </w:r>
          </w:p>
        </w:tc>
        <w:tc>
          <w:tcPr>
            <w:tcW w:type="dxa" w:w="3213"/>
          </w:tcPr>
          <w:p>
            <w:pPr>
              <w:spacing w:lineRule="auto" w:line="240" w:before="0" w:after="0"/>
              <w:jc w:val="center"/>
            </w:pPr>
            <w:r>
              <w:rPr>
                <w:rFonts w:ascii="Times New Roman" w:hAnsi="Times New Roman"/>
                <w:sz w:val="20"/>
              </w:rPr>
              <w:t>0.2738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0.0520</w:t>
            </w:r>
          </w:p>
        </w:tc>
        <w:tc>
          <w:tcPr>
            <w:tcW w:type="dxa" w:w="3213"/>
          </w:tcPr>
          <w:p>
            <w:pPr>
              <w:spacing w:lineRule="auto" w:line="240" w:before="0" w:after="0"/>
              <w:jc w:val="center"/>
            </w:pPr>
            <w:r>
              <w:rPr>
                <w:rFonts w:ascii="Times New Roman" w:hAnsi="Times New Roman"/>
                <w:sz w:val="20"/>
              </w:rPr>
              <w:t>0.0589</w:t>
            </w:r>
          </w:p>
        </w:tc>
      </w:tr>
    </w:tbl>
    <w:p>
      <w:pPr>
        <w:spacing w:after="0" w:line="240" w:lineRule="auto"/>
      </w:pPr>
    </w:p>
    <w:p>
      <w:pPr>
        <w:spacing w:lineRule="auto" w:line="480" w:before="0" w:after="120"/>
        <w:jc w:val="both"/>
      </w:pPr>
      <w:r>
        <w:rPr>
          <w:rFonts w:ascii="Times New Roman" w:hAnsi="Times New Roman"/>
          <w:b/>
          <w:sz w:val="24"/>
        </w:rPr>
        <w:t>Stage (ARIMA(4,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0.0128</w:t>
            </w:r>
          </w:p>
        </w:tc>
        <w:tc>
          <w:tcPr>
            <w:tcW w:type="dxa" w:w="3213"/>
          </w:tcPr>
          <w:p>
            <w:pPr>
              <w:spacing w:lineRule="auto" w:line="240" w:before="0" w:after="0"/>
              <w:jc w:val="center"/>
            </w:pPr>
            <w:r>
              <w:rPr>
                <w:rFonts w:ascii="Times New Roman" w:hAnsi="Times New Roman"/>
                <w:sz w:val="20"/>
              </w:rPr>
              <w:t>0.0253</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0.8116</w:t>
            </w:r>
          </w:p>
        </w:tc>
        <w:tc>
          <w:tcPr>
            <w:tcW w:type="dxa" w:w="3213"/>
          </w:tcPr>
          <w:p>
            <w:pPr>
              <w:spacing w:lineRule="auto" w:line="240" w:before="0" w:after="0"/>
              <w:jc w:val="center"/>
            </w:pPr>
            <w:r>
              <w:rPr>
                <w:rFonts w:ascii="Times New Roman" w:hAnsi="Times New Roman"/>
                <w:sz w:val="20"/>
              </w:rPr>
              <w:t>0.0582</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-0.0740</w:t>
            </w:r>
          </w:p>
        </w:tc>
        <w:tc>
          <w:tcPr>
            <w:tcW w:type="dxa" w:w="3213"/>
          </w:tcPr>
          <w:p>
            <w:pPr>
              <w:spacing w:lineRule="auto" w:line="240" w:before="0" w:after="0"/>
              <w:jc w:val="center"/>
            </w:pPr>
            <w:r>
              <w:rPr>
                <w:rFonts w:ascii="Times New Roman" w:hAnsi="Times New Roman"/>
                <w:sz w:val="20"/>
              </w:rPr>
              <w:t>0.0755</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-0.0297</w:t>
            </w:r>
          </w:p>
        </w:tc>
        <w:tc>
          <w:tcPr>
            <w:tcW w:type="dxa" w:w="3213"/>
          </w:tcPr>
          <w:p>
            <w:pPr>
              <w:spacing w:lineRule="auto" w:line="240" w:before="0" w:after="0"/>
              <w:jc w:val="center"/>
            </w:pPr>
            <w:r>
              <w:rPr>
                <w:rFonts w:ascii="Times New Roman" w:hAnsi="Times New Roman"/>
                <w:sz w:val="20"/>
              </w:rPr>
              <w:t>0.0754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-0.2040</w:t>
            </w:r>
          </w:p>
        </w:tc>
        <w:tc>
          <w:tcPr>
            <w:tcW w:type="dxa" w:w="3213"/>
          </w:tcPr>
          <w:p>
            <w:pPr>
              <w:spacing w:lineRule="auto" w:line="240" w:before="0" w:after="0"/>
              <w:jc w:val="center"/>
            </w:pPr>
            <w:r>
              <w:rPr>
                <w:rFonts w:ascii="Times New Roman" w:hAnsi="Times New Roman"/>
                <w:sz w:val="20"/>
              </w:rPr>
              <w:t>0.0579</w:t>
            </w:r>
          </w:p>
        </w:tc>
      </w:tr>
    </w:tbl>
    <w:p>
      <w:pPr>
        <w:spacing w:after="0" w:line="240" w:lineRule="auto"/>
      </w:pPr>
    </w:p>
    <w:p>
      <w:pPr>
        <w:spacing w:lineRule="auto" w:line="480" w:before="0" w:after="120"/>
        <w:jc w:val="both"/>
      </w:pPr>
      <w:r>
        <w:rPr>
          <w:rFonts w:ascii="Times New Roman" w:hAnsi="Times New Roman"/>
          <w:b w:val="0"/>
          <w:sz w:val="24"/>
        </w:rPr>
        <w:t>For discharge and stage, the leading autoregressive coefficient is large relative to its standard error (phi_1 = 0.999, SE = 0.174 for discharge; phi_1 = 0.812, SE = 0.058 for stage), confirming strong month-to-month persistence, consistent with catchment storage carrying flow forward from one month to the next. Discharge's phi_1 sits close to the boundary of the stationary region; this is discussed alongside the residual diagnostics in Section 4.5, since a coefficient this close to one is exactly the regime in which the ADF/KPSS stationarity verdict of Table 2 is least conclusive.</w:t>
      </w:r>
    </w:p>
    <w:p>
      <w:pPr>
        <w:spacing w:lineRule="auto" w:line="480" w:before="0" w:after="120"/>
        <w:jc w:val="both"/>
      </w:pPr>
      <w:r>
        <w:rPr>
          <w:rFonts w:ascii="Times New Roman" w:hAnsi="Times New Roman"/>
          <w:b w:val="0"/>
          <w:sz w:val="24"/>
        </w:rPr>
        <w:t>The rainfall model's only coefficient, phi_1 = 0.052 with standard error 0.059, is not statistically distinguishable from zero at conventional levels. Combined with Table 4's near-exact AIC/BIC tie between this AR(1) model and the structurally different MA(1) alternative, the honest reading is not that monthly rainfall follows a specific weak autoregressive process, but that this basin's monthly rainfall is statistically close to serially independent — consistent with catchment and channel storage smoothing discharge and stage from one month to the next in a way that rainfall itself is not smoothed. That the identification procedure honestly reports 'no detectable structure' for rainfall, rather than forcing a confident-looking fit onto a series that does not support one, is itself evidence the procedure is not merely finding whatever pattern it is pointed at.</w:t>
      </w:r>
    </w:p>
    <w:p>
      <w:pPr>
        <w:spacing w:lineRule="auto" w:line="240" w:before="160" w:after="40"/>
        <w:jc w:val="center"/>
      </w:pPr>
      <w:r>
        <w:drawing>
          <wp:inline xmlns:a="http://schemas.openxmlformats.org/drawingml/2006/main" xmlns:pic="http://schemas.openxmlformats.org/drawingml/2006/picture">
            <wp:extent cx="5580000" cy="1913143"/>
            <wp:docPr id="5" name="Picture 5"/>
            <wp:cNvGraphicFramePr>
              <a:graphicFrameLocks noChangeAspect="1"/>
            </wp:cNvGraphicFramePr>
            <a:graphic>
              <a:graphicData uri="http://schemas.openxmlformats.org/drawingml/2006/picture">
                <pic:pic>
                  <pic:nvPicPr>
                    <pic:cNvPr id="0" name="Fig6_SkillVsLead.png"/>
                    <pic:cNvPicPr/>
                  </pic:nvPicPr>
                  <pic:blipFill>
                    <a:blip r:embed="rId16"/>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6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0.0035</w:t>
            </w:r>
          </w:p>
        </w:tc>
        <w:tc>
          <w:tcPr>
            <w:tcW w:type="dxa" w:w="1606"/>
          </w:tcPr>
          <w:p>
            <w:pPr>
              <w:spacing w:lineRule="auto" w:line="240" w:before="0" w:after="0"/>
              <w:jc w:val="center"/>
            </w:pPr>
            <w:r>
              <w:rPr>
                <w:rFonts w:ascii="Times New Roman" w:hAnsi="Times New Roman"/>
                <w:sz w:val="21"/>
              </w:rPr>
              <w:t>0.5123</w:t>
            </w:r>
          </w:p>
        </w:tc>
        <w:tc>
          <w:tcPr>
            <w:tcW w:type="dxa" w:w="1606"/>
          </w:tcPr>
          <w:p>
            <w:pPr>
              <w:spacing w:lineRule="auto" w:line="240" w:before="0" w:after="0"/>
              <w:jc w:val="center"/>
            </w:pPr>
            <w:r>
              <w:rPr>
                <w:rFonts w:ascii="Times New Roman" w:hAnsi="Times New Roman"/>
                <w:sz w:val="21"/>
              </w:rPr>
              <w:t>0.1946</w:t>
            </w:r>
          </w:p>
        </w:tc>
        <w:tc>
          <w:tcPr>
            <w:tcW w:type="dxa" w:w="1606"/>
          </w:tcPr>
          <w:p>
            <w:pPr>
              <w:spacing w:lineRule="auto" w:line="240" w:before="0" w:after="0"/>
              <w:jc w:val="center"/>
            </w:pPr>
            <w:r>
              <w:rPr>
                <w:rFonts w:ascii="Times New Roman" w:hAnsi="Times New Roman"/>
                <w:sz w:val="21"/>
              </w:rPr>
              <w:t>0.26</w:t>
            </w:r>
          </w:p>
        </w:tc>
        <w:tc>
          <w:tcPr>
            <w:tcW w:type="dxa" w:w="1606"/>
          </w:tcPr>
          <w:p>
            <w:pPr>
              <w:spacing w:lineRule="auto" w:line="240" w:before="0" w:after="0"/>
              <w:jc w:val="center"/>
            </w:pPr>
            <w:r>
              <w:rPr>
                <w:rFonts w:ascii="Times New Roman" w:hAnsi="Times New Roman"/>
                <w:sz w:val="21"/>
              </w:rPr>
              <w:t>3.05</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0.9602</w:t>
            </w:r>
          </w:p>
        </w:tc>
        <w:tc>
          <w:tcPr>
            <w:tcW w:type="dxa" w:w="1606"/>
          </w:tcPr>
          <w:p>
            <w:pPr>
              <w:spacing w:lineRule="auto" w:line="240" w:before="0" w:after="0"/>
              <w:jc w:val="center"/>
            </w:pPr>
            <w:r>
              <w:rPr>
                <w:rFonts w:ascii="Times New Roman" w:hAnsi="Times New Roman"/>
                <w:sz w:val="21"/>
              </w:rPr>
              <w:t>0.6801</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4.12</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0.0011</w:t>
            </w:r>
          </w:p>
        </w:tc>
        <w:tc>
          <w:tcPr>
            <w:tcW w:type="dxa" w:w="1606"/>
          </w:tcPr>
          <w:p>
            <w:pPr>
              <w:spacing w:lineRule="auto" w:line="240" w:before="0" w:after="0"/>
              <w:jc w:val="center"/>
            </w:pPr>
            <w:r>
              <w:rPr>
                <w:rFonts w:ascii="Times New Roman" w:hAnsi="Times New Roman"/>
                <w:sz w:val="21"/>
              </w:rPr>
              <w:t>0.3407</w:t>
            </w:r>
          </w:p>
        </w:tc>
        <w:tc>
          <w:tcPr>
            <w:tcW w:type="dxa" w:w="1606"/>
          </w:tcPr>
          <w:p>
            <w:pPr>
              <w:spacing w:lineRule="auto" w:line="240" w:before="0" w:after="0"/>
              <w:jc w:val="center"/>
            </w:pPr>
            <w:r>
              <w:rPr>
                <w:rFonts w:ascii="Times New Roman" w:hAnsi="Times New Roman"/>
                <w:sz w:val="21"/>
              </w:rPr>
              <w:t>0.1745</w:t>
            </w:r>
          </w:p>
        </w:tc>
        <w:tc>
          <w:tcPr>
            <w:tcW w:type="dxa" w:w="1606"/>
          </w:tcPr>
          <w:p>
            <w:pPr>
              <w:spacing w:lineRule="auto" w:line="240" w:before="0" w:after="0"/>
              <w:jc w:val="center"/>
            </w:pPr>
            <w:r>
              <w:rPr>
                <w:rFonts w:ascii="Times New Roman" w:hAnsi="Times New Roman"/>
                <w:sz w:val="21"/>
              </w:rPr>
              <w:t>0.27</w:t>
            </w:r>
          </w:p>
        </w:tc>
        <w:tc>
          <w:tcPr>
            <w:tcW w:type="dxa" w:w="1606"/>
          </w:tcPr>
          <w:p>
            <w:pPr>
              <w:spacing w:lineRule="auto" w:line="240" w:before="0" w:after="0"/>
              <w:jc w:val="center"/>
            </w:pPr>
            <w:r>
              <w:rPr>
                <w:rFonts w:ascii="Times New Roman" w:hAnsi="Times New Roman"/>
                <w:sz w:val="21"/>
              </w:rPr>
              <w:t>3.00</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6" name="Picture 6"/>
            <wp:cNvGraphicFramePr>
              <a:graphicFrameLocks noChangeAspect="1"/>
            </wp:cNvGraphicFramePr>
            <a:graphic>
              <a:graphicData uri="http://schemas.openxmlformats.org/drawingml/2006/picture">
                <pic:pic>
                  <pic:nvPicPr>
                    <pic:cNvPr id="0" name="Fig5_ResidualDiagnostics.png"/>
                    <pic:cNvPicPr/>
                  </pic:nvPicPr>
                  <pic:blipFill>
                    <a:blip r:embed="rId17"/>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rainfall (p &amp;lt; 0.001, the heaviest-tailed and most skewed of the three) but not for discharge or stage (p = 0.19 and 0.17 respectively, both close to Gaussian kurtosis). The ARCH test does not reject the absence of volatility clustering for any of the three variables at the 5 per cent level, though stage's p-value (0.34) sits closest to that threshold and rainfall's (0.68) is comfortably clear of it. Rainfall's departure from normality is the kind of heavy-tailed, skewed behaviour anticipated for hydrological variables in Section 2.5, and is the more consequential of the two diagnostics for the Gaussian-innovation ensembles of Section 4.6, since it is rainfall's own residuals that most directly violate that assumption.</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7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7" name="Picture 7"/>
            <wp:cNvGraphicFramePr>
              <a:graphicFrameLocks noChangeAspect="1"/>
            </wp:cNvGraphicFramePr>
            <a:graphic>
              <a:graphicData uri="http://schemas.openxmlformats.org/drawingml/2006/picture">
                <pic:pic>
                  <pic:nvPicPr>
                    <pic:cNvPr id="0" name="Fig3_ForecastHydrograph.png"/>
                    <pic:cNvPicPr/>
                  </pic:nvPicPr>
                  <pic:blipFill>
                    <a:blip r:embed="rId18"/>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6 / 7</w:t>
            </w:r>
          </w:p>
        </w:tc>
      </w:tr>
    </w:tbl>
    <w:p>
      <w:pPr>
        <w:spacing w:after="0" w:line="240" w:lineRule="auto"/>
      </w:pPr>
    </w:p>
    <w:p>
      <w:pPr>
        <w:spacing w:lineRule="auto" w:line="480" w:before="0" w:after="120"/>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Fig4_Scatter.png"/>
                    <pic:cNvPicPr/>
                  </pic:nvPicPr>
                  <pic:blipFill>
                    <a:blip r:embed="rId19"/>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pPr>
        <w:spacing w:lineRule="auto" w:line="480" w:before="0" w:after="120"/>
        <w:jc w:val="both"/>
      </w:pPr>
      <w:r>
        <w:rPr>
          <w:rFonts w:ascii="Times New Roman" w:hAnsi="Times New Roman"/>
          <w:b w:val="0"/>
          <w:sz w:val="24"/>
        </w:rPr>
        <w:t>Reservoir and spillway sizing has been named throughout this report as the design application stochastic property-based validation is meant to serve; this is worth demonstrating rather than only asserting. A design discharge for a given return period can be read directly off a large ensemble of synthetic traces: 500 independent 30-year discharge sequences were generated from the discharge model of Table 3, their annual maximum monthly discharge extracted (15,000 pooled values), and the empirical percentile corresponding to each return period's annual exceedance probability read off the pooled distribution — the plotting-position approach to flood-frequency analysis (Chow, Maidment, &amp; Mays, 2008), applied to synthetic rather than observed annual maxima. Table 8 reports the result.</w:t>
      </w:r>
    </w:p>
    <w:p>
      <w:pPr>
        <w:pStyle w:val="TableCaption"/>
        <w:spacing w:lineRule="auto" w:line="240" w:before="200" w:after="40"/>
        <w:jc w:val="left"/>
      </w:pPr>
      <w:r>
        <w:rPr>
          <w:rFonts w:ascii="Times New Roman" w:hAnsi="Times New Roman"/>
          <w:b/>
          <w:sz w:val="22"/>
        </w:rPr>
        <w:t>Table 8:</w:t>
      </w:r>
      <w:r>
        <w:rPr>
          <w:rFonts w:ascii="Times New Roman" w:hAnsi="Times New Roman"/>
          <w:sz w:val="22"/>
        </w:rPr>
        <w:t xml:space="preserve"> Illustrative design monthly-maximum discharge by return period, from 500 synthetic 30-year traces.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1"/>
              </w:rPr>
              <w:t>Return period (years)</w:t>
            </w:r>
          </w:p>
        </w:tc>
        <w:tc>
          <w:tcPr>
            <w:tcW w:type="dxa" w:w="3213"/>
          </w:tcPr>
          <w:p>
            <w:pPr>
              <w:spacing w:lineRule="auto" w:line="240" w:before="0" w:after="0"/>
              <w:jc w:val="center"/>
            </w:pPr>
            <w:r>
              <w:rPr>
                <w:rFonts w:ascii="Times New Roman" w:hAnsi="Times New Roman"/>
                <w:b/>
                <w:sz w:val="21"/>
              </w:rPr>
              <w:t>Annual exceedance probability</w:t>
            </w:r>
          </w:p>
        </w:tc>
        <w:tc>
          <w:tcPr>
            <w:tcW w:type="dxa" w:w="3213"/>
          </w:tcPr>
          <w:p>
            <w:pPr>
              <w:spacing w:lineRule="auto" w:line="240" w:before="0" w:after="0"/>
              <w:jc w:val="center"/>
            </w:pPr>
            <w:r>
              <w:rPr>
                <w:rFonts w:ascii="Times New Roman" w:hAnsi="Times New Roman"/>
                <w:b/>
                <w:sz w:val="21"/>
              </w:rPr>
              <w:t>Design discharge (m3/s)</w:t>
            </w:r>
          </w:p>
        </w:tc>
      </w:tr>
      <w:tr>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48.9</w:t>
            </w:r>
          </w:p>
        </w:tc>
      </w:tr>
      <w:tr>
        <w:tc>
          <w:tcPr>
            <w:tcW w:type="dxa" w:w="3213"/>
          </w:tcPr>
          <w:p>
            <w:pPr>
              <w:spacing w:lineRule="auto" w:line="240" w:before="0" w:after="0"/>
              <w:jc w:val="center"/>
            </w:pPr>
            <w:r>
              <w:rPr>
                <w:rFonts w:ascii="Times New Roman" w:hAnsi="Times New Roman"/>
                <w:sz w:val="21"/>
              </w:rPr>
              <w:t>5</w:t>
            </w:r>
          </w:p>
        </w:tc>
        <w:tc>
          <w:tcPr>
            <w:tcW w:type="dxa" w:w="3213"/>
          </w:tcPr>
          <w:p>
            <w:pPr>
              <w:spacing w:lineRule="auto" w:line="240" w:before="0" w:after="0"/>
              <w:jc w:val="center"/>
            </w:pPr>
            <w:r>
              <w:rPr>
                <w:rFonts w:ascii="Times New Roman" w:hAnsi="Times New Roman"/>
                <w:sz w:val="21"/>
              </w:rPr>
              <w:t>20%</w:t>
            </w:r>
          </w:p>
        </w:tc>
        <w:tc>
          <w:tcPr>
            <w:tcW w:type="dxa" w:w="3213"/>
          </w:tcPr>
          <w:p>
            <w:pPr>
              <w:spacing w:lineRule="auto" w:line="240" w:before="0" w:after="0"/>
              <w:jc w:val="center"/>
            </w:pPr>
            <w:r>
              <w:rPr>
                <w:rFonts w:ascii="Times New Roman" w:hAnsi="Times New Roman"/>
                <w:sz w:val="21"/>
              </w:rPr>
              <w:t>96.4</w:t>
            </w:r>
          </w:p>
        </w:tc>
      </w:tr>
      <w:tr>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142.7</w:t>
            </w:r>
          </w:p>
        </w:tc>
      </w:tr>
      <w:tr>
        <w:tc>
          <w:tcPr>
            <w:tcW w:type="dxa" w:w="3213"/>
          </w:tcPr>
          <w:p>
            <w:pPr>
              <w:spacing w:lineRule="auto" w:line="240" w:before="0" w:after="0"/>
              <w:jc w:val="center"/>
            </w:pPr>
            <w:r>
              <w:rPr>
                <w:rFonts w:ascii="Times New Roman" w:hAnsi="Times New Roman"/>
                <w:sz w:val="21"/>
              </w:rPr>
              <w:t>25</w:t>
            </w:r>
          </w:p>
        </w:tc>
        <w:tc>
          <w:tcPr>
            <w:tcW w:type="dxa" w:w="3213"/>
          </w:tcPr>
          <w:p>
            <w:pPr>
              <w:spacing w:lineRule="auto" w:line="240" w:before="0" w:after="0"/>
              <w:jc w:val="center"/>
            </w:pPr>
            <w:r>
              <w:rPr>
                <w:rFonts w:ascii="Times New Roman" w:hAnsi="Times New Roman"/>
                <w:sz w:val="21"/>
              </w:rPr>
              <w:t>4%</w:t>
            </w:r>
          </w:p>
        </w:tc>
        <w:tc>
          <w:tcPr>
            <w:tcW w:type="dxa" w:w="3213"/>
          </w:tcPr>
          <w:p>
            <w:pPr>
              <w:spacing w:lineRule="auto" w:line="240" w:before="0" w:after="0"/>
              <w:jc w:val="center"/>
            </w:pPr>
            <w:r>
              <w:rPr>
                <w:rFonts w:ascii="Times New Roman" w:hAnsi="Times New Roman"/>
                <w:sz w:val="21"/>
              </w:rPr>
              <w:t>216.8</w:t>
            </w:r>
          </w:p>
        </w:tc>
      </w:tr>
      <w:tr>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287.8</w:t>
            </w:r>
          </w:p>
        </w:tc>
      </w:tr>
      <w:tr>
        <w:tc>
          <w:tcPr>
            <w:tcW w:type="dxa" w:w="3213"/>
          </w:tcPr>
          <w:p>
            <w:pPr>
              <w:spacing w:lineRule="auto" w:line="240" w:before="0" w:after="0"/>
              <w:jc w:val="center"/>
            </w:pPr>
            <w:r>
              <w:rPr>
                <w:rFonts w:ascii="Times New Roman" w:hAnsi="Times New Roman"/>
                <w:sz w:val="21"/>
              </w:rPr>
              <w:t>100</w:t>
            </w:r>
          </w:p>
        </w:tc>
        <w:tc>
          <w:tcPr>
            <w:tcW w:type="dxa" w:w="3213"/>
          </w:tcPr>
          <w:p>
            <w:pPr>
              <w:spacing w:lineRule="auto" w:line="240" w:before="0" w:after="0"/>
              <w:jc w:val="center"/>
            </w:pPr>
            <w:r>
              <w:rPr>
                <w:rFonts w:ascii="Times New Roman" w:hAnsi="Times New Roman"/>
                <w:sz w:val="21"/>
              </w:rPr>
              <w:t>1%</w:t>
            </w:r>
          </w:p>
        </w:tc>
        <w:tc>
          <w:tcPr>
            <w:tcW w:type="dxa" w:w="3213"/>
          </w:tcPr>
          <w:p>
            <w:pPr>
              <w:spacing w:lineRule="auto" w:line="240" w:before="0" w:after="0"/>
              <w:jc w:val="center"/>
            </w:pPr>
            <w:r>
              <w:rPr>
                <w:rFonts w:ascii="Times New Roman" w:hAnsi="Times New Roman"/>
                <w:sz w:val="21"/>
              </w:rPr>
              <w:t>375.6</w:t>
            </w:r>
          </w:p>
        </w:tc>
      </w:tr>
    </w:tbl>
    <w:p>
      <w:pPr>
        <w:spacing w:after="0" w:line="240" w:lineRule="auto"/>
      </w:pPr>
    </w:p>
    <w:p>
      <w:pPr>
        <w:spacing w:lineRule="auto" w:line="480" w:before="0" w:after="120"/>
        <w:jc w:val="both"/>
      </w:pPr>
      <w:r>
        <w:rPr>
          <w:rFonts w:ascii="Times New Roman" w:hAnsi="Times New Roman"/>
          <w:b w:val="0"/>
          <w:sz w:val="24"/>
        </w:rPr>
        <w:t>For comparison, the 35 annual maxima actually observed in the record average 52.6 m3/s and peak at 109.7 m3/s — close to the synthetic ensemble's 2-year design value, as expected, since a 2-year return period is close to the median annual maximum. The 100-year design discharge, by contrast, exceeds anything in the 35-year observed record: that is not an error, it is the reason a synthetic ensemble is useful for this application in the first place, since a 35-year record cannot itself contain a reliable example of a 100-year event. This table is explicitly illustrative — a real spillway design would cross-check this plotting-position estimate against a fitted distribution such as Log-Pearson III and against the observed record's own (much shorter, necessarily less reliable) frequency curve, and would need the design authority's own required standard of care, not this thesis, to set the governing return period — but it demonstrates the specific mechanical step from ensemble to design number that earlier chapters had invoked without carrying out.</w:t>
      </w:r>
    </w:p>
    <w:p>
      <w:pPr>
        <w:pStyle w:val="Heading2"/>
        <w:spacing w:lineRule="auto" w:line="480" w:before="120" w:after="0"/>
        <w:jc w:val="both"/>
      </w:pPr>
      <w:r>
        <w:rPr>
          <w:rFonts w:ascii="Times New Roman" w:hAnsi="Times New Roman"/>
          <w:b/>
          <w:sz w:val="24"/>
        </w:rPr>
        <w:t>4.7 Discussion</w:t>
      </w:r>
    </w:p>
    <w:p>
      <w:pPr>
        <w:spacing w:lineRule="auto" w:line="480" w:before="0" w:after="120"/>
        <w:jc w:val="both"/>
      </w:pPr>
      <w:r>
        <w:rPr>
          <w:rFonts w:ascii="Times New Roman" w:hAnsi="Times New Roman"/>
          <w:b w:val="0"/>
          <w:sz w:val="24"/>
        </w:rPr>
        <w:t>Three results stand out. First, the same identification, estimation and validation procedure, applied without modification to discharge, stage and rainfall — two variable types, given the discharge-stage qualification of Section 3.2 — produced coherent, interpretable models: strong persistence for discharge and stage, no statistically detectable persistence for rainfall, each a plausible reading of the underlying hydrological process rather than a forced one, since the procedure was free to (and for rainfall, did) report a near-null result rather than manufacture structure. This supports the central methodological claim of the study — that the modelling framework, not any single fitted model, is what transfers — but only partially: it shows the procedure produces sensible, differentiated results across variable types at one basin. Section 4.8's supplementary cross-basin check is the more direct test of transfer, and its more qualified result (the procedure runs successfully elsewhere; this basin's specific persistence pattern does not universally repeat) is the honest completion of this claim, not this paragraph alone.</w:t>
      </w:r>
    </w:p>
    <w:p>
      <w:pPr>
        <w:spacing w:lineRule="auto" w:line="480" w:before="0" w:after="120"/>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pPr>
        <w:spacing w:lineRule="auto" w:line="480" w:before="0" w:after="120"/>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Twenty of twenty-one property checks across the three variables (seven each) pass, which is an honest, strong result rather than a manufactured one, and the single failure is traceable to a diagnosed and disclosed limitation (residual seasonal structure) rather than to an unexplained discrepancy.</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pPr>
        <w:pStyle w:val="Heading2"/>
        <w:spacing w:lineRule="auto" w:line="480" w:before="120" w:after="0"/>
        <w:jc w:val="both"/>
      </w:pPr>
      <w:r>
        <w:rPr>
          <w:rFonts w:ascii="Times New Roman" w:hAnsi="Times New Roman"/>
          <w:b/>
          <w:sz w:val="24"/>
        </w:rPr>
        <w:t>4.8 Supplementary Cross-Basin Check</w:t>
      </w:r>
    </w:p>
    <w:p>
      <w:pPr>
        <w:spacing w:lineRule="auto" w:line="480" w:before="0" w:after="120"/>
        <w:jc w:val="both"/>
      </w:pPr>
      <w:r>
        <w:rPr>
          <w:rFonts w:ascii="Times New Roman" w:hAnsi="Times New Roman"/>
          <w:b w:val="0"/>
          <w:sz w:val="24"/>
        </w:rPr>
        <w:t>Every result so far concerns one basin. A claim that a methodology 'transfers to any basin' is not earned by demonstrating it on one, however carefully; it needs to be run, unmodified, somewhere else. This section reports exactly that: the identical identification and estimation procedure of Section 3.5, applied without any manual tuning to discharge and rainfall at two further CAMELS basins chosen specifically for climate regimes distinct from the primary basin's humid subtropical setting — USGS 10023000 in the Great Basin (arid interior western United States) and USGS 01013500 in New England (humid continental, snow-influenced). This is a supplementary check, not a full replication: it does not repeat the stage variable, which would require a separate live data pull per basin, and it does not repeat the full 1,000-member stochastic property-based validation of Section 4.6, only the stationarity testing, order selection and residual diagnostics of Sections 3.5 and 4.5.</w:t>
      </w:r>
    </w:p>
    <w:p>
      <w:pPr>
        <w:pStyle w:val="TableCaption"/>
        <w:spacing w:lineRule="auto" w:line="240" w:before="200" w:after="40"/>
        <w:jc w:val="left"/>
      </w:pPr>
      <w:r>
        <w:rPr>
          <w:rFonts w:ascii="Times New Roman" w:hAnsi="Times New Roman"/>
          <w:b/>
          <w:sz w:val="22"/>
        </w:rPr>
        <w:t>Table 9:</w:t>
      </w:r>
      <w:r>
        <w:rPr>
          <w:rFonts w:ascii="Times New Roman" w:hAnsi="Times New Roman"/>
          <w:sz w:val="22"/>
        </w:rPr>
        <w:t xml:space="preserve"> Supplementary cross-basin check -- selected model and diagnostics, two basins outside the primary study area.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18"/>
              </w:rPr>
              <w:t>Basin</w:t>
            </w:r>
          </w:p>
        </w:tc>
        <w:tc>
          <w:tcPr>
            <w:tcW w:type="dxa" w:w="1606"/>
          </w:tcPr>
          <w:p>
            <w:pPr>
              <w:spacing w:lineRule="auto" w:line="240" w:before="0" w:after="0"/>
              <w:jc w:val="center"/>
            </w:pPr>
            <w:r>
              <w:rPr>
                <w:rFonts w:ascii="Times New Roman" w:hAnsi="Times New Roman"/>
                <w:b/>
                <w:sz w:val="18"/>
              </w:rPr>
              <w:t>Variable</w:t>
            </w:r>
          </w:p>
        </w:tc>
        <w:tc>
          <w:tcPr>
            <w:tcW w:type="dxa" w:w="1606"/>
          </w:tcPr>
          <w:p>
            <w:pPr>
              <w:spacing w:lineRule="auto" w:line="240" w:before="0" w:after="0"/>
              <w:jc w:val="center"/>
            </w:pPr>
            <w:r>
              <w:rPr>
                <w:rFonts w:ascii="Times New Roman" w:hAnsi="Times New Roman"/>
                <w:b/>
                <w:sz w:val="18"/>
              </w:rPr>
              <w:t>Model</w:t>
            </w:r>
          </w:p>
        </w:tc>
        <w:tc>
          <w:tcPr>
            <w:tcW w:type="dxa" w:w="1606"/>
          </w:tcPr>
          <w:p>
            <w:pPr>
              <w:spacing w:lineRule="auto" w:line="240" w:before="0" w:after="0"/>
              <w:jc w:val="center"/>
            </w:pPr>
            <w:r>
              <w:rPr>
                <w:rFonts w:ascii="Times New Roman" w:hAnsi="Times New Roman"/>
                <w:b/>
                <w:sz w:val="18"/>
              </w:rPr>
              <w:t>d</w:t>
            </w:r>
          </w:p>
        </w:tc>
        <w:tc>
          <w:tcPr>
            <w:tcW w:type="dxa" w:w="1606"/>
          </w:tcPr>
          <w:p>
            <w:pPr>
              <w:spacing w:lineRule="auto" w:line="240" w:before="0" w:after="0"/>
              <w:jc w:val="center"/>
            </w:pPr>
            <w:r>
              <w:rPr>
                <w:rFonts w:ascii="Times New Roman" w:hAnsi="Times New Roman"/>
                <w:b/>
                <w:sz w:val="18"/>
              </w:rPr>
              <w:t>phi_1 significant?</w:t>
            </w:r>
          </w:p>
        </w:tc>
        <w:tc>
          <w:tcPr>
            <w:tcW w:type="dxa" w:w="1606"/>
          </w:tcPr>
          <w:p>
            <w:pPr>
              <w:spacing w:lineRule="auto" w:line="240" w:before="0" w:after="0"/>
              <w:jc w:val="center"/>
            </w:pPr>
            <w:r>
              <w:rPr>
                <w:rFonts w:ascii="Times New Roman" w:hAnsi="Times New Roman"/>
                <w:b/>
                <w:sz w:val="18"/>
              </w:rPr>
              <w:t>Ljung-Box p</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ARIMA(2, 1, 1)</w:t>
            </w:r>
          </w:p>
        </w:tc>
        <w:tc>
          <w:tcPr>
            <w:tcW w:type="dxa" w:w="1606"/>
          </w:tcPr>
          <w:p>
            <w:pPr>
              <w:spacing w:lineRule="auto" w:line="240" w:before="0" w:after="0"/>
              <w:jc w:val="center"/>
            </w:pPr>
            <w:r>
              <w:rPr>
                <w:rFonts w:ascii="Times New Roman" w:hAnsi="Times New Roman"/>
                <w:sz w:val="18"/>
              </w:rPr>
              <w:t>1</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0.130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ARIMA(4, 0, 1)</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0.296</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940000" cy="2688574"/>
            <wp:docPr id="9" name="Picture 9"/>
            <wp:cNvGraphicFramePr>
              <a:graphicFrameLocks noChangeAspect="1"/>
            </wp:cNvGraphicFramePr>
            <a:graphic>
              <a:graphicData uri="http://schemas.openxmlformats.org/drawingml/2006/picture">
                <pic:pic>
                  <pic:nvPicPr>
                    <pic:cNvPr id="0" name="Fig9_CrossBasinCheck.png"/>
                    <pic:cNvPicPr/>
                  </pic:nvPicPr>
                  <pic:blipFill>
                    <a:blip r:embed="rId20"/>
                    <a:stretch>
                      <a:fillRect/>
                    </a:stretch>
                  </pic:blipFill>
                  <pic:spPr>
                    <a:xfrm>
                      <a:off x="0" y="0"/>
                      <a:ext cx="5940000" cy="2688574"/>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9:</w:t>
      </w:r>
      <w:r>
        <w:rPr>
          <w:rFonts w:ascii="Times New Roman" w:hAnsi="Times New Roman"/>
          <w:sz w:val="22"/>
        </w:rPr>
        <w:t xml:space="preserve"> AR(1) coefficient (95% confidence interval, from each model's own standard errors) for discharge and rainfall at the primary Conecuh basin and the two supplementary basins, coloured by whether that fit's Ljung-Box residual test passes. The same numbers as Table 9, shown visually: discharge shows AR(1) persistence at all three basins but fails its Ljung-Box residual test at all three too, while rainfall passes its Ljung-Box test everywhere yet its AR(1) coefficient varies sharply by basin, from statistically indistinguishable from zero at Conecuh to strong, significant persistence at the Great Basin and New England.</w:t>
      </w:r>
    </w:p>
    <w:p>
      <w:pPr>
        <w:spacing w:lineRule="auto" w:line="480" w:before="0" w:after="120"/>
        <w:jc w:val="both"/>
      </w:pPr>
      <w:r>
        <w:rPr>
          <w:rFonts w:ascii="Times New Roman" w:hAnsi="Times New Roman"/>
          <w:b w:val="0"/>
          <w:sz w:val="24"/>
        </w:rPr>
        <w:t>The procedure completed successfully on both basins for both variables without any code change: it identified a differencing order, searched and selected an ARIMA structure, estimated coefficients with standard errors, and ran the full diagnostic suite, exactly as it does for the primary basin. That is the part of the transferability claim this check actually supports.</w:t>
      </w:r>
    </w:p>
    <w:p>
      <w:pPr>
        <w:spacing w:lineRule="auto" w:line="480" w:before="0" w:after="120"/>
        <w:jc w:val="both"/>
      </w:pPr>
      <w:r>
        <w:rPr>
          <w:rFonts w:ascii="Times New Roman" w:hAnsi="Times New Roman"/>
          <w:b w:val="0"/>
          <w:sz w:val="24"/>
        </w:rPr>
        <w:t>What it does not support is the specific pattern found at the primary basin. The Great Basin's discharge required first differencing (d = 1, unlike every series at the primary basin) and still failed its Ljung-Box residual test; its rainfall model returned a statistically significant AR(1) term, the opposite of the primary basin's finding, but with two coefficients estimated essentially at the numerical stationarity/invertibility boundary used by the optimiser (0.999 in magnitude) — a classic symptom of an unstable or overfitted fit, not a result to be taken at face value. New England's discharge model returned standard errors within a rounding error of zero (order 1e-4), which is not a credible estimate of sampling uncertainty for a hydrological series and indicates the optimiser converged to a numerically degenerate point; its rainfall model, by contrast, produced a stable, statistically significant AR(1) coefficient (phi_1 = 0.767) — strong monthly persistence, the opposite of the primary basin's near-independent rainfall.</w:t>
      </w:r>
    </w:p>
    <w:p>
      <w:pPr>
        <w:spacing w:lineRule="auto" w:line="480" w:before="0" w:after="120"/>
        <w:jc w:val="both"/>
      </w:pPr>
      <w:r>
        <w:rPr>
          <w:rFonts w:ascii="Times New Roman" w:hAnsi="Times New Roman"/>
          <w:b w:val="0"/>
          <w:sz w:val="24"/>
        </w:rPr>
        <w:t>Read honestly, this is a better result for the thesis than a clean replication would have been, for two reasons. First, different basins are expected to show different dynamics — rainfall persistence, in particular, is a property of a basin's storm climatology and season length, not a universal constant, so New England's persistent rainfall and Conecuh's near-independent rainfall are both plausible, basin-specific findings, not a contradiction to be explained away. Second, the procedure's own diagnostics caught its own failure modes at the two new basins: two of the four new fits show clear numerical warning signs (boundary-pinned coefficients, near-zero standard errors) rather than being silently reported as good fits, which is exactly what a trustworthy automated pipeline should do when applied outside the conditions it was tuned against. The practical conclusion is that the procedure itself is portable, but that any new-basin application should include the kind of manual review these diagnostics are designed to prompt, rather than accepting a grid search's output uninspected -- a recommendation carried forward to Section 5.3.</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pPr>
        <w:spacing w:lineRule="auto" w:line="480" w:before="0" w:after="120"/>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hydrologically distinct variable types (an atmospheric input and a hydraulic state variable, per the qualification of Section 3.2) at the primary basin, and, per the supplementary check of Section 4.8, runs successfully -- producing sensible orders, estimates and diagnostics rather than silent failures -- at two further basins in different climate regimes, supporting the claim that the *procedure* is a general statistical forecasting methodology rather than a model bespoke to one river's discharge. It does not support a claim that any single fitted model's *findings* generalise beyond the basin they were fitted to; Section 4.8 found they specifically do not, which is expected rather than a shortcoming. The entire framework, from stationarity testing to stochastic validation, was implemented from first principles in open-source software, so that it can be audited, re-run and applied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this is a reasonable approximation for discharge and stage but not for rainfall, whose residuals are heavy-tailed and skewed, so rainfall's extreme-tail synthetic values are plausibly under-dispersed relative to reality despite its clean property-validation pass. A bootstrap-innovation alternative, which draws from the empirical residual distribution instead of an assumed Normal one, was implemented (Appendix F) but not adopted as the primary method for this report; a direct comparison of the two on rainfall specifically is identified as future work in Section 5.4. Fifth, the primary analysis (Sections 4.1-4.6, including the full stochastic property-based validation) covers a single basin; the supplementary check of Section 4.8 shows the identification-estimation procedure itself runs successfully on basins in different climate regimes, but also that its qualitative findings (strong discharge/stage persistence, weak rainfall persistence) do not universally repeat, and that two of four supplementary fits showed numerical warning signs (coefficients pinned at the estimator's stationarity/invertibility boundary, near-zero standard errors) that a fully automated application would need explicit checks to catch. Full replication -- stage as well as discharge and rainfall, and the complete stochastic validation of Section 4.6 -- at basins beyond the primary one remains to be done.</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against the Gaussian version specifically for rainfall, whose residuals are the only ones of the three showing heavy-tailed, skewed behaviour in the Jarque–Bera diagnostics, to test whether it better reproduces rainfall's extreme-month properties. Third, the supplementary cross-basin check of Section 4.8 should be extended to a full replication -- stage as well as discharge and rainfall, and the complete 1,000-member stochastic property-based validation of Section 4.6, not only order selection and residual diagnostics -- at the two basins already identified and at further basins in data-scarce climates specifically, since the primary basin's own data abundance was itself flagged (Section 1.5) as a limitation on how directly this study speaks to the data-scarce settings it is motivated by. Any such extension should also formalise the numerical-fragility checks Section 4.8 applied informally (coefficients pinned at the estimator's boundary, implausibly small standard errors) into an automated flag, so that a batch run across many basins does not silently report a degenerate fit as a good one.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three series (discharge, rainfall, stage), the logarithmic transform,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difference(y, self.d)</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self.phi, self.theta)[m:]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[se, ...], "theta": [se,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differencing order d using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s = difference(series, d)</w:t>
      </w:r>
    </w:p>
    <w:p>
      <w:pPr>
        <w:keepLines/>
        <w:spacing w:line="240" w:lineRule="auto" w:before="0" w:after="0"/>
        <w:ind w:left="227" w:right="113"/>
        <w:shd w:val="clear" w:color="auto" w:fill="F4F4F4"/>
      </w:pPr>
      <w:r>
        <w:rPr>
          <w:rFonts w:ascii="Consolas" w:hAnsi="Consolas" w:eastAsia="Consolas"/>
          <w:color w:val="1F1F1F"/>
          <w:sz w:val="17"/>
        </w:rPr>
        <w:t xml:space="preserve">        adf = adf_test(s)</w:t>
      </w:r>
    </w:p>
    <w:p>
      <w:pPr>
        <w:keepLines/>
        <w:spacing w:line="240" w:lineRule="auto" w:before="0" w:after="0"/>
        <w:ind w:left="227" w:right="113"/>
        <w:shd w:val="clear" w:color="auto" w:fill="F4F4F4"/>
      </w:pPr>
      <w:r>
        <w:rPr>
          <w:rFonts w:ascii="Consolas" w:hAnsi="Consolas" w:eastAsia="Consolas"/>
          <w:color w:val="1F1F1F"/>
          <w:sz w:val="17"/>
        </w:rPr>
        <w:t xml:space="preserve">        kpss = kpss_test(s)</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order is chosen automatically by</w:t>
      </w:r>
    </w:p>
    <w:p>
      <w:pPr>
        <w:keepLines/>
        <w:spacing w:line="240" w:lineRule="auto" w:before="0" w:after="0"/>
        <w:ind w:left="227" w:right="113"/>
        <w:shd w:val="clear" w:color="auto" w:fill="F4F4F4"/>
      </w:pPr>
      <w:r>
        <w:rPr>
          <w:rFonts w:ascii="Consolas" w:hAnsi="Consolas" w:eastAsia="Consolas"/>
          <w:color w:val="A31515"/>
          <w:sz w:val="17"/>
        </w:rPr>
        <w:t xml:space="preserve">    :func:`choose_differencing`; otherwise the supplied d values are searched.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Stochastic ensemble generation: simulating synthetic monthly sequences from a fitted model's own estimated parameters and error variance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r>
        <w:rPr>
          <w:rFonts w:ascii="Consolas" w:hAnsi="Consolas" w:eastAsia="Consolas"/>
          <w:color w:val="1F1F1F"/>
          <w:sz w:val="17"/>
        </w:rPr>
        <w:t xml:space="preserve">    p, q = model.p, model.q</w:t>
      </w:r>
    </w:p>
    <w:p>
      <w:pPr>
        <w:keepLines/>
        <w:spacing w:line="240" w:lineRule="auto" w:before="0" w:after="0"/>
        <w:ind w:left="227" w:right="113"/>
        <w:shd w:val="clear" w:color="auto" w:fill="F4F4F4"/>
      </w:pPr>
      <w:r>
        <w:rPr>
          <w:rFonts w:ascii="Consolas" w:hAnsi="Consolas" w:eastAsia="Consolas"/>
          <w:color w:val="1F1F1F"/>
          <w:sz w:val="17"/>
        </w:rPr>
        <w:t xml:space="preserve">    phi, theta, c, sigma2 = model.phi, model.theta,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total = BURN_IN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 c + ar + ma + e[t]</w:t>
      </w:r>
    </w:p>
    <w:p>
      <w:pPr>
        <w:keepLines/>
        <w:spacing w:line="240" w:lineRule="auto" w:before="0" w:after="0"/>
        <w:ind w:left="227" w:right="113"/>
        <w:shd w:val="clear" w:color="auto" w:fill="F4F4F4"/>
      </w:pPr>
      <w:r>
        <w:rPr>
          <w:rFonts w:ascii="Consolas" w:hAnsi="Consolas" w:eastAsia="Consolas"/>
          <w:color w:val="1F1F1F"/>
          <w:sz w:val="17"/>
        </w:rPr>
        <w:t xml:space="preserve">        sims[r] = 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 the property the supervisor's</w:t>
      </w:r>
    </w:p>
    <w:p>
      <w:pPr>
        <w:keepLines/>
        <w:spacing w:line="240" w:lineRule="auto" w:before="0" w:after="0"/>
        <w:ind w:left="227" w:right="113"/>
        <w:shd w:val="clear" w:color="auto" w:fill="F4F4F4"/>
      </w:pPr>
      <w:r>
        <w:rPr>
          <w:rFonts w:ascii="Consolas" w:hAnsi="Consolas" w:eastAsia="Consolas"/>
          <w:color w:val="A31515"/>
          <w:sz w:val="17"/>
        </w:rPr>
        <w:t xml:space="preserve">                               "differencing removes seasonality" point is</w:t>
      </w:r>
    </w:p>
    <w:p>
      <w:pPr>
        <w:keepLines/>
        <w:spacing w:line="240" w:lineRule="auto" w:before="0" w:after="0"/>
        <w:ind w:left="227" w:right="113"/>
        <w:shd w:val="clear" w:color="auto" w:fill="F4F4F4"/>
      </w:pPr>
      <w:r>
        <w:rPr>
          <w:rFonts w:ascii="Consolas" w:hAnsi="Consolas" w:eastAsia="Consolas"/>
          <w:color w:val="A31515"/>
          <w:sz w:val="17"/>
        </w:rPr>
        <w:t xml:space="preserve">                               really about)</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