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会展智能建联SaaS系统全套落地文件（定价+</w:t>
      </w:r>
      <w:r>
        <w:rPr>
          <w:rFonts w:eastAsia="等线" w:ascii="Arial" w:cs="Arial" w:hAnsi="Arial"/>
          <w:b w:val="true"/>
          <w:sz w:val="52"/>
        </w:rPr>
        <w:t>SOP+推广+路由表）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文档信息</w:t>
            </w:r>
            <w:r>
              <w:rPr>
                <w:rFonts w:eastAsia="等线" w:ascii="Arial" w:cs="Arial" w:hAnsi="Arial"/>
                <w:sz w:val="22"/>
              </w:rPr>
              <w:t>：V1.0 可交付版 | 适用场景：商务招商、现场执行、开发对接、推广获客 | 核心适配：四端分离SaaS架构（平台+主办方+商家+参会小程序） | 导出适配：直接保存为结构化PDF，文末思维导图框架可一键生成XMind/思维导图文件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模块一：会展智能建联SaaS系统 定价落地页完整版文案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一、头部引流区（官网/招商海报/客户提案首屏）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主标题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智联会展·会展私域智能建联SaaS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副标题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告别手动加微信、告别低效留资，一场展会实现</w:t>
      </w:r>
      <w:r>
        <w:rPr>
          <w:rFonts w:eastAsia="等线" w:ascii="Arial" w:cs="Arial" w:hAnsi="Arial"/>
          <w:b w:val="true"/>
          <w:sz w:val="22"/>
        </w:rPr>
        <w:t>流量翻倍+线索自动沉淀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核心slogan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离线扫码不耗电·双向建联零繁琐·三重激励引客流·数据复盘可追溯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二、核心价值区（直击痛点，强化转化）</w:t>
      </w:r>
      <w:bookmarkEnd w:id="5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参会者省心</w:t>
            </w:r>
            <w:r>
              <w:rPr>
                <w:rFonts w:eastAsia="等线" w:ascii="Arial" w:cs="Arial" w:hAnsi="Arial"/>
                <w:sz w:val="22"/>
              </w:rPr>
              <w:t>：不用反复亮码、不用手动存资料，扫码一键领物料、自由选加微，手机省电不卡顿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参展商省力</w:t>
            </w:r>
            <w:r>
              <w:rPr>
                <w:rFonts w:eastAsia="等线" w:ascii="Arial" w:cs="Arial" w:hAnsi="Arial"/>
                <w:sz w:val="22"/>
              </w:rPr>
              <w:t>：被动等客变主动引流，线索自动留存、分层筛选，会后不用逐个发资料、批量导客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主办方增效</w:t>
            </w:r>
            <w:r>
              <w:rPr>
                <w:rFonts w:eastAsia="等线" w:ascii="Arial" w:cs="Arial" w:hAnsi="Arial"/>
                <w:sz w:val="22"/>
              </w:rPr>
              <w:t>：现场氛围拉满、数据全域可控，SaaS模板一键换肤，多行业展会通用，数字化形象拉满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三、阶梯定价套餐区（清晰透明，梯度转化）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</w:t>
            </w: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适用客户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免费体验版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</w:t>
            </w:r>
            <w:r>
              <w:rPr>
                <w:rFonts w:eastAsia="等线" w:ascii="Arial" w:cs="Arial" w:hAnsi="Arial"/>
                <w:sz w:val="22"/>
              </w:rPr>
              <w:t>会展限时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0元/3天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新主办方试用、小型沙龙/闭门会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基础扫码打卡+报名签到+简易建联；限10家</w:t>
            </w:r>
            <w:r>
              <w:rPr>
                <w:rFonts w:eastAsia="等线" w:ascii="Arial" w:cs="Arial" w:hAnsi="Arial"/>
                <w:sz w:val="22"/>
              </w:rPr>
              <w:t>商家入驻；基础数据查看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基础场次版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按单场收费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1980元/场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中小型行业展会、</w:t>
            </w:r>
            <w:r>
              <w:rPr>
                <w:rFonts w:eastAsia="等线" w:ascii="Arial" w:cs="Arial" w:hAnsi="Arial"/>
                <w:sz w:val="22"/>
              </w:rPr>
              <w:t>区域展会、企业专场会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全功能扫码+双向加</w:t>
            </w:r>
            <w:r>
              <w:rPr>
                <w:rFonts w:eastAsia="等线" w:ascii="Arial" w:cs="Arial" w:hAnsi="Arial"/>
                <w:sz w:val="22"/>
              </w:rPr>
              <w:t>微+自动物料分发；不限商家数；基础数据导出；1套行业首页</w:t>
            </w: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专业进阶版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按场</w:t>
            </w:r>
            <w:r>
              <w:rPr>
                <w:rFonts w:eastAsia="等线" w:ascii="Arial" w:cs="Arial" w:hAnsi="Arial"/>
                <w:sz w:val="22"/>
              </w:rPr>
              <w:t>/按月订阅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3980元/场 | 999元/月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中型商业展会、酒店文旅展、科技/快消</w:t>
            </w:r>
            <w:r>
              <w:rPr>
                <w:rFonts w:eastAsia="等线" w:ascii="Arial" w:cs="Arial" w:hAnsi="Arial"/>
                <w:sz w:val="22"/>
              </w:rPr>
              <w:t>行业展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三重激励全配置+现场大屏可视化+线索</w:t>
            </w:r>
            <w:r>
              <w:rPr>
                <w:rFonts w:eastAsia="等线" w:ascii="Arial" w:cs="Arial" w:hAnsi="Arial"/>
                <w:sz w:val="22"/>
              </w:rPr>
              <w:t>分层+防作弊风控；全数据导出；3套行业模板；商家专属后台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旗舰年费版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年度订阅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12800元/年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会展集团、连锁主办方</w:t>
            </w:r>
            <w:r>
              <w:rPr>
                <w:rFonts w:eastAsia="等线" w:ascii="Arial" w:cs="Arial" w:hAnsi="Arial"/>
                <w:sz w:val="22"/>
              </w:rPr>
              <w:t>、常年办展机构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全行业无限模板+定制化</w:t>
            </w:r>
            <w:r>
              <w:rPr>
                <w:rFonts w:eastAsia="等线" w:ascii="Arial" w:cs="Arial" w:hAnsi="Arial"/>
                <w:sz w:val="22"/>
              </w:rPr>
              <w:t>微调+API对接+多会展并行；专属客服+现场运维指导；全域数据</w:t>
            </w:r>
            <w:r>
              <w:rPr>
                <w:rFonts w:eastAsia="等线" w:ascii="Arial" w:cs="Arial" w:hAnsi="Arial"/>
                <w:sz w:val="22"/>
              </w:rPr>
              <w:t>复盘；私域赋能增值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四、增值服务区（额外盈利，提升客单价）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线下物料定制服务</w:t>
      </w:r>
      <w:r>
        <w:rPr>
          <w:rFonts w:eastAsia="等线" w:ascii="Arial" w:cs="Arial" w:hAnsi="Arial"/>
          <w:sz w:val="22"/>
        </w:rPr>
        <w:t>：商家工牌二维码、展位立牌、核销台卡设计印刷，按需计费（500-2000元/场）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现场驻场运维服务</w:t>
      </w:r>
      <w:r>
        <w:rPr>
          <w:rFonts w:eastAsia="等线" w:ascii="Arial" w:cs="Arial" w:hAnsi="Arial"/>
          <w:sz w:val="22"/>
        </w:rPr>
        <w:t>：专人现场调试系统、引导动线、处理应急问题，2000-5000元/场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私域线索赋能服务</w:t>
      </w:r>
      <w:r>
        <w:rPr>
          <w:rFonts w:eastAsia="等线" w:ascii="Arial" w:cs="Arial" w:hAnsi="Arial"/>
          <w:sz w:val="22"/>
        </w:rPr>
        <w:t>：会后线索清洗、标签分类、企微一键导入，按需计费（1000-3000元/场）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五、信任背书+转化闭环区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信任承诺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数据安全合规，用户隐私可控 ✅ 弱网/离线适配，现场零故障 ✅ 1对1操作指导，上手零门槛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行动召唤（CTA）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立即领取免费体验资格 → 开通专属测试沙盒 → 专属顾问1对1对接 → 一键生成展会demo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模块二：会展智能建联SaaS系统 现场落地执行SOP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执行核心</w:t>
            </w:r>
            <w:r>
              <w:rPr>
                <w:rFonts w:eastAsia="等线" w:ascii="Arial" w:cs="Arial" w:hAnsi="Arial"/>
                <w:sz w:val="22"/>
              </w:rPr>
              <w:t>：全流程闭环、分工明确、话术统一、应急可控，适配所有线下展会场景，参会者、商家、主办方三方协同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一、会前准备阶段（展会前1-2天，核心落地）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系统筹备</w:t>
      </w:r>
      <w:bookmarkEnd w:id="1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主办方完成后台配置：会展信息、分区设置、三重激励规则、奖品配置、首页模板替换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完成商家入驻审核：商家上传展位信息、电子物料、专属福利，生成展位/工牌二维码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系统全流程测试：扫码、加微、兑奖、核销、离线模式、数据同步，排查故障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开通工作人员账号：签到、核销、巡场岗位分配专属操作权限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物料筹备（电子+线下）</w:t>
      </w:r>
      <w:bookmarkEnd w:id="1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电子物料：小程序入口码、商家展位码、核销码、电子胸牌模板、现场大屏页面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线下物料：入口指引海报、分区导视牌、展位二维码立牌、核销台卡、奖品陈列架、工作人员工牌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硬件筹备：共享充电宝点位、现场LED大屏、扫码枪、网络备用设备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人员培训+分工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签到组（2-3人）：负责参会者注册签到、引导小程序操作、讲解基础玩法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巡场组（1-2人）：负责动线引导、激励规则讲解、处理现场操作疑问、维持氛围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核销组（1-2人）：负责奖品核销、中奖核验、登记核销记录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技术组（1人）：负责系统应急维护、网络调试、故障处理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动线规划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单向闭环动线：</w:t>
      </w:r>
      <w:r>
        <w:rPr>
          <w:rFonts w:eastAsia="等线" w:ascii="Arial" w:cs="Arial" w:hAnsi="Arial"/>
          <w:b w:val="true"/>
          <w:sz w:val="22"/>
        </w:rPr>
        <w:t>入口签到区 → 分区打卡区 → 热门展位引流区 → 奖品核销区</w:t>
      </w:r>
      <w:r>
        <w:rPr>
          <w:rFonts w:eastAsia="等线" w:ascii="Arial" w:cs="Arial" w:hAnsi="Arial"/>
          <w:sz w:val="22"/>
        </w:rPr>
        <w:t>，强制覆盖全场展位，提升商家曝光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二、会中执行阶段（展会当天，全流程把控）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签到环节（0.5小时，开场核心）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参会者微信扫码进入小程序→微信授权一键报名→生成电子胸牌码→签到组讲解</w:t>
      </w:r>
      <w:r>
        <w:rPr>
          <w:rFonts w:eastAsia="等线" w:ascii="Arial" w:cs="Arial" w:hAnsi="Arial"/>
          <w:b w:val="true"/>
          <w:sz w:val="22"/>
        </w:rPr>
        <w:t>“扫码打卡领福利、不用加微信、自动存资料”</w:t>
      </w:r>
      <w:r>
        <w:rPr>
          <w:rFonts w:eastAsia="等线" w:ascii="Arial" w:cs="Arial" w:hAnsi="Arial"/>
          <w:sz w:val="22"/>
        </w:rPr>
        <w:t>核心玩法，引导进入展区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现场打卡互动环节（全程）</w:t>
      </w:r>
      <w:bookmarkEnd w:id="1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参会者扫码商家展位/工牌码→自动领取即时福利+商家物料→选择立即/稍后加微→同步累计闯关进度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巡场组实时引导：提醒闯关进度、推荐附近展位、解答操作疑问，带动现场氛围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现场大屏实时同步：各区打卡进度、中奖名单、打卡达人榜，制造从众效应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商家端实时查看线索，对高意向参会者发起加微申请，主动对接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兑奖核销环节（全程）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参会者完成闯关/抽奖→生成核销码→核销台核验→发放奖品→系统标记核销状态，杜绝重复领奖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 标准统一话术（全员复用）</w:t>
      </w:r>
      <w:bookmarkEnd w:id="2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签到台话术：“您好，扫码注册生成电子胸牌，全场打卡不用互加微信，自动领商家资料，还能闯关抽大奖，手机也不耗电～”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巡场引导话术：“您已经打卡XX家，还差XX家北区展位就能解锁抽奖，往前10米就是推荐展位，打卡就能领福利～”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商家话术：“扫码打卡就能领咱们的产品资料/优惠券，不用亮微信，打卡记录还能累计兑奖，特别方便～”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核销台话术：“您好，出示小程序中奖核销码即可兑换，奖品当日有效，逾期无法补发哦～”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三、会后复盘阶段（展会结束后1小时内）</w:t>
      </w:r>
      <w:bookmarkEnd w:id="2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主办方后台导出全量数据：总扫码数、参会人数、商家打卡数、加微转化率、闯关完成率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商家后台导出自身线索数据：意向客户列表、物料查看记录、加微名单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整理核销台账、奖品发放记录，核对数据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简短复盘：总结现场问题、优化后续展会执行细节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四、应急处理方案（必备，杜绝现场故障）</w:t>
      </w:r>
      <w:bookmarkEnd w:id="2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网络卡顿/弱网：自动切换离线扫码模式，联网后数据自动同步，不影响打卡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恶意刷码/作弊：系统自动风控，同一设备3分钟内同展位仅计1次，异常账号自动封禁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奖品不足：后台一键下架对应奖品，替换为积分/优惠券等备用权益，实时同步大屏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小程序卡顿：清理缓存、重新进入，技术组现场快速处理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模块三：会展智能建联SaaS系统 全渠道推广策略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一、推广核心定位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</w:t>
      </w:r>
      <w:r>
        <w:rPr>
          <w:rFonts w:eastAsia="等线" w:ascii="Arial" w:cs="Arial" w:hAnsi="Arial"/>
          <w:b w:val="true"/>
          <w:sz w:val="22"/>
        </w:rPr>
        <w:t>会展主办方、参展商、会展服务公司</w:t>
      </w:r>
      <w:r>
        <w:rPr>
          <w:rFonts w:eastAsia="等线" w:ascii="Arial" w:cs="Arial" w:hAnsi="Arial"/>
          <w:sz w:val="22"/>
        </w:rPr>
        <w:t>三大核心客群，主打“降本增效、数字化升级、私域留资”核心卖点，分阶段落地推广，低成本精准获客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二、分阶段推广策略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冷启动期（1-3个月，积累案例+种子客户）</w:t>
      </w:r>
      <w:bookmarkEnd w:id="2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免费合作：对接小型展会、行业沙龙，免费提供系统使用，打造标杆案例，拍摄现场实操视频、数据复盘报告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种子客户裂变：给首批合作主办方推出“推荐返佣”政策，推荐新客户成交返20%佣金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精准触达：对接会展行业协会、会展中心，推送免费体验资格，定向邀请主办方试用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成长期（3-6个月，放大获客+提升转化）</w:t>
      </w:r>
      <w:bookmarkEnd w:id="2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渠道合作：与会展策划公司、广告公司、物料印刷公司异业合作，捆绑销售，分成共赢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内容营销：发布展会实操案例、数据对比（用系统前后扫码率/留资率提升数据）、行业干货，投放会展行业公众号、短视频平台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商家反向倒逼：给头部参展商免费开通商家端，让商家体验便捷留资，倒逼主办方采购系统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成熟期（6个月以上，品牌化+规模化）</w:t>
      </w:r>
      <w:bookmarkEnd w:id="2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品牌包装：打造行业标杆案例（如酒店展、科技展），制作招商手册、宣传视频，提升品牌辨识度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年费套餐主推：针对常年办展客户，主推年费旗舰版，提升复购率和长期收益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行业定制：针对不同行业（文旅、科技、快消、工业）优化模板，推出行业定制版，拓展细分市场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三、核心获客渠道</w:t>
      </w:r>
      <w:bookmarkEnd w:id="3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线上渠道</w:t>
      </w:r>
      <w:r>
        <w:rPr>
          <w:rFonts w:eastAsia="等线" w:ascii="Arial" w:cs="Arial" w:hAnsi="Arial"/>
          <w:sz w:val="22"/>
        </w:rPr>
        <w:t>：会展行业网站、公众号、短视频（抖音/视频号）、知乎干货、企业微信社群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线下渠道</w:t>
      </w:r>
      <w:r>
        <w:rPr>
          <w:rFonts w:eastAsia="等线" w:ascii="Arial" w:cs="Arial" w:hAnsi="Arial"/>
          <w:sz w:val="22"/>
        </w:rPr>
        <w:t>：展会现场驻点、会展中心合作、行业峰会宣讲、一对一商务拜访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老客复购</w:t>
      </w:r>
      <w:r>
        <w:rPr>
          <w:rFonts w:eastAsia="等线" w:ascii="Arial" w:cs="Arial" w:hAnsi="Arial"/>
          <w:sz w:val="22"/>
        </w:rPr>
        <w:t>：售后跟进、定期推送功能更新、续费优惠、增值服务推荐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四、转化话术核心（针对不同客群）</w:t>
      </w:r>
      <w:bookmarkEnd w:id="3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对主办方：“用这套系统，不用额外投入人力，现场人气翻倍，全流程数据可控，还能提升展会数字化口碑，商家满意度更高”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对参展商：“不用手动加微信、发资料，参会者扫码就留资，线索自动分层，会后直接对接高意向客户，省80%人力”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对会展公司：“捆绑这套SaaS作为增值服务，提升策划方案竞争力，额外赚一笔服务费，零成本增加利润”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模块四：前端页面跳转路由表（开发直用，无歧义）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一、微信小程序端（参会者+商家移动端）路由表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/pages/index/index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默认启动入口，全局页面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活动报名页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/pages/register/register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点击首页“活动报名”跳转，报名成功跳转</w:t>
            </w:r>
            <w:r>
              <w:rPr>
                <w:rFonts w:eastAsia="等线" w:ascii="Arial" w:cs="Arial" w:hAnsi="Arial"/>
                <w:sz w:val="22"/>
              </w:rPr>
              <w:t>电子胸牌页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电子胸牌页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/pages/card/c</w:t>
            </w:r>
            <w:r>
              <w:rPr>
                <w:rFonts w:eastAsia="等线" w:ascii="Arial" w:cs="Arial" w:hAnsi="Arial"/>
                <w:sz w:val="22"/>
              </w:rPr>
              <w:t>ard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</w:t>
            </w:r>
            <w:r>
              <w:rPr>
                <w:rFonts w:eastAsia="等线" w:ascii="Arial" w:cs="Arial" w:hAnsi="Arial"/>
                <w:sz w:val="22"/>
              </w:rPr>
              <w:t>成功自动跳转，可返回首页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扫码打卡页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/pages/scan/scan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</w:t>
            </w:r>
            <w:r>
              <w:rPr>
                <w:rFonts w:eastAsia="等线" w:ascii="Arial" w:cs="Arial" w:hAnsi="Arial"/>
                <w:sz w:val="22"/>
              </w:rPr>
              <w:t>胸牌页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点击首页“一键扫码”跳转，</w:t>
            </w:r>
            <w:r>
              <w:rPr>
                <w:rFonts w:eastAsia="等线" w:ascii="Arial" w:cs="Arial" w:hAnsi="Arial"/>
                <w:sz w:val="22"/>
              </w:rPr>
              <w:t>扫码成功跳转建联结果页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建联结果页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/pages/result/result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扫码成功显示，可跳转加微/物料库/</w:t>
            </w:r>
            <w:r>
              <w:rPr>
                <w:rFonts w:eastAsia="等线" w:ascii="Arial" w:cs="Arial" w:hAnsi="Arial"/>
                <w:sz w:val="22"/>
              </w:rPr>
              <w:t>闯关页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建联列表页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/pages/contact/contact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查看所有扫码商家，支持筛选加微状态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物料库页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/pages/material/material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查看所有商家电子</w:t>
            </w:r>
            <w:r>
              <w:rPr>
                <w:rFonts w:eastAsia="等线" w:ascii="Arial" w:cs="Arial" w:hAnsi="Arial"/>
                <w:sz w:val="22"/>
              </w:rPr>
              <w:t>物料，支持保存转发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闯关兑奖页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/pages/reward/reward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</w:t>
            </w:r>
            <w:r>
              <w:rPr>
                <w:rFonts w:eastAsia="等线" w:ascii="Arial" w:cs="Arial" w:hAnsi="Arial"/>
                <w:sz w:val="22"/>
              </w:rPr>
              <w:t>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查看闯关进度，达标跳转抽奖页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/pages/lottery/lottery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抽奖成功跳转核销页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奖品核销页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/pages/verify/verify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显示核销码，核销完成返回首页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互动规则</w:t>
            </w:r>
            <w:r>
              <w:rPr>
                <w:rFonts w:eastAsia="等线" w:ascii="Arial" w:cs="Arial" w:hAnsi="Arial"/>
                <w:sz w:val="22"/>
              </w:rPr>
              <w:t>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/pages/rule/rule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首页/闯关页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查看激励规则，</w:t>
            </w:r>
            <w:r>
              <w:rPr>
                <w:rFonts w:eastAsia="等线" w:ascii="Arial" w:cs="Arial" w:hAnsi="Arial"/>
                <w:sz w:val="22"/>
              </w:rPr>
              <w:t>可返回上级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隐私设置页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/pages/setting/setting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设置隐私权限，</w:t>
            </w:r>
            <w:r>
              <w:rPr>
                <w:rFonts w:eastAsia="等线" w:ascii="Arial" w:cs="Arial" w:hAnsi="Arial"/>
                <w:sz w:val="22"/>
              </w:rPr>
              <w:t>管理加微授权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二、PC/H5后台端（平台+主办方+商家）路由表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平台总后台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租户管理/套餐管理/数据大盘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/admin/tenant /admin/package /admin/data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登录后进入控制台，层级跳转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会展搭建/激励配置/商家管理/数据复盘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/organizer/expo /organizer/reward /organizer</w:t>
            </w:r>
            <w:r>
              <w:rPr>
                <w:rFonts w:eastAsia="等线" w:ascii="Arial" w:cs="Arial" w:hAnsi="Arial"/>
                <w:sz w:val="22"/>
              </w:rPr>
              <w:t>/merchant /organizer/data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登录后进入会展</w:t>
            </w:r>
            <w:r>
              <w:rPr>
                <w:rFonts w:eastAsia="等线" w:ascii="Arial" w:cs="Arial" w:hAnsi="Arial"/>
                <w:sz w:val="22"/>
              </w:rPr>
              <w:t>列表，选择单场会展操作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展位配置/线索管理/数据看板/物料上传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/merchant/booth /merchant/contact /merchant/data /</w:t>
            </w:r>
            <w:r>
              <w:rPr>
                <w:rFonts w:eastAsia="等线" w:ascii="Arial" w:cs="Arial" w:hAnsi="Arial"/>
                <w:sz w:val="22"/>
              </w:rPr>
              <w:t>merchant/material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登录后绑定对应会展，层级操作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模块五：思维导图核心框架（可直接生成导图文件）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会展智能建联SaaS系统全套落地</w:t>
              <w:br/>
              <w:t>├─ 定价落地页</w:t>
              <w:br/>
              <w:t>│  ├─ 头部引流（标题+卖点）</w:t>
              <w:br/>
              <w:t>│  ├─ 核心价值（三方痛点解决）</w:t>
              <w:br/>
              <w:t>│  ├─ 阶梯套餐（4版定价）</w:t>
              <w:br/>
              <w:t>│  ├─ 增值服务</w:t>
              <w:br/>
              <w:t>│  └─ 转化闭环</w:t>
              <w:br/>
              <w:t>├─ 现场执行SOP</w:t>
              <w:br/>
              <w:t>│  ├─ 会前准备（系统+物料+人员+动线）</w:t>
              <w:br/>
              <w:t>│  ├─ 会中执行（签到+打卡+核销+话术）</w:t>
              <w:br/>
              <w:t>│  ├─ 会后复盘</w:t>
              <w:br/>
              <w:t>│  └─ 应急方案</w:t>
              <w:br/>
              <w:t>├─ 推广策略</w:t>
              <w:br/>
              <w:t>│  ├─ 三阶段推广（冷启动+成长+成熟）</w:t>
              <w:br/>
              <w:t>│  ├─ 获客渠道</w:t>
              <w:br/>
              <w:t>│  └─ 分客群转化话术</w:t>
              <w:br/>
              <w:t>└─ 前端路由表</w:t>
              <w:br/>
              <w:t xml:space="preserve">   ├─ 小程序端路由</w:t>
              <w:br/>
              <w:t xml:space="preserve">   └─ 后台端路由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导出说明</w:t>
            </w:r>
            <w:r>
              <w:rPr>
                <w:rFonts w:eastAsia="等线" w:ascii="Arial" w:cs="Arial" w:hAnsi="Arial"/>
                <w:sz w:val="22"/>
              </w:rPr>
              <w:t>：本文档可直接复制保存为PDF，格式完整无错乱；思维导图框架可直接复制到XMind、MindMaster等工具，一键生成可视化导图；前端路由表可直接交付开发，无需二次整理。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65417">
    <w:lvl>
      <w:numFmt w:val="bullet"/>
      <w:suff w:val="tab"/>
      <w:lvlText w:val="•"/>
      <w:rPr>
        <w:color w:val="3370ff"/>
      </w:rPr>
    </w:lvl>
  </w:abstractNum>
  <w:abstractNum w:abstractNumId="8565418">
    <w:lvl>
      <w:numFmt w:val="bullet"/>
      <w:suff w:val="tab"/>
      <w:lvlText w:val="•"/>
      <w:rPr>
        <w:color w:val="3370ff"/>
      </w:rPr>
    </w:lvl>
  </w:abstractNum>
  <w:abstractNum w:abstractNumId="8565419">
    <w:lvl>
      <w:numFmt w:val="bullet"/>
      <w:suff w:val="tab"/>
      <w:lvlText w:val="•"/>
      <w:rPr>
        <w:color w:val="3370ff"/>
      </w:rPr>
    </w:lvl>
  </w:abstractNum>
  <w:abstractNum w:abstractNumId="8565420">
    <w:lvl>
      <w:numFmt w:val="bullet"/>
      <w:suff w:val="tab"/>
      <w:lvlText w:val="•"/>
      <w:rPr>
        <w:color w:val="3370ff"/>
      </w:rPr>
    </w:lvl>
  </w:abstractNum>
  <w:abstractNum w:abstractNumId="8565421">
    <w:lvl>
      <w:numFmt w:val="bullet"/>
      <w:suff w:val="tab"/>
      <w:lvlText w:val="•"/>
      <w:rPr>
        <w:color w:val="3370ff"/>
      </w:rPr>
    </w:lvl>
  </w:abstractNum>
  <w:abstractNum w:abstractNumId="8565422">
    <w:lvl>
      <w:numFmt w:val="bullet"/>
      <w:suff w:val="tab"/>
      <w:lvlText w:val="•"/>
      <w:rPr>
        <w:color w:val="3370ff"/>
      </w:rPr>
    </w:lvl>
  </w:abstractNum>
  <w:abstractNum w:abstractNumId="8565423">
    <w:lvl>
      <w:numFmt w:val="bullet"/>
      <w:suff w:val="tab"/>
      <w:lvlText w:val="•"/>
      <w:rPr>
        <w:color w:val="3370ff"/>
      </w:rPr>
    </w:lvl>
  </w:abstractNum>
  <w:abstractNum w:abstractNumId="8565424">
    <w:lvl>
      <w:numFmt w:val="bullet"/>
      <w:suff w:val="tab"/>
      <w:lvlText w:val="•"/>
      <w:rPr>
        <w:color w:val="3370ff"/>
      </w:rPr>
    </w:lvl>
  </w:abstractNum>
  <w:abstractNum w:abstractNumId="8565425">
    <w:lvl>
      <w:numFmt w:val="bullet"/>
      <w:suff w:val="tab"/>
      <w:lvlText w:val="•"/>
      <w:rPr>
        <w:color w:val="3370ff"/>
      </w:rPr>
    </w:lvl>
  </w:abstractNum>
  <w:abstractNum w:abstractNumId="8565426">
    <w:lvl>
      <w:numFmt w:val="bullet"/>
      <w:suff w:val="tab"/>
      <w:lvlText w:val="•"/>
      <w:rPr>
        <w:color w:val="3370ff"/>
      </w:rPr>
    </w:lvl>
  </w:abstractNum>
  <w:abstractNum w:abstractNumId="8565427">
    <w:lvl>
      <w:numFmt w:val="bullet"/>
      <w:suff w:val="tab"/>
      <w:lvlText w:val="•"/>
      <w:rPr>
        <w:color w:val="3370ff"/>
      </w:rPr>
    </w:lvl>
  </w:abstractNum>
  <w:abstractNum w:abstractNumId="8565428">
    <w:lvl>
      <w:numFmt w:val="bullet"/>
      <w:suff w:val="tab"/>
      <w:lvlText w:val="•"/>
      <w:rPr>
        <w:color w:val="3370ff"/>
      </w:rPr>
    </w:lvl>
  </w:abstractNum>
  <w:abstractNum w:abstractNumId="8565429">
    <w:lvl>
      <w:numFmt w:val="bullet"/>
      <w:suff w:val="tab"/>
      <w:lvlText w:val="•"/>
      <w:rPr>
        <w:color w:val="3370ff"/>
      </w:rPr>
    </w:lvl>
  </w:abstractNum>
  <w:abstractNum w:abstractNumId="8565430">
    <w:lvl>
      <w:numFmt w:val="bullet"/>
      <w:suff w:val="tab"/>
      <w:lvlText w:val="•"/>
      <w:rPr>
        <w:color w:val="3370ff"/>
      </w:rPr>
    </w:lvl>
  </w:abstractNum>
  <w:abstractNum w:abstractNumId="8565431">
    <w:lvl>
      <w:numFmt w:val="bullet"/>
      <w:suff w:val="tab"/>
      <w:lvlText w:val="•"/>
      <w:rPr>
        <w:color w:val="3370ff"/>
      </w:rPr>
    </w:lvl>
  </w:abstractNum>
  <w:abstractNum w:abstractNumId="8565432">
    <w:lvl>
      <w:numFmt w:val="bullet"/>
      <w:suff w:val="tab"/>
      <w:lvlText w:val="•"/>
      <w:rPr>
        <w:color w:val="3370ff"/>
      </w:rPr>
    </w:lvl>
  </w:abstractNum>
  <w:abstractNum w:abstractNumId="8565433">
    <w:lvl>
      <w:numFmt w:val="bullet"/>
      <w:suff w:val="tab"/>
      <w:lvlText w:val="•"/>
      <w:rPr>
        <w:color w:val="3370ff"/>
      </w:rPr>
    </w:lvl>
  </w:abstractNum>
  <w:abstractNum w:abstractNumId="8565434">
    <w:lvl>
      <w:numFmt w:val="bullet"/>
      <w:suff w:val="tab"/>
      <w:lvlText w:val="•"/>
      <w:rPr>
        <w:color w:val="3370ff"/>
      </w:rPr>
    </w:lvl>
  </w:abstractNum>
  <w:abstractNum w:abstractNumId="8565435">
    <w:lvl>
      <w:numFmt w:val="bullet"/>
      <w:suff w:val="tab"/>
      <w:lvlText w:val="•"/>
      <w:rPr>
        <w:color w:val="3370ff"/>
      </w:rPr>
    </w:lvl>
  </w:abstractNum>
  <w:abstractNum w:abstractNumId="8565436">
    <w:lvl>
      <w:numFmt w:val="bullet"/>
      <w:suff w:val="tab"/>
      <w:lvlText w:val="•"/>
      <w:rPr>
        <w:color w:val="3370ff"/>
      </w:rPr>
    </w:lvl>
  </w:abstractNum>
  <w:abstractNum w:abstractNumId="8565437">
    <w:lvl>
      <w:numFmt w:val="bullet"/>
      <w:suff w:val="tab"/>
      <w:lvlText w:val="•"/>
      <w:rPr>
        <w:color w:val="3370ff"/>
      </w:rPr>
    </w:lvl>
  </w:abstractNum>
  <w:abstractNum w:abstractNumId="8565438">
    <w:lvl>
      <w:numFmt w:val="bullet"/>
      <w:suff w:val="tab"/>
      <w:lvlText w:val="•"/>
      <w:rPr>
        <w:color w:val="3370ff"/>
      </w:rPr>
    </w:lvl>
  </w:abstractNum>
  <w:abstractNum w:abstractNumId="8565439">
    <w:lvl>
      <w:numFmt w:val="bullet"/>
      <w:suff w:val="tab"/>
      <w:lvlText w:val="•"/>
      <w:rPr>
        <w:color w:val="3370ff"/>
      </w:rPr>
    </w:lvl>
  </w:abstractNum>
  <w:abstractNum w:abstractNumId="8565440">
    <w:lvl>
      <w:numFmt w:val="bullet"/>
      <w:suff w:val="tab"/>
      <w:lvlText w:val="•"/>
      <w:rPr>
        <w:color w:val="3370ff"/>
      </w:rPr>
    </w:lvl>
  </w:abstractNum>
  <w:abstractNum w:abstractNumId="8565441">
    <w:lvl>
      <w:numFmt w:val="bullet"/>
      <w:suff w:val="tab"/>
      <w:lvlText w:val="•"/>
      <w:rPr>
        <w:color w:val="3370ff"/>
      </w:rPr>
    </w:lvl>
  </w:abstractNum>
  <w:abstractNum w:abstractNumId="8565442">
    <w:lvl>
      <w:numFmt w:val="bullet"/>
      <w:suff w:val="tab"/>
      <w:lvlText w:val="•"/>
      <w:rPr>
        <w:color w:val="3370ff"/>
      </w:rPr>
    </w:lvl>
  </w:abstractNum>
  <w:abstractNum w:abstractNumId="8565443">
    <w:lvl>
      <w:numFmt w:val="bullet"/>
      <w:suff w:val="tab"/>
      <w:lvlText w:val="•"/>
      <w:rPr>
        <w:color w:val="3370ff"/>
      </w:rPr>
    </w:lvl>
  </w:abstractNum>
  <w:abstractNum w:abstractNumId="8565444">
    <w:lvl>
      <w:numFmt w:val="bullet"/>
      <w:suff w:val="tab"/>
      <w:lvlText w:val="•"/>
      <w:rPr>
        <w:color w:val="3370ff"/>
      </w:rPr>
    </w:lvl>
  </w:abstractNum>
  <w:abstractNum w:abstractNumId="8565445">
    <w:lvl>
      <w:numFmt w:val="bullet"/>
      <w:suff w:val="tab"/>
      <w:lvlText w:val="•"/>
      <w:rPr>
        <w:color w:val="3370ff"/>
      </w:rPr>
    </w:lvl>
  </w:abstractNum>
  <w:abstractNum w:abstractNumId="8565446">
    <w:lvl>
      <w:numFmt w:val="bullet"/>
      <w:suff w:val="tab"/>
      <w:lvlText w:val="•"/>
      <w:rPr>
        <w:color w:val="3370ff"/>
      </w:rPr>
    </w:lvl>
  </w:abstractNum>
  <w:abstractNum w:abstractNumId="8565447">
    <w:lvl>
      <w:numFmt w:val="bullet"/>
      <w:suff w:val="tab"/>
      <w:lvlText w:val="•"/>
      <w:rPr>
        <w:color w:val="3370ff"/>
      </w:rPr>
    </w:lvl>
  </w:abstractNum>
  <w:abstractNum w:abstractNumId="8565448">
    <w:lvl>
      <w:numFmt w:val="bullet"/>
      <w:suff w:val="tab"/>
      <w:lvlText w:val="•"/>
      <w:rPr>
        <w:color w:val="3370ff"/>
      </w:rPr>
    </w:lvl>
  </w:abstractNum>
  <w:abstractNum w:abstractNumId="8565449">
    <w:lvl>
      <w:numFmt w:val="bullet"/>
      <w:suff w:val="tab"/>
      <w:lvlText w:val="•"/>
      <w:rPr>
        <w:color w:val="3370ff"/>
      </w:rPr>
    </w:lvl>
  </w:abstractNum>
  <w:abstractNum w:abstractNumId="8565450">
    <w:lvl>
      <w:numFmt w:val="bullet"/>
      <w:suff w:val="tab"/>
      <w:lvlText w:val="•"/>
      <w:rPr>
        <w:color w:val="3370ff"/>
      </w:rPr>
    </w:lvl>
  </w:abstractNum>
  <w:abstractNum w:abstractNumId="8565451">
    <w:lvl>
      <w:numFmt w:val="bullet"/>
      <w:suff w:val="tab"/>
      <w:lvlText w:val="•"/>
      <w:rPr>
        <w:color w:val="3370ff"/>
      </w:rPr>
    </w:lvl>
  </w:abstractNum>
  <w:abstractNum w:abstractNumId="8565452">
    <w:lvl>
      <w:numFmt w:val="bullet"/>
      <w:suff w:val="tab"/>
      <w:lvlText w:val="•"/>
      <w:rPr>
        <w:color w:val="3370ff"/>
      </w:rPr>
    </w:lvl>
  </w:abstractNum>
  <w:abstractNum w:abstractNumId="8565453">
    <w:lvl>
      <w:numFmt w:val="bullet"/>
      <w:suff w:val="tab"/>
      <w:lvlText w:val="•"/>
      <w:rPr>
        <w:color w:val="3370ff"/>
      </w:rPr>
    </w:lvl>
  </w:abstractNum>
  <w:abstractNum w:abstractNumId="8565454">
    <w:lvl>
      <w:numFmt w:val="bullet"/>
      <w:suff w:val="tab"/>
      <w:lvlText w:val="•"/>
      <w:rPr>
        <w:color w:val="3370ff"/>
      </w:rPr>
    </w:lvl>
  </w:abstractNum>
  <w:abstractNum w:abstractNumId="8565455">
    <w:lvl>
      <w:numFmt w:val="bullet"/>
      <w:suff w:val="tab"/>
      <w:lvlText w:val="•"/>
      <w:rPr>
        <w:color w:val="3370ff"/>
      </w:rPr>
    </w:lvl>
  </w:abstractNum>
  <w:abstractNum w:abstractNumId="8565456">
    <w:lvl>
      <w:numFmt w:val="bullet"/>
      <w:suff w:val="tab"/>
      <w:lvlText w:val="•"/>
      <w:rPr>
        <w:color w:val="3370ff"/>
      </w:rPr>
    </w:lvl>
  </w:abstractNum>
  <w:abstractNum w:abstractNumId="8565457">
    <w:lvl>
      <w:numFmt w:val="bullet"/>
      <w:suff w:val="tab"/>
      <w:lvlText w:val="•"/>
      <w:rPr>
        <w:color w:val="3370ff"/>
      </w:rPr>
    </w:lvl>
  </w:abstractNum>
  <w:abstractNum w:abstractNumId="8565458">
    <w:lvl>
      <w:numFmt w:val="bullet"/>
      <w:suff w:val="tab"/>
      <w:lvlText w:val="•"/>
      <w:rPr>
        <w:color w:val="3370ff"/>
      </w:rPr>
    </w:lvl>
  </w:abstractNum>
  <w:abstractNum w:abstractNumId="8565459">
    <w:lvl>
      <w:numFmt w:val="bullet"/>
      <w:suff w:val="tab"/>
      <w:lvlText w:val="•"/>
      <w:rPr>
        <w:color w:val="3370ff"/>
      </w:rPr>
    </w:lvl>
  </w:abstractNum>
  <w:abstractNum w:abstractNumId="8565460">
    <w:lvl>
      <w:numFmt w:val="bullet"/>
      <w:suff w:val="tab"/>
      <w:lvlText w:val="•"/>
      <w:rPr>
        <w:color w:val="3370ff"/>
      </w:rPr>
    </w:lvl>
  </w:abstractNum>
  <w:abstractNum w:abstractNumId="8565461">
    <w:lvl>
      <w:numFmt w:val="bullet"/>
      <w:suff w:val="tab"/>
      <w:lvlText w:val="•"/>
      <w:rPr>
        <w:color w:val="3370ff"/>
      </w:rPr>
    </w:lvl>
  </w:abstractNum>
  <w:num w:numId="1">
    <w:abstractNumId w:val="8565417"/>
  </w:num>
  <w:num w:numId="2">
    <w:abstractNumId w:val="8565418"/>
  </w:num>
  <w:num w:numId="3">
    <w:abstractNumId w:val="8565419"/>
  </w:num>
  <w:num w:numId="4">
    <w:abstractNumId w:val="8565420"/>
  </w:num>
  <w:num w:numId="5">
    <w:abstractNumId w:val="8565421"/>
  </w:num>
  <w:num w:numId="6">
    <w:abstractNumId w:val="8565422"/>
  </w:num>
  <w:num w:numId="7">
    <w:abstractNumId w:val="8565423"/>
  </w:num>
  <w:num w:numId="8">
    <w:abstractNumId w:val="8565424"/>
  </w:num>
  <w:num w:numId="9">
    <w:abstractNumId w:val="8565425"/>
  </w:num>
  <w:num w:numId="10">
    <w:abstractNumId w:val="8565426"/>
  </w:num>
  <w:num w:numId="11">
    <w:abstractNumId w:val="8565427"/>
  </w:num>
  <w:num w:numId="12">
    <w:abstractNumId w:val="8565428"/>
  </w:num>
  <w:num w:numId="13">
    <w:abstractNumId w:val="8565429"/>
  </w:num>
  <w:num w:numId="14">
    <w:abstractNumId w:val="8565430"/>
  </w:num>
  <w:num w:numId="15">
    <w:abstractNumId w:val="8565431"/>
  </w:num>
  <w:num w:numId="16">
    <w:abstractNumId w:val="8565432"/>
  </w:num>
  <w:num w:numId="17">
    <w:abstractNumId w:val="8565433"/>
  </w:num>
  <w:num w:numId="18">
    <w:abstractNumId w:val="8565434"/>
  </w:num>
  <w:num w:numId="19">
    <w:abstractNumId w:val="8565435"/>
  </w:num>
  <w:num w:numId="20">
    <w:abstractNumId w:val="8565436"/>
  </w:num>
  <w:num w:numId="21">
    <w:abstractNumId w:val="8565437"/>
  </w:num>
  <w:num w:numId="22">
    <w:abstractNumId w:val="8565438"/>
  </w:num>
  <w:num w:numId="23">
    <w:abstractNumId w:val="8565439"/>
  </w:num>
  <w:num w:numId="24">
    <w:abstractNumId w:val="8565440"/>
  </w:num>
  <w:num w:numId="25">
    <w:abstractNumId w:val="8565441"/>
  </w:num>
  <w:num w:numId="26">
    <w:abstractNumId w:val="8565442"/>
  </w:num>
  <w:num w:numId="27">
    <w:abstractNumId w:val="8565443"/>
  </w:num>
  <w:num w:numId="28">
    <w:abstractNumId w:val="8565444"/>
  </w:num>
  <w:num w:numId="29">
    <w:abstractNumId w:val="8565445"/>
  </w:num>
  <w:num w:numId="30">
    <w:abstractNumId w:val="8565446"/>
  </w:num>
  <w:num w:numId="31">
    <w:abstractNumId w:val="8565447"/>
  </w:num>
  <w:num w:numId="32">
    <w:abstractNumId w:val="8565448"/>
  </w:num>
  <w:num w:numId="33">
    <w:abstractNumId w:val="8565449"/>
  </w:num>
  <w:num w:numId="34">
    <w:abstractNumId w:val="8565450"/>
  </w:num>
  <w:num w:numId="35">
    <w:abstractNumId w:val="8565451"/>
  </w:num>
  <w:num w:numId="36">
    <w:abstractNumId w:val="8565452"/>
  </w:num>
  <w:num w:numId="37">
    <w:abstractNumId w:val="8565453"/>
  </w:num>
  <w:num w:numId="38">
    <w:abstractNumId w:val="8565454"/>
  </w:num>
  <w:num w:numId="39">
    <w:abstractNumId w:val="8565455"/>
  </w:num>
  <w:num w:numId="40">
    <w:abstractNumId w:val="8565456"/>
  </w:num>
  <w:num w:numId="41">
    <w:abstractNumId w:val="8565457"/>
  </w:num>
  <w:num w:numId="42">
    <w:abstractNumId w:val="8565458"/>
  </w:num>
  <w:num w:numId="43">
    <w:abstractNumId w:val="8565459"/>
  </w:num>
  <w:num w:numId="44">
    <w:abstractNumId w:val="8565460"/>
  </w:num>
  <w:num w:numId="45">
    <w:abstractNumId w:val="85654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2026-03-23T01:12:29Z</dcterms:created>
  <dc:creator>Apache POI</dc:creator>
</cp:coreProperties>
</file>