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/>
      </w:pPr>
      <w:r>
        <w:rPr>
          <w:b/>
          <w:sz w:val="22"/>
        </w:rPr>
        <w:t>MEMORIAL n° XX/2025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4"/>
        </w:rPr>
        <w:t>MGA CONSTRUÇÕES E INCORPORAÇÕES LTDA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4"/>
        </w:rPr>
        <w:t>MEMORIAL DESCRITIVO E ESPECIFICAÇÕES TÉCNICAS DAS INSTALAÇÕES DE TELECOMUNICAÇÕES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0"/>
        </w:rPr>
        <w:t>MAKAI</w:t>
      </w:r>
    </w:p>
    <w:p>
      <w:pPr>
        <w:pStyle w:val="Normal"/>
        <w:jc w:val="center"/>
        <w:rPr/>
      </w:pPr>
      <w:r>
        <w:rPr>
          <w:sz w:val="22"/>
        </w:rPr>
        <w:t>AVENIDA MAX ZAGEL, S/N, LOTE 05-A QUADRA12, CABEDELO- PB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2"/>
        </w:rPr>
        <w:t>27/01/2025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b/>
          <w:sz w:val="24"/>
        </w:rPr>
        <w:t>SUMÁRIO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r>
            <w:fldChar w:fldCharType="begin"/>
          </w:r>
          <w:r>
            <w:rPr>
              <w:rStyle w:val="Vnculodendice"/>
              <w:webHidden/>
            </w:rPr>
            <w:instrText xml:space="preserve"> TOC \z \o "1-2" \t "heading 1,1,heading 2,2" \h</w:instrText>
          </w:r>
          <w:r>
            <w:rPr>
              <w:rStyle w:val="Vnculodendice"/>
              <w:webHidden/>
            </w:rPr>
            <w:fldChar w:fldCharType="separate"/>
          </w:r>
          <w:hyperlink w:anchor="__RefHeading___Toc1057_3697047362" w:tooltip="1. INTRODUÇÃO">
            <w:r>
              <w:rPr>
                <w:rStyle w:val="Vnculodendice"/>
                <w:webHidden/>
              </w:rPr>
              <w:t>1. INTRODUÇÃO</w:t>
              <w:tab/>
              <w:t>4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1057_3697047362" w:tooltip="1. INTRODUÇÃO">
            <w:r>
              <w:rPr>
                <w:rStyle w:val="Vnculodendice"/>
                <w:webHidden/>
              </w:rPr>
              <w:t>1. INTRODUÇÃO</w:t>
              <w:tab/>
              <w:t>4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1059_3697047362" w:tooltip="2. DADOS DA OBRA">
            <w:r>
              <w:rPr>
                <w:rStyle w:val="Vnculodendice"/>
                <w:webHidden/>
              </w:rPr>
              <w:t>2. DADOS DA OBRA</w:t>
              <w:tab/>
              <w:t>4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1059_3697047362" w:tooltip="2. DADOS DA OBRA">
            <w:r>
              <w:rPr>
                <w:rStyle w:val="Vnculodendice"/>
                <w:webHidden/>
              </w:rPr>
              <w:t>2. DADOS DA OBRA</w:t>
              <w:tab/>
              <w:t>4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1061_3697047362" w:tooltip="3. NORMAS TÉCNICAS">
            <w:r>
              <w:rPr>
                <w:rStyle w:val="Vnculodendice"/>
                <w:webHidden/>
              </w:rPr>
              <w:t>3. NORMAS TÉCNICAS</w:t>
              <w:tab/>
              <w:t>4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1061_3697047362" w:tooltip="3. NORMAS TÉCNICAS">
            <w:r>
              <w:rPr>
                <w:rStyle w:val="Vnculodendice"/>
                <w:webHidden/>
              </w:rPr>
              <w:t>3. NORMAS TÉCNICAS</w:t>
              <w:tab/>
              <w:t>4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1063_3697047362" w:tooltip="4. SERVIÇOS CONTEMPLADOS">
            <w:r>
              <w:rPr>
                <w:rStyle w:val="Vnculodendice"/>
                <w:webHidden/>
              </w:rPr>
              <w:t>4. SERVIÇOS CONTEMPLADOS</w:t>
              <w:tab/>
              <w:t>5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1063_3697047362" w:tooltip="4. SERVIÇOS CONTEMPLADOS">
            <w:r>
              <w:rPr>
                <w:rStyle w:val="Vnculodendice"/>
                <w:webHidden/>
              </w:rPr>
              <w:t>4. SERVIÇOS CONTEMPLADOS</w:t>
              <w:tab/>
              <w:t>5</w:t>
            </w:r>
          </w:hyperlink>
        </w:p>
        <w:p>
          <w:pPr>
            <w:pStyle w:val="TOC2"/>
            <w:tabs>
              <w:tab w:val="clear" w:pos="9406"/>
              <w:tab w:val="right" w:pos="9688" w:leader="dot"/>
            </w:tabs>
            <w:rPr/>
          </w:pPr>
          <w:hyperlink w:anchor="__RefHeading___Toc1065_3697047362" w:tooltip="4.1. SERVIÇO DE VOZ">
            <w:r>
              <w:rPr>
                <w:rStyle w:val="Vnculodendice"/>
                <w:webHidden/>
              </w:rPr>
              <w:t>4.1. SERVIÇO DE VOZ</w:t>
              <w:tab/>
              <w:t>5</w:t>
            </w:r>
          </w:hyperlink>
        </w:p>
        <w:p>
          <w:pPr>
            <w:pStyle w:val="TOC2"/>
            <w:tabs>
              <w:tab w:val="clear" w:pos="9406"/>
              <w:tab w:val="right" w:pos="9688" w:leader="dot"/>
            </w:tabs>
            <w:rPr/>
          </w:pPr>
          <w:hyperlink w:anchor="__RefHeading___Toc1065_3697047362" w:tooltip="4.1. SERVIÇO DE VOZ">
            <w:r>
              <w:rPr>
                <w:rStyle w:val="Vnculodendice"/>
                <w:webHidden/>
              </w:rPr>
              <w:t>4.1. SERVIÇO DE VOZ</w:t>
              <w:tab/>
              <w:t>5</w:t>
            </w:r>
          </w:hyperlink>
        </w:p>
        <w:p>
          <w:pPr>
            <w:pStyle w:val="TOC2"/>
            <w:tabs>
              <w:tab w:val="clear" w:pos="9406"/>
              <w:tab w:val="right" w:pos="9688" w:leader="dot"/>
            </w:tabs>
            <w:rPr/>
          </w:pPr>
          <w:hyperlink w:anchor="__RefHeading___Toc1067_3697047362" w:tooltip="4.2. SERVIÇO DE DADOS">
            <w:r>
              <w:rPr>
                <w:rStyle w:val="Vnculodendice"/>
                <w:webHidden/>
              </w:rPr>
              <w:t>4.2. SERVIÇO DE DADOS</w:t>
              <w:tab/>
              <w:t>5</w:t>
            </w:r>
          </w:hyperlink>
        </w:p>
        <w:p>
          <w:pPr>
            <w:pStyle w:val="TOC2"/>
            <w:tabs>
              <w:tab w:val="clear" w:pos="9406"/>
              <w:tab w:val="right" w:pos="9688" w:leader="dot"/>
            </w:tabs>
            <w:rPr/>
          </w:pPr>
          <w:hyperlink w:anchor="__RefHeading___Toc1067_3697047362" w:tooltip="4.2. SERVIÇO DE DADOS">
            <w:r>
              <w:rPr>
                <w:rStyle w:val="Vnculodendice"/>
                <w:webHidden/>
              </w:rPr>
              <w:t>4.2. SERVIÇO DE DADOS</w:t>
              <w:tab/>
              <w:t>5</w:t>
            </w:r>
          </w:hyperlink>
        </w:p>
        <w:p>
          <w:pPr>
            <w:pStyle w:val="TOC2"/>
            <w:tabs>
              <w:tab w:val="clear" w:pos="9406"/>
              <w:tab w:val="right" w:pos="9688" w:leader="dot"/>
            </w:tabs>
            <w:rPr/>
          </w:pPr>
          <w:hyperlink w:anchor="__RefHeading___Toc1069_3697047362" w:tooltip="4.3. SERVIÇO DE VÍDEO">
            <w:r>
              <w:rPr>
                <w:rStyle w:val="Vnculodendice"/>
                <w:webHidden/>
              </w:rPr>
              <w:t>4.3. SERVIÇO DE VÍDEO</w:t>
              <w:tab/>
              <w:t>5</w:t>
            </w:r>
          </w:hyperlink>
        </w:p>
        <w:p>
          <w:pPr>
            <w:pStyle w:val="TOC2"/>
            <w:tabs>
              <w:tab w:val="clear" w:pos="9406"/>
              <w:tab w:val="right" w:pos="9688" w:leader="dot"/>
            </w:tabs>
            <w:rPr/>
          </w:pPr>
          <w:hyperlink w:anchor="__RefHeading___Toc1069_3697047362" w:tooltip="4.3. SERVIÇO DE VÍDEO">
            <w:r>
              <w:rPr>
                <w:rStyle w:val="Vnculodendice"/>
                <w:webHidden/>
              </w:rPr>
              <w:t>4.3. SERVIÇO DE VÍDEO</w:t>
              <w:tab/>
              <w:t>5</w:t>
            </w:r>
          </w:hyperlink>
        </w:p>
        <w:p>
          <w:pPr>
            <w:pStyle w:val="TOC2"/>
            <w:tabs>
              <w:tab w:val="clear" w:pos="9406"/>
              <w:tab w:val="right" w:pos="9688" w:leader="dot"/>
            </w:tabs>
            <w:rPr/>
          </w:pPr>
          <w:hyperlink w:anchor="__RefHeading___Toc1071_3697047362" w:tooltip="4.4. SERVIÇO DE INTERCOMUNICAÇÃO">
            <w:r>
              <w:rPr>
                <w:rStyle w:val="Vnculodendice"/>
                <w:webHidden/>
              </w:rPr>
              <w:t>4.4. SERVIÇO DE INTERCOMUNICAÇÃO</w:t>
              <w:tab/>
              <w:t>6</w:t>
            </w:r>
          </w:hyperlink>
        </w:p>
        <w:p>
          <w:pPr>
            <w:pStyle w:val="TOC2"/>
            <w:tabs>
              <w:tab w:val="clear" w:pos="9406"/>
              <w:tab w:val="right" w:pos="9688" w:leader="dot"/>
            </w:tabs>
            <w:rPr/>
          </w:pPr>
          <w:hyperlink w:anchor="__RefHeading___Toc1071_3697047362" w:tooltip="4.4. SERVIÇO DE INTERCOMUNICAÇÃO">
            <w:r>
              <w:rPr>
                <w:rStyle w:val="Vnculodendice"/>
                <w:webHidden/>
              </w:rPr>
              <w:t>4.4. SERVIÇO DE INTERCOMUNICAÇÃO</w:t>
              <w:tab/>
              <w:t>6</w:t>
            </w:r>
          </w:hyperlink>
        </w:p>
        <w:p>
          <w:pPr>
            <w:pStyle w:val="TOC2"/>
            <w:tabs>
              <w:tab w:val="clear" w:pos="9406"/>
              <w:tab w:val="right" w:pos="9688" w:leader="dot"/>
            </w:tabs>
            <w:rPr/>
          </w:pPr>
          <w:hyperlink w:anchor="__RefHeading___Toc1073_3697047362" w:tooltip="4.5. SERVIÇO DE MONITORAMENTO">
            <w:r>
              <w:rPr>
                <w:rStyle w:val="Vnculodendice"/>
                <w:webHidden/>
              </w:rPr>
              <w:t>4.5. SERVIÇO DE MONITORAMENTO</w:t>
              <w:tab/>
              <w:t>6</w:t>
            </w:r>
          </w:hyperlink>
        </w:p>
        <w:p>
          <w:pPr>
            <w:pStyle w:val="TOC2"/>
            <w:tabs>
              <w:tab w:val="clear" w:pos="9406"/>
              <w:tab w:val="right" w:pos="9688" w:leader="dot"/>
            </w:tabs>
            <w:rPr/>
          </w:pPr>
          <w:hyperlink w:anchor="__RefHeading___Toc1073_3697047362" w:tooltip="4.5. SERVIÇO DE MONITORAMENTO">
            <w:r>
              <w:rPr>
                <w:rStyle w:val="Vnculodendice"/>
                <w:webHidden/>
              </w:rPr>
              <w:t>4.5. SERVIÇO DE MONITORAMENTO</w:t>
              <w:tab/>
              <w:t>6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1075_3697047362" w:tooltip="5. SALA DE MONITORAMENTO (ER/EF)">
            <w:r>
              <w:rPr>
                <w:rStyle w:val="Vnculodendice"/>
                <w:webHidden/>
              </w:rPr>
              <w:t>5. SALA DE MONITORAMENTO (ER/EF)</w:t>
              <w:tab/>
              <w:t>6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1075_3697047362" w:tooltip="5. SALA DE MONITORAMENTO (ER/EF)">
            <w:r>
              <w:rPr>
                <w:rStyle w:val="Vnculodendice"/>
                <w:webHidden/>
              </w:rPr>
              <w:t>5. SALA DE MONITORAMENTO (ER/EF)</w:t>
              <w:tab/>
              <w:t>6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1077_3697047362" w:tooltip="6. ELEMENTOS PASSIVOS E ATIVOS DA REDE">
            <w:r>
              <w:rPr>
                <w:rStyle w:val="Vnculodendice"/>
                <w:webHidden/>
              </w:rPr>
              <w:t>6. ELEMENTOS PASSIVOS E ATIVOS DA REDE</w:t>
              <w:tab/>
              <w:t>8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1077_3697047362" w:tooltip="6. ELEMENTOS PASSIVOS E ATIVOS DA REDE">
            <w:r>
              <w:rPr>
                <w:rStyle w:val="Vnculodendice"/>
                <w:webHidden/>
              </w:rPr>
              <w:t>6. ELEMENTOS PASSIVOS E ATIVOS DA REDE</w:t>
              <w:tab/>
              <w:t>8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1079_3697047362" w:tooltip="7. TESTES E ACEITAÇÃO">
            <w:r>
              <w:rPr>
                <w:rStyle w:val="Vnculodendice"/>
                <w:webHidden/>
              </w:rPr>
              <w:t>7. TESTES E ACEITAÇÃO</w:t>
              <w:tab/>
              <w:t>9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1079_3697047362" w:tooltip="7. TESTES E ACEITAÇÃO">
            <w:r>
              <w:rPr>
                <w:rStyle w:val="Vnculodendice"/>
                <w:webHidden/>
              </w:rPr>
              <w:t>7. TESTES E ACEITAÇÃO</w:t>
              <w:tab/>
              <w:t>9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bookmarkStart w:id="0" w:name="__RefHeading___Toc1057_3697047362"/>
      <w:bookmarkEnd w:id="0"/>
      <w:r>
        <w:rPr/>
        <w:t>1. INTRODUÇÃO</w:t>
      </w:r>
    </w:p>
    <w:p>
      <w:pPr>
        <w:pStyle w:val="Normal"/>
        <w:rPr/>
      </w:pPr>
      <w:r>
        <w:rPr/>
        <w:t>O presente memorial descreve a infraestrutura de telecomunicações a ser implantada no empreendimento MAKAI, sob responsabilidade da MGA CONSTRUÇÕES E INCORPORAÇÕES LTDA, estabelecendo os critérios técnicos para projeto, fornecimento e execução dos elementos necessários à distribuição e interligação de sinais e serviços de telecomunicações no imóvel. Trata</w:t>
        <w:noBreakHyphen/>
        <w:t>se de documento orientador para definição de arranjos físicos e lógicos, responsabilidades de execução e requisitos mínimos de aceitação das instalações.</w:t>
      </w:r>
    </w:p>
    <w:p>
      <w:pPr>
        <w:pStyle w:val="Normal"/>
        <w:rPr/>
      </w:pPr>
      <w:r>
        <w:rPr/>
        <w:t>O escopo abrange a especificação de cabeamento estruturado, enlaces de backbone e distribuição horizontal, dutos e eletrodutos, prumadas e salas técnicas, bem como o provisionamento de pontos de telecomunicações, alojamento de equipamentos, identificação e documentação das instalações. As disposições a seguir detalham os componentes, trajetos, métodos de instalação e os ensaios que garantem a conformidade da infraestrutura implantada.</w:t>
      </w:r>
    </w:p>
    <w:p>
      <w:pPr>
        <w:pStyle w:val="Heading1"/>
        <w:rPr/>
      </w:pPr>
      <w:bookmarkStart w:id="1" w:name="__RefHeading___Toc1059_3697047362"/>
      <w:bookmarkEnd w:id="1"/>
      <w:r>
        <w:rPr/>
        <w:t>2. DADOS DA OBRA</w:t>
      </w:r>
    </w:p>
    <w:p>
      <w:pPr>
        <w:pStyle w:val="Normal"/>
        <w:jc w:val="start"/>
        <w:rPr/>
      </w:pPr>
      <w:r>
        <w:rPr/>
        <w:t>Construtora: MGA CONSTRUÇÕES E INCORPORAÇÕES LTDA</w:t>
        <w:br/>
        <w:t>Empreendimento: MAKAI</w:t>
        <w:br/>
        <w:t>Endereço: AVENIDA MAX ZAGEL, S/N, LOTE 05-A QUADRA12, CABEDELO - PB</w:t>
        <w:br/>
        <w:t>Projeto: PROJETO DE INSTALAÇÕES DE TELECOMUNICAÇÃO</w:t>
        <w:br/>
        <w:t>Data do projeto: 27/01/2025</w:t>
      </w:r>
    </w:p>
    <w:p>
      <w:pPr>
        <w:pStyle w:val="Heading1"/>
        <w:rPr/>
      </w:pPr>
      <w:bookmarkStart w:id="2" w:name="__RefHeading___Toc1061_3697047362"/>
      <w:bookmarkEnd w:id="2"/>
      <w:r>
        <w:rPr/>
        <w:t>3. NORMAS TÉCNICAS</w:t>
      </w:r>
    </w:p>
    <w:p>
      <w:pPr>
        <w:pStyle w:val="Normal"/>
        <w:rPr/>
      </w:pPr>
      <w:r>
        <w:rPr/>
        <w:t>O projeto será executado em conformidade com as normas técnicas aplicáveis, conforme relacionadas a seguir, observando-se os requisitos relativos a cabeamento estruturado, caminhos e espaços para telecomunicações, administração e aterramento, bem como as prescrições para instalações elétricas de baixa tensão.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- NBR 14565 - Cabeamento de telecomunicações para edifícios comerciais</w:t>
        <w:br/>
        <w:t>- NBR 16264 - Cabeamento estruturado residencial</w:t>
        <w:br/>
        <w:t>- EIA/TIA-569 - Commercial Building Standard for Telecommunications Pathways and Spaces</w:t>
        <w:br/>
        <w:t>- IEEE 802.3ah - Ethernet in the First Mile</w:t>
        <w:br/>
        <w:t>- ISO/TIA 568-C - Commercial Building Telecommunications Cabling Standard</w:t>
        <w:br/>
        <w:t>- ISO/TIA 569-B - Commercial Building Standard for Telecommunications Pathways and Spaces</w:t>
        <w:br/>
        <w:t>- ISO/TIA 606-A - Administration Standard for Commercial Telecommunications Infrastructure</w:t>
        <w:br/>
        <w:t>- ISO/TIA 607-B - Generic Telecommunications Bonding and Grounding for Customer Premises</w:t>
        <w:br/>
        <w:t>- ISO/TIA 942 - Data Center Standards Overview</w:t>
        <w:br/>
        <w:t>- NBR 5410 - Instalações elétricas de baixa tensão</w:t>
      </w:r>
    </w:p>
    <w:p>
      <w:pPr>
        <w:pStyle w:val="Heading1"/>
        <w:rPr/>
      </w:pPr>
      <w:bookmarkStart w:id="3" w:name="__RefHeading___Toc1063_3697047362"/>
      <w:bookmarkEnd w:id="3"/>
      <w:r>
        <w:rPr/>
        <w:t>4. SERVIÇOS CONTEMPLADOS</w:t>
      </w:r>
    </w:p>
    <w:p>
      <w:pPr>
        <w:pStyle w:val="Normal"/>
        <w:rPr/>
      </w:pPr>
      <w:r>
        <w:rPr/>
        <w:t>As subseções a seguir apresentam, respectivamente, os escopos relativos a Voz (4.1), Dados (4.2), Vídeo (4.3), Intercomunicação (4.4) e Monitoramento (4.5), detalhando os critérios de projeto, cabeamento, pontos de terminação e interfaces necessárias para cada serviço.</w:t>
      </w:r>
    </w:p>
    <w:p>
      <w:pPr>
        <w:pStyle w:val="Heading2"/>
        <w:rPr/>
      </w:pPr>
      <w:bookmarkStart w:id="4" w:name="__RefHeading___Toc1065_3697047362"/>
      <w:bookmarkEnd w:id="4"/>
      <w:r>
        <w:rPr/>
        <w:t>4.1.         SERVIÇO DE VOZ</w:t>
      </w:r>
    </w:p>
    <w:p>
      <w:pPr>
        <w:pStyle w:val="Normal"/>
        <w:rPr/>
      </w:pPr>
      <w:r>
        <w:rPr/>
        <w:t>O sistema de voz contempla a infraestrutura necessária para comunicação telefônica nas unidades residenciais. Serão instalados pontos de telefone distribuídos conforme projeto, utilizando cabos CCI-2 (cabo de telecomunicações interno) ou similar.</w:t>
      </w:r>
    </w:p>
    <w:p>
      <w:pPr>
        <w:pStyle w:val="Normal"/>
        <w:rPr/>
      </w:pPr>
      <w:r>
        <w:rPr/>
        <w:t>Os cabos CCI-2 partirão dos DG's (Distribuidor Geral) localizados em cada pavimento, interligando os pontos de telefone das unidades até a sala de telecomunicações. Os DG's serão alimentados por cabos CCI multipares provenientes da sala técnica principal.</w:t>
      </w:r>
    </w:p>
    <w:p>
      <w:pPr>
        <w:pStyle w:val="Normal"/>
        <w:rPr/>
      </w:pPr>
      <w:r>
        <w:rPr/>
        <w:t>A infraestrutura de dutos, caixas de passagem e eletrodutos seguirá as normas NBR 14565 e EIA/TIA-569, garantindo espaço adequado para passagem dos cabos e facilitando futuras intervenções de manutenção.</w:t>
      </w:r>
    </w:p>
    <w:p>
      <w:pPr>
        <w:pStyle w:val="Normal"/>
        <w:rPr/>
      </w:pPr>
      <w:r>
        <w:rPr/>
        <w:t>Os pontos de telefone serão identificados conforme planta, com tomadas RJ-11 padrão, possibilitando a conexão de aparelhos telefônicos convencionais ou sistemas de telefonia IP quando disponibilizados pela operadora.</w:t>
      </w:r>
    </w:p>
    <w:p>
      <w:pPr>
        <w:pStyle w:val="Heading2"/>
        <w:rPr/>
      </w:pPr>
      <w:bookmarkStart w:id="5" w:name="__RefHeading___Toc1067_3697047362"/>
      <w:bookmarkEnd w:id="5"/>
      <w:r>
        <w:rPr/>
        <w:t>4.2.         SERVIÇO DE DADOS</w:t>
      </w:r>
    </w:p>
    <w:p>
      <w:pPr>
        <w:pStyle w:val="Normal"/>
        <w:rPr/>
      </w:pPr>
      <w:r>
        <w:rPr/>
        <w:t>No empreendimento MAKAI, da MGA CONSTRUÇÕES E INCORPORAÇÕES LTDA, a arquitetura do serviço de dados é descrita em termos de backbone e distribuição horizontal, com definição da infraestrutura lógica e física necessária para garantir conectividade, disponibilidade e escalabilidade. A concepção prevê encaminhamentos e pontos de conexão distribuídos pelos ambientes do edifício, de forma a atender aos requisitos de comunicação previstos no projeto de telecomunicações.</w:t>
      </w:r>
    </w:p>
    <w:p>
      <w:pPr>
        <w:pStyle w:val="Normal"/>
        <w:rPr/>
      </w:pPr>
      <w:r>
        <w:rPr/>
        <w:t>A solução contempla a integração entre o backbone e a distribuição horizontal, permitindo atendimento aos pontos de uso e suporte à provisão de cobertura por redes sem fio quando aplicável, observando as rotas e o dimensionamento estabelecidos no projeto executivo.</w:t>
      </w:r>
    </w:p>
    <w:p>
      <w:pPr>
        <w:pStyle w:val="Heading2"/>
        <w:rPr/>
      </w:pPr>
      <w:bookmarkStart w:id="6" w:name="__RefHeading___Toc1069_3697047362"/>
      <w:bookmarkEnd w:id="6"/>
      <w:r>
        <w:rPr/>
        <w:t>4.3.         SERVIÇO DE VÍDEO</w:t>
      </w:r>
    </w:p>
    <w:p>
      <w:pPr>
        <w:pStyle w:val="Normal"/>
        <w:rPr/>
      </w:pPr>
      <w:r>
        <w:rPr/>
        <w:t>O sistema de TV coletiva/assinatura será baseado em cabeamento coaxial RG-06/U#90% para toda a distribuição interna dos sinais, com os cabos conduzidos desde os pontos de entrada da infraestrutura até as caixas de distribuição previstas no projeto. As caixas MB-10 e CCI-2 serão utilizadas para terminação, emenda e interface com os pontos de usuário, assegurando acondicionamento e acesso para manutenção.</w:t>
      </w:r>
    </w:p>
    <w:p>
      <w:pPr>
        <w:pStyle w:val="Normal"/>
        <w:rPr/>
      </w:pPr>
      <w:r>
        <w:rPr/>
        <w:t>A instalação dos cabos RG-06/U#90% será executada de forma a preservar a continuidade da blindagem e a integridade das conexões, com enroutamento e fixação adequados para minimizar perdas e facilitar inspeções e intervenções futuras nas MB-10 e CCI-2.</w:t>
      </w:r>
    </w:p>
    <w:p>
      <w:pPr>
        <w:pStyle w:val="Heading2"/>
        <w:rPr/>
      </w:pPr>
      <w:bookmarkStart w:id="7" w:name="__RefHeading___Toc1071_3697047362"/>
      <w:bookmarkEnd w:id="7"/>
      <w:r>
        <w:rPr/>
        <w:t>4.4.         SERVIÇO DE INTERCOMUNICAÇÃO</w:t>
      </w:r>
    </w:p>
    <w:p>
      <w:pPr>
        <w:pStyle w:val="Normal"/>
        <w:rPr/>
      </w:pPr>
      <w:r>
        <w:rPr/>
        <w:t>O sistema de intercomunicação compreende a infraestrutura para comunicação entre as unidades residenciais e a portaria/guarita do empreendimento, além do controle de acesso aos halls de entrada.</w:t>
      </w:r>
    </w:p>
    <w:p>
      <w:pPr>
        <w:pStyle w:val="Normal"/>
        <w:rPr/>
      </w:pPr>
      <w:r>
        <w:rPr/>
        <w:t>Serão instalados porteiros eletrônicos na(s) portaria(s) principal(is), com botoeiras de abertura posicionadas estrategicamente nos acessos de pedestres e veículos. As fechaduras magnéticas (eletroímãs) serão instaladas nos portões e portas de acesso aos halls, controladas pelas botoeiras e sistema de interfone.</w:t>
      </w:r>
    </w:p>
    <w:p>
      <w:pPr>
        <w:pStyle w:val="Normal"/>
        <w:rPr/>
      </w:pPr>
      <w:r>
        <w:rPr/>
        <w:t>Os pontos de interfone nas unidades serão conectados à central de portaria através de cabos CCI-2, seguindo trajetos verticais pelos shafts de telecomunicações. A central de interfone será instalada na portaria ou sala de monitoramento, possibilitando a comunicação bidirecional entre porteiro e moradores.</w:t>
      </w:r>
    </w:p>
    <w:p>
      <w:pPr>
        <w:pStyle w:val="Normal"/>
        <w:rPr/>
      </w:pPr>
      <w:r>
        <w:rPr/>
        <w:t>Cada unidade terá ao menos um ponto de interfone conforme indicado em projeto. Os DG's (Distribuidores Gerais) de interfone serãoposicionados em locais estratégicos de cada pavimento, centralizando as conexões.</w:t>
      </w:r>
    </w:p>
    <w:p>
      <w:pPr>
        <w:pStyle w:val="Normal"/>
        <w:rPr/>
      </w:pPr>
      <w:r>
        <w:rPr/>
        <w:t>A alimentação elétrica das fechaduras, botoeiras e centrais de portaria será independente, com circuitos dedicados derivados dos quadros elétricos conforme projeto elétrico específico.</w:t>
      </w:r>
    </w:p>
    <w:p>
      <w:pPr>
        <w:pStyle w:val="Heading2"/>
        <w:rPr/>
      </w:pPr>
      <w:bookmarkStart w:id="8" w:name="__RefHeading___Toc1073_3697047362"/>
      <w:bookmarkEnd w:id="8"/>
      <w:r>
        <w:rPr/>
        <w:t>4.5.         SERVIÇO DE MONITORAMENTO</w:t>
      </w:r>
    </w:p>
    <w:p>
      <w:pPr>
        <w:pStyle w:val="Normal"/>
        <w:rPr/>
      </w:pPr>
      <w:r>
        <w:rPr/>
        <w:t>O sistema de CFTV será composto por câmeras IP, com emprego de câmeras do tipo bullet para aplicações externas e do tipo dome para aplicações internas quando aplicável, atendendo à cobertura e níveis de detalhamento necessários para monitoramento do empreendimento. As câmeras IP estarão integradas à infraestrutura de rede do projeto, seguindo topologia de vídeo sobre IP.</w:t>
      </w:r>
    </w:p>
    <w:p>
      <w:pPr>
        <w:pStyle w:val="Normal"/>
        <w:rPr/>
      </w:pPr>
      <w:r>
        <w:rPr/>
        <w:t>O tráfego de vídeo será transportado pela rede estruturada em cabeamento CAT-6 até a sala de monitoramento, onde os sinais serão concentrados em equipamentos de comutação e disponibilizados para visualização em estações de monitoramento e para armazenamento centralizado, garantindo acesso e retenção conforme exigências operacionais.</w:t>
      </w:r>
    </w:p>
    <w:p>
      <w:pPr>
        <w:pStyle w:val="Heading1"/>
        <w:rPr/>
      </w:pPr>
      <w:bookmarkStart w:id="9" w:name="__RefHeading___Toc1075_3697047362"/>
      <w:bookmarkEnd w:id="9"/>
      <w:r>
        <w:rPr/>
        <w:t>5. SALA DE MONITORAMENTO (ER/EF)</w:t>
      </w:r>
    </w:p>
    <w:p>
      <w:pPr>
        <w:pStyle w:val="Normal"/>
        <w:rPr/>
      </w:pPr>
      <w:r>
        <w:rPr/>
        <w:t>A Sala de Monitoramento (ER/EF) deverá dispor de infraestrutura física e ambiental adequada à instalação e operação de equipamentos de telecomunicações, garantindo continuidade, segurança e facilidade de manutenção. A seguir, requisitos mínimos a serem atendidos para a concepção, instalação e operação da sala.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 xml:space="preserve">- Aterramento e equipotencialização: previsão de barra de aterramento principal (TGB/TMGB) com pontos de conexão acessíveis para equipamentos ativos e painéis de distribuição, continuidade de equipotencialização entre racks, painéis e estruturas metálicas, e separação adequada das massas de sinal e massa de proteção conforme boas práticas de telecomunicações.  </w:t>
        <w:br/>
        <w:t xml:space="preserve">- Iluminação: projeto luminotécnico que assegure iluminação adequada para operação e manutenção dos equipamentos, com distribuição uniforme e recursos de emergência que permitam intervenções seguras em condição de falha da alimentação principal.  </w:t>
        <w:br/>
        <w:t xml:space="preserve">- Climatização e controle ambiental: sistema de climatização que mantenha condições estáveis de temperatura e umidade relativas compatíveis com operação contínua de equipamentos eletrônicos, garantindo ventilação forçada e controle de carga térmica, com redundância e monitoramento de parâmetros ambientais.  </w:t>
        <w:br/>
        <w:t xml:space="preserve">- Alimentação elétrica: alimentação elétrica dedicada à sala, com circuitos independentes para equipamentos de rede, painéis de distribuição específicos e provisionamento para sistema de alimentação ininterrupta (UPS) e disponibilidade de pontos de aterramento para retificação e proteção elétrica, além de proteção contra surtos.  </w:t>
        <w:br/>
        <w:t xml:space="preserve">- Organização física e gestão de cabos: área e infraestrutura para acomodação organizada de racks e painéis de distribuição, com caminhos e bandejas destinados ao cabeamento estruturado e separação entre cabos de energia e de sinal, gestão de cabos para acesso frontal e traseiro e facilidades para documentação e identificação.  </w:t>
        <w:br/>
        <w:t xml:space="preserve">- Firestops e compartimentação: vedação e selagem de todas as passagens de cabos e eletrodutos com materiais de proteção contra incêndio apropriados, mantendo a compartimentação e resistência ao fogo exigidas pelo projeto de segurança predial e normas aplicáveis.  </w:t>
        <w:br/>
        <w:t xml:space="preserve">- Controle de acesso e segurança física: controle de acesso à sala por meios eletrônicos, com previsão de uso de sistemas por identificação (RFID ou similares) quando aplicável, registro de acessos e mecanismos de travamento que restrinjam a entrada a pessoal autorizado.  </w:t>
        <w:br/>
        <w:t xml:space="preserve">- Monitoramento e alarmes: provisionamento para sensores e pontos de monitoramento ambiental (temperatura, umidade, detecção de água/umidade, fumaça) e integração com sistema de gerenciamento predial ou central de monitoramento.  </w:t>
        <w:br/>
        <w:t xml:space="preserve">- Distâncias e cabeamento: observância das distâncias máximas e limites de cabeamento horizontal e backbone estabelecidos pelas normas técnicas aplicáveis, com projeto que minimize perdas e garanta desempenho dos enlaces.  </w:t>
        <w:br/>
        <w:t>- Acesso e manutenção: circulação e espaço livre interno adequados para movimentação e manutenção de equipamentos, permitindo substituição e intervenção sem impacto em infraestrutura crítica, e locais para armazenamento de peças e ferramentas associadas.</w:t>
      </w:r>
    </w:p>
    <w:p>
      <w:pPr>
        <w:pStyle w:val="Normal"/>
        <w:rPr/>
      </w:pPr>
      <w:r>
        <w:rPr/>
        <w:t>OBSERVAÇÃO: Em empreendimentos residenciais típicos, normalmente não há uma sala de monitoramento dedicada exclusivamente para telecomunicações. Os racks e equipamentos de telecomunicações são geralmente instalados em locais apropriados como: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- Hall de entrada do edifício (em armários fechados e ventilados)</w:t>
        <w:br/>
        <w:t>- Sala da zeladoria ou administração</w:t>
        <w:br/>
        <w:t>- Áreas técnicas compartilhadas com instalações elétricas (quadros gerais)</w:t>
      </w:r>
    </w:p>
    <w:p>
      <w:pPr>
        <w:pStyle w:val="Normal"/>
        <w:rPr/>
      </w:pPr>
      <w:r>
        <w:rPr/>
        <w:t>Independentemente da localização escolhida, o espaço destinado aos equipamentos de telecomunicações deverá atender aos requisitos mínimos de ventilação, aterramento adequado (TGB/TMGB), alimentação elétrica independente, e controle de acesso restrito para segurança dos equipamentos.</w:t>
      </w:r>
    </w:p>
    <w:p>
      <w:pPr>
        <w:pStyle w:val="Heading1"/>
        <w:rPr/>
      </w:pPr>
      <w:bookmarkStart w:id="10" w:name="__RefHeading___Toc1077_3697047362"/>
      <w:bookmarkEnd w:id="10"/>
      <w:r>
        <w:rPr/>
        <w:t>6. ELEMENTOS PASSIVOS E ATIVOS DA REDE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6.1 Elementos passivos</w:t>
        <w:br/>
        <w:t xml:space="preserve">- Cabos de par trançado U/UTP destinados aos enlaces horizontais e vertebrais, com terminação em conectores modulares nas extremidades, acomodação em infraestrutura passiva (dutos/eletrocalhas) e identificação permanente em ambas as pontas; fornecimento acompanhado de certificação de continuidade e testes de desempenho conforme projeto executivo.  </w:t>
        <w:br/>
        <w:t xml:space="preserve">- Painéis de conexão (patch panels) modulares para montagem em 19" rack/armário, destinados à terminação ordenada dos cabos horizontais, com identificação de portas e possibilitando posterior remanejamento através de patch cords.  </w:t>
        <w:br/>
        <w:t xml:space="preserve">- Patch cords para interconexão entre painéis de conexão e equipamentos ativos, com comprimento apropriado à disposição dos racks e protegidos por gerenciamento de cabos.  </w:t>
        <w:br/>
        <w:t xml:space="preserve">- Tomadas de usuário RJ-45 para terminação final dos pontos de rede, montadas em caixas de embutir ou sobrepor conforme especificação de obra, com placa e identificação de ponto conforme norma de identificação do projeto.  </w:t>
        <w:br/>
        <w:t xml:space="preserve">- Caixas de passagem, caixas de embutir e caixas de acomodação para tomadas e terminação, compatíveis com o tipo de instalação (paredes, forros, mobiliário), garantindo acesso para emendas e organização do cabeamento.  </w:t>
        <w:br/>
        <w:t>- Racks/armários 19" e quadros de distribuição para acomodação dos patch panels, equipamentos ativos e acessórios, com gerenciamento de cabos frontal e traseiro, painéis de ventilação e dispositivos para aterramento.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6.2 Elementos ativos</w:t>
        <w:br/>
        <w:t xml:space="preserve">- Switches de acesso e agregação em formato rack-mount ou modular, gerenciáveis, com portas compatíveis com o sistema de cabeamento instalado, provisionamento de VLANs, QoS e opções de alimentação conforme necessidade do projeto (incluindo PoE quando aplicável).  </w:t>
        <w:br/>
        <w:t>- Roteadores de borda e equipamentos de roteamento/segurança para interligação entre domínios de rede e enlaces de uplink, em formato apropriado para montagem em rack, com interfaces compatíveis aos enlaces projetados e capacidade de gerenciamento e redundância conforme escopo.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6.3 Acessórios e serviços associados</w:t>
        <w:br/>
        <w:t>- Painéis e organizadores de cabos, bandejas e calhas para segregação e suporte do cabeamento, etiquetas e material de identificação para portas e cabos, kits de fixação e aterramento para racks/armários, além de testes de certificação de cada enlace após instalação.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6.4 Observações gerais</w:t>
        <w:br/>
        <w:t>- Todos os elementos passivos e ativos deverão ser compatíveis entre si, permitir gerenciamento ordenado do cabeamento, facilidade de manutenção e futura expansão, e serão instalados, etiquetados e entregues com relatórios de testes e as-built conforme especificação do projeto executivo.</w:t>
      </w:r>
    </w:p>
    <w:p>
      <w:pPr>
        <w:pStyle w:val="Heading1"/>
        <w:rPr/>
      </w:pPr>
      <w:bookmarkStart w:id="11" w:name="__RefHeading___Toc1079_3697047362"/>
      <w:bookmarkEnd w:id="11"/>
      <w:r>
        <w:rPr/>
        <w:t>7. TESTES E ACEITAÇÃO</w:t>
      </w:r>
    </w:p>
    <w:p>
      <w:pPr>
        <w:pStyle w:val="Normal"/>
        <w:rPr/>
      </w:pPr>
      <w:r>
        <w:rPr/>
        <w:t>Os procedimentos de testes e certificação do cabeamento estruturado destinados ao padrão CAT-6 contemplarão a certificação conforme as normas ANSI/TIA aplicáveis, com verificação end-to-end de todos os enlaces por meio de equipamento adequado, do tipo certificador de rede, capaz de efetuar medições de continuidade e atenuação e gerar relatórios de conformidade. Cada enlace será submetido a inspeção visual das terminações, conexões e identificação, seguida de ensaios instrumentais conforme os critérios de conformidade estabelecidos na ANSI/TIA-568-C, registrando-se os resultados individuais sem valores arbitrários no presente documento; enlaces que não atendam aos critérios serão reparados e retestados até a conformidade. Ao término dos testes será entregue documentação as-built atualizada e os relatórios de certificação dos testes em formato eletrônico, contendo os resultados por enlace, identificação dos pontos, observações das inspeções visuais e declaração de conformidade com a norma, servindo como base para a aceitação final por parte do contratante.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2"/>
        </w:rPr>
        <w:t>__________________________________________________</w:t>
      </w:r>
    </w:p>
    <w:p>
      <w:pPr>
        <w:pStyle w:val="Normal"/>
        <w:jc w:val="center"/>
        <w:rPr/>
      </w:pPr>
      <w:r>
        <w:rPr>
          <w:b/>
          <w:sz w:val="22"/>
        </w:rPr>
        <w:t>RESPONSÁVEL TÉCNICO</w:t>
      </w:r>
    </w:p>
    <w:p>
      <w:pPr>
        <w:pStyle w:val="Normal"/>
        <w:spacing w:before="0" w:after="120"/>
        <w:jc w:val="center"/>
        <w:rPr/>
      </w:pPr>
      <w:r>
        <w:rPr>
          <w:sz w:val="22"/>
        </w:rPr>
        <w:t>CREA XXXXX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17" w:right="1134" w:gutter="0" w:header="0" w:top="198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ind w:start="-1701" w:end="0"/>
      <w:jc w:val="start"/>
      <w:rPr/>
    </w:pPr>
    <w:r>
      <w:rPr/>
      <w:drawing>
        <wp:inline distT="0" distB="0" distL="0" distR="0">
          <wp:extent cx="7919720" cy="678180"/>
          <wp:effectExtent l="0" t="0" r="0" b="0"/>
          <wp:docPr id="3" name="Figura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1972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ind w:start="-1701" w:end="0"/>
      <w:jc w:val="start"/>
      <w:rPr/>
    </w:pPr>
    <w:r>
      <w:rPr/>
      <w:drawing>
        <wp:inline distT="0" distB="0" distL="0" distR="0">
          <wp:extent cx="7919720" cy="678180"/>
          <wp:effectExtent l="0" t="0" r="0" b="0"/>
          <wp:docPr id="4" name="Figura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1972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ind w:start="-1701" w:end="0"/>
      <w:jc w:val="start"/>
      <w:rPr/>
    </w:pPr>
    <w:r>
      <w:rPr/>
      <w:drawing>
        <wp:inline distT="0" distB="0" distL="0" distR="0">
          <wp:extent cx="7919720" cy="18643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19720" cy="186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ind w:start="-1701" w:end="0"/>
      <w:jc w:val="start"/>
      <w:rPr/>
    </w:pPr>
    <w:r>
      <w:rPr/>
      <w:drawing>
        <wp:inline distT="0" distB="0" distL="0" distR="0">
          <wp:extent cx="7919720" cy="186436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19720" cy="186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both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4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ind w:start="36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ndice"/>
    <w:pPr>
      <w:tabs>
        <w:tab w:val="clear" w:pos="720"/>
        <w:tab w:val="right" w:pos="9689" w:leader="dot"/>
      </w:tabs>
      <w:ind w:hanging="0" w:start="0"/>
    </w:pPr>
    <w:rPr/>
  </w:style>
  <w:style w:type="paragraph" w:styleId="TOC2">
    <w:name w:val="toc 2"/>
    <w:basedOn w:val="ndice"/>
    <w:pPr>
      <w:tabs>
        <w:tab w:val="clear" w:pos="720"/>
        <w:tab w:val="right" w:pos="9406" w:leader="dot"/>
      </w:tabs>
      <w:ind w:hanging="0" w:start="283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LibreOffice/25.8.4.2$Linux_X86_64 LibreOffice_project/580$Build-2</Application>
  <AppVersion>15.0000</AppVersion>
  <Pages>9</Pages>
  <Words>2158</Words>
  <Characters>13295</Characters>
  <CharactersWithSpaces>15439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2026-01-23T10:30:50Z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