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>
          <w:b/>
          <w:sz w:val="22"/>
        </w:rPr>
        <w:t>MEMORIAL n° XX/2025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MGA CONSTRUÇÕES E INCORPORAÇÕES LTDA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MEMORIAL DESCRITIVO E ESPECIFICAÇÕES TÉCNICAS DAS INSTALAÇÕES DE TELECOMUNICAÇÕES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0"/>
        </w:rPr>
        <w:t>MAKAI</w:t>
      </w:r>
    </w:p>
    <w:p>
      <w:pPr>
        <w:pStyle w:val="Normal"/>
        <w:jc w:val="center"/>
        <w:rPr/>
      </w:pPr>
      <w:r>
        <w:rPr>
          <w:sz w:val="22"/>
        </w:rPr>
        <w:t>AVENIDA MAX ZAGEL, S/N, LOTE 05-A QUADRA12, CABEDELO- PB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27/01/2025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sz w:val="24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\t "heading 1,1,heading 2,2"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86_2942509613" w:tooltip="1. INTRODUÇÃO">
            <w:r>
              <w:rPr>
                <w:rStyle w:val="Vnculodendice"/>
                <w:webHidden/>
              </w:rPr>
              <w:t>1. INTRODUÇÃO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86_2942509613" w:tooltip="1. INTRODUÇÃO">
            <w:r>
              <w:rPr>
                <w:rStyle w:val="Vnculodendice"/>
                <w:webHidden/>
              </w:rPr>
              <w:t>1. INTRODUÇÃO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88_2942509613" w:tooltip="2. DADOS DA OBRA">
            <w:r>
              <w:rPr>
                <w:rStyle w:val="Vnculodendice"/>
                <w:webHidden/>
              </w:rPr>
              <w:t>2. DADOS DA OBRA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88_2942509613" w:tooltip="2. DADOS DA OBRA">
            <w:r>
              <w:rPr>
                <w:rStyle w:val="Vnculodendice"/>
                <w:webHidden/>
              </w:rPr>
              <w:t>2. DADOS DA OBRA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90_2942509613" w:tooltip="3. NORMAS TÉCNICAS">
            <w:r>
              <w:rPr>
                <w:rStyle w:val="Vnculodendice"/>
                <w:webHidden/>
              </w:rPr>
              <w:t>3. NORMAS TÉCNICAS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90_2942509613" w:tooltip="3. NORMAS TÉCNICAS">
            <w:r>
              <w:rPr>
                <w:rStyle w:val="Vnculodendice"/>
                <w:webHidden/>
              </w:rPr>
              <w:t>3. NORMAS TÉCNICAS</w:t>
              <w:tab/>
              <w:t>4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92_2942509613" w:tooltip="4. SERVIÇOS CONTEMPLADOS">
            <w:r>
              <w:rPr>
                <w:rStyle w:val="Vnculodendice"/>
                <w:webHidden/>
              </w:rPr>
              <w:t>4. SERVIÇOS CONTEMPLADOS</w:t>
              <w:tab/>
              <w:t>5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92_2942509613" w:tooltip="4. SERVIÇOS CONTEMPLADOS">
            <w:r>
              <w:rPr>
                <w:rStyle w:val="Vnculodendice"/>
                <w:webHidden/>
              </w:rPr>
              <w:t>4. SERVIÇOS CONTEMPLADOS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4_2942509613" w:tooltip="4.1. SERVIÇO DE VOZ">
            <w:r>
              <w:rPr>
                <w:rStyle w:val="Vnculodendice"/>
                <w:webHidden/>
              </w:rPr>
              <w:t>4.1. SERVIÇO DE VOZ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4_2942509613" w:tooltip="4.1. SERVIÇO DE VOZ">
            <w:r>
              <w:rPr>
                <w:rStyle w:val="Vnculodendice"/>
                <w:webHidden/>
              </w:rPr>
              <w:t>4.1. SERVIÇO DE VOZ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6_2942509613" w:tooltip="4.2. SERVIÇO DE DADOS">
            <w:r>
              <w:rPr>
                <w:rStyle w:val="Vnculodendice"/>
                <w:webHidden/>
              </w:rPr>
              <w:t>4.2. SERVIÇO DE DADOS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6_2942509613" w:tooltip="4.2. SERVIÇO DE DADOS">
            <w:r>
              <w:rPr>
                <w:rStyle w:val="Vnculodendice"/>
                <w:webHidden/>
              </w:rPr>
              <w:t>4.2. SERVIÇO DE DADOS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8_2942509613" w:tooltip="4.3. SERVIÇO DE VÍDEO">
            <w:r>
              <w:rPr>
                <w:rStyle w:val="Vnculodendice"/>
                <w:webHidden/>
              </w:rPr>
              <w:t>4.3. SERVIÇO DE VÍDEO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98_2942509613" w:tooltip="4.3. SERVIÇO DE VÍDEO">
            <w:r>
              <w:rPr>
                <w:rStyle w:val="Vnculodendice"/>
                <w:webHidden/>
              </w:rPr>
              <w:t>4.3. SERVIÇO DE VÍDEO</w:t>
              <w:tab/>
              <w:t>5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0_2942509613" w:tooltip="4.4. SERVIÇO DE INTERCOMUNICAÇÃO">
            <w:r>
              <w:rPr>
                <w:rStyle w:val="Vnculodendice"/>
                <w:webHidden/>
              </w:rPr>
              <w:t>4.4. SERVIÇO DE INTERCOMUNICAÇÃO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0_2942509613" w:tooltip="4.4. SERVIÇO DE INTERCOMUNICAÇÃO">
            <w:r>
              <w:rPr>
                <w:rStyle w:val="Vnculodendice"/>
                <w:webHidden/>
              </w:rPr>
              <w:t>4.4. SERVIÇO DE INTERCOMUNICAÇÃO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2_2942509613" w:tooltip="4.5. SERVIÇO DE MONITORAMENTO">
            <w:r>
              <w:rPr>
                <w:rStyle w:val="Vnculodendice"/>
                <w:webHidden/>
              </w:rPr>
              <w:t>4.5. SERVIÇO DE MONITORAMENTO</w:t>
              <w:tab/>
              <w:t>6</w:t>
            </w:r>
          </w:hyperlink>
        </w:p>
        <w:p>
          <w:pPr>
            <w:pStyle w:val="TOC2"/>
            <w:tabs>
              <w:tab w:val="clear" w:pos="9406"/>
              <w:tab w:val="right" w:pos="9688" w:leader="dot"/>
            </w:tabs>
            <w:rPr/>
          </w:pPr>
          <w:hyperlink w:anchor="__RefHeading___Toc102_2942509613" w:tooltip="4.5. SERVIÇO DE MONITORAMENTO">
            <w:r>
              <w:rPr>
                <w:rStyle w:val="Vnculodendice"/>
                <w:webHidden/>
              </w:rPr>
              <w:t>4.5. SERVIÇO DE MONITORAMENTO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4_2942509613" w:tooltip="5. SALA DE MONITORAMENTO (ER/EF)">
            <w:r>
              <w:rPr>
                <w:rStyle w:val="Vnculodendice"/>
                <w:webHidden/>
              </w:rPr>
              <w:t>5. SALA DE MONITORAMENTO (ER/EF)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4_2942509613" w:tooltip="5. SALA DE MONITORAMENTO (ER/EF)">
            <w:r>
              <w:rPr>
                <w:rStyle w:val="Vnculodendice"/>
                <w:webHidden/>
              </w:rPr>
              <w:t>5. SALA DE MONITORAMENTO (ER/EF)</w:t>
              <w:tab/>
              <w:t>6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_2942509613" w:tooltip="6. ELEMENTOS PASSIVOS E ATIVOS DA REDE">
            <w:r>
              <w:rPr>
                <w:rStyle w:val="Vnculodendice"/>
                <w:webHidden/>
              </w:rPr>
              <w:t>6. ELEMENTOS PASSIVOS E ATIVOS DA REDE</w:t>
              <w:tab/>
              <w:t>8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6_2942509613" w:tooltip="6. ELEMENTOS PASSIVOS E ATIVOS DA REDE">
            <w:r>
              <w:rPr>
                <w:rStyle w:val="Vnculodendice"/>
                <w:webHidden/>
              </w:rPr>
              <w:t>6. ELEMENTOS PASSIVOS E ATIVOS DA REDE</w:t>
              <w:tab/>
              <w:t>8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8_2942509613" w:tooltip="7. TESTES E ACEITAÇÃO">
            <w:r>
              <w:rPr>
                <w:rStyle w:val="Vnculodendice"/>
                <w:webHidden/>
              </w:rPr>
              <w:t>7. TESTES E ACEITAÇÃO</w:t>
              <w:tab/>
              <w:t>8</w:t>
            </w:r>
          </w:hyperlink>
        </w:p>
        <w:p>
          <w:pPr>
            <w:pStyle w:val="TOC1"/>
            <w:tabs>
              <w:tab w:val="clear" w:pos="9689"/>
              <w:tab w:val="right" w:pos="9688" w:leader="dot"/>
            </w:tabs>
            <w:rPr/>
          </w:pPr>
          <w:hyperlink w:anchor="__RefHeading___Toc108_2942509613" w:tooltip="7. TESTES E ACEITAÇÃO">
            <w:r>
              <w:rPr>
                <w:rStyle w:val="Vnculodendice"/>
                <w:webHidden/>
              </w:rPr>
              <w:t>7. TESTES E ACEITAÇÃO</w:t>
              <w:tab/>
              <w:t>8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86_2942509613"/>
      <w:bookmarkEnd w:id="0"/>
      <w:r>
        <w:rPr/>
        <w:t>1. INTRODUÇÃO</w:t>
      </w:r>
    </w:p>
    <w:p>
      <w:pPr>
        <w:pStyle w:val="Normal"/>
        <w:rPr/>
      </w:pPr>
      <w:r>
        <w:rPr/>
        <w:t>O presente memorial descritivo estabelece o escopo do sistema de infraestrutura de telecomunicações a ser implantado no empreendimento MAKAI, executado pela MGA CONSTRUÇÕES E INCORPORAÇÕES LTDA. Tem por objetivo dispor as diretrizes técnicas, requisitos de projeto e critérios de execução necessários para atendimento das demandas de telecomunicações do empreendimento, assegurando desempenho, disponibilidade e flexibilidade ao longo de sua operação.</w:t>
      </w:r>
    </w:p>
    <w:p>
      <w:pPr>
        <w:pStyle w:val="Normal"/>
        <w:rPr/>
      </w:pPr>
      <w:r>
        <w:rPr/>
        <w:t>O documento apresenta a proposta de infraestrutura a ser adotada, definindo as interfaces com as demais instalações prediais, os princípios de cabeamento e distribuição lógica, os requisitos de suporte e alojamento de equipamentos, bem como os procedimentos de testes e comissionamento, preparando o leitor para os detalhes técnicos que serão apresentados nas seções subsequentes.</w:t>
      </w:r>
    </w:p>
    <w:p>
      <w:pPr>
        <w:pStyle w:val="Heading1"/>
        <w:rPr/>
      </w:pPr>
      <w:bookmarkStart w:id="1" w:name="__RefHeading___Toc88_2942509613"/>
      <w:bookmarkEnd w:id="1"/>
      <w:r>
        <w:rPr/>
        <w:t>2. DADOS DA OBRA</w:t>
      </w:r>
    </w:p>
    <w:p>
      <w:pPr>
        <w:pStyle w:val="Normal"/>
        <w:jc w:val="start"/>
        <w:rPr/>
      </w:pPr>
      <w:r>
        <w:rPr/>
        <w:t>CONSTRUTORA: MGA CONSTRUÇÕES E INCORPORAÇÕES LTDA</w:t>
      </w:r>
    </w:p>
    <w:p>
      <w:pPr>
        <w:pStyle w:val="Normal"/>
        <w:jc w:val="start"/>
        <w:rPr/>
      </w:pPr>
      <w:r>
        <w:rPr/>
        <w:t>EMPREENDIMENTO: MAKAI</w:t>
      </w:r>
    </w:p>
    <w:p>
      <w:pPr>
        <w:pStyle w:val="Normal"/>
        <w:jc w:val="start"/>
        <w:rPr/>
      </w:pPr>
      <w:r>
        <w:rPr/>
        <w:t>ENDEREÇO: AVENIDA MAX ZAGEL, S/N, LOTE 05-A QUADRA12, CABEDELO- PB</w:t>
      </w:r>
    </w:p>
    <w:p>
      <w:pPr>
        <w:pStyle w:val="Normal"/>
        <w:jc w:val="start"/>
        <w:rPr/>
      </w:pPr>
      <w:r>
        <w:rPr/>
        <w:t>DATA: 27/01/2025</w:t>
      </w:r>
    </w:p>
    <w:p>
      <w:pPr>
        <w:pStyle w:val="Heading1"/>
        <w:rPr/>
      </w:pPr>
      <w:bookmarkStart w:id="2" w:name="__RefHeading___Toc90_2942509613"/>
      <w:bookmarkEnd w:id="2"/>
      <w:r>
        <w:rPr/>
        <w:t>3. NORMAS TÉCNICAS</w:t>
      </w:r>
    </w:p>
    <w:p>
      <w:pPr>
        <w:pStyle w:val="Normal"/>
        <w:rPr/>
      </w:pPr>
      <w:r>
        <w:rPr/>
        <w:t>As obras e instalações deste memorial devem atender às normas técnicas aplicáveis, que orientam projeto, especificação, execução, ensaios e documentação do sistema de telecomunicações, conforme listagem a seguir.</w:t>
      </w:r>
    </w:p>
    <w:p>
      <w:pPr>
        <w:pStyle w:val="Normal"/>
        <w:rPr/>
      </w:pPr>
      <w:r>
        <w:rPr/>
        <w:t>NBR 14565 - Cabeamento de telecomunicações para edifícios comerciais</w:t>
        <w:br/>
        <w:t>NBR 16264 - Cabeamento estruturado residencial</w:t>
        <w:br/>
        <w:t>EIA/TIA-569 - Commercial Building Standard for Telecommunications Pathways and Spaces</w:t>
        <w:br/>
        <w:t>IEEE 802.3ah - Ethernet in the First Mile</w:t>
        <w:br/>
        <w:t>ISO/TIA 568-C - Commercial Building Telecommunications Cabling Standard</w:t>
        <w:br/>
        <w:t>ISO/TIA 569-B - Commercial Building Standard for Telecommunications Pathways and Spaces</w:t>
        <w:br/>
        <w:t>ISO/TIA 606-A - Administration Standard for Commercial Telecommunications Infrastructure</w:t>
        <w:br/>
        <w:t>ISO/TIA 607-B - Generic Telecommunications Bonding and Grounding for Customer Premises</w:t>
        <w:br/>
        <w:t>ISO/TIA 942 - Data Center Standards Overview</w:t>
        <w:br/>
        <w:t>NBR 5410 - Instalações elétricas de baixa tensão</w:t>
      </w:r>
    </w:p>
    <w:p>
      <w:pPr>
        <w:pStyle w:val="Heading1"/>
        <w:rPr/>
      </w:pPr>
      <w:bookmarkStart w:id="3" w:name="__RefHeading___Toc92_2942509613"/>
      <w:bookmarkEnd w:id="3"/>
      <w:r>
        <w:rPr/>
        <w:t>4. SERVIÇOS CONTEMPLADOS</w:t>
      </w:r>
    </w:p>
    <w:p>
      <w:pPr>
        <w:pStyle w:val="Normal"/>
        <w:rPr/>
      </w:pPr>
      <w:r>
        <w:rPr/>
        <w:t>Nesta seção são apresentados os serviços contemplados pelo sistema, que serão detalhados nas subseções 4.1 a 4.5, com as especificações técnicas e os requisitos de infraestrutura correspondentes.</w:t>
      </w:r>
    </w:p>
    <w:p>
      <w:pPr>
        <w:pStyle w:val="Heading2"/>
        <w:rPr/>
      </w:pPr>
      <w:bookmarkStart w:id="4" w:name="__RefHeading___Toc94_2942509613"/>
      <w:bookmarkEnd w:id="4"/>
      <w:r>
        <w:rPr/>
        <w:t>4.1.         SERVIÇO DE VOZ</w:t>
      </w:r>
    </w:p>
    <w:p>
      <w:pPr>
        <w:pStyle w:val="Normal"/>
        <w:rPr/>
      </w:pPr>
      <w:r>
        <w:rPr/>
        <w:t>O serviço de voz será implementado por meio de solução em cabeamento metálico do tipo CCI-2 no caso de empreendimentos residenciais. Esses pontos de utilização estarão conectados aos DG’s.</w:t>
      </w:r>
    </w:p>
    <w:p>
      <w:pPr>
        <w:pStyle w:val="Normal"/>
        <w:rPr/>
      </w:pPr>
      <w:r>
        <w:rPr/>
        <w:t>Já em instalações coorporativas, comerciais e demais finalidades os pontos de voz serão alimentados por cabeamento do tipo CAT-6 possibilitando utilização de aparelhos e centrais IP. Tais pontos estarão conectados aos Voice Pannels localizados nos racks.</w:t>
      </w:r>
    </w:p>
    <w:p>
      <w:pPr>
        <w:pStyle w:val="Heading2"/>
        <w:rPr/>
      </w:pPr>
      <w:bookmarkStart w:id="5" w:name="__RefHeading___Toc96_2942509613"/>
      <w:bookmarkEnd w:id="5"/>
      <w:r>
        <w:rPr/>
        <w:t>4.2.         SERVIÇO DE DADOS</w:t>
      </w:r>
    </w:p>
    <w:p>
      <w:pPr>
        <w:pStyle w:val="Normal"/>
        <w:rPr/>
      </w:pPr>
      <w:r>
        <w:rPr/>
        <w:t>No âmbito do empreendimento MAKAI, o Serviço de Dados abrange as diretrizes para projeto, execução e teste da infraestrutura de telecomunicações destinada a suportar os serviços de dados do edifício, contemplando a definição e implantação das infraestruturas passiva e ativa, os caminhos de cabeamento e a interligação até as salas técnicas responsáveis pelo alojamento dos equipamentos. O escopo considera a passagem e montagem de dutos, bandejas e eletrodutos necessários à distribuição vertical e horizontal, bem como a coordenação com as demais disciplinas de obra para a integração arquitetural e eletromecânica dos trajetos.</w:t>
      </w:r>
    </w:p>
    <w:p>
      <w:pPr>
        <w:pStyle w:val="Normal"/>
        <w:rPr/>
      </w:pPr>
      <w:r>
        <w:rPr/>
        <w:t>A concepção prevê a implantação do backbone e da distribuição horizontal de forma a garantir continuidade, disponibilidade e facilidade de manutenção, incluindo critérios para identificação, etiquetagem, documentação e as rotinas de teste e aceitação dos enlaces instalados. Todos os serviços deverão ser executados em conformidade com as normas aplicáveis e com as exigências técnicas da construtora MGA CONSTRUÇÕES E INCORPORAÇÕES LTDA, com entrega de documentação final contendo esquemas, plantas de cabeamento e relatórios de ensaio.</w:t>
      </w:r>
    </w:p>
    <w:p>
      <w:pPr>
        <w:pStyle w:val="Heading2"/>
        <w:rPr/>
      </w:pPr>
      <w:bookmarkStart w:id="6" w:name="__RefHeading___Toc98_2942509613"/>
      <w:bookmarkEnd w:id="6"/>
      <w:r>
        <w:rPr/>
        <w:t>4.3.         SERVIÇO DE VÍDEO</w:t>
      </w:r>
    </w:p>
    <w:p>
      <w:pPr>
        <w:pStyle w:val="Normal"/>
        <w:rPr/>
      </w:pPr>
      <w:r>
        <w:rPr/>
        <w:t>O sistema de TV coletiva/assinatura será implementado com cabeamento coaxial RG-06/U#90% como meio físico de transporte do sinal, prevalecendo a blindagem e a continuidade exigidas para distribuição interna. O cabeamento RG-06/U#90% atenderá a ligação entre os pontos de concentração e os pontos de usuário, com terminações e conectores apropriados para preservação do nível de sinal e compatibilidade com equipamentos de recepção.</w:t>
      </w:r>
    </w:p>
    <w:p>
      <w:pPr>
        <w:pStyle w:val="Normal"/>
        <w:rPr/>
      </w:pPr>
      <w:r>
        <w:rPr/>
        <w:t>As caixas de distribuição MB-10 e CCI-2 serão empregadas como pontos de concentração e redistribuição do sinal, recebendo os cabos coaxiais RG-06/U#90% e possibilitando a interligação com a infraestrutura predial. Todas as derivações e conexões nas MB-10 e CCI-2 serão executadas com procedimentos e materiais adequados, inclusive verificação de continuidade e níveis de sinal, para garantir desempenho e confiabilidade do sistema.</w:t>
      </w:r>
    </w:p>
    <w:p>
      <w:pPr>
        <w:pStyle w:val="Heading2"/>
        <w:rPr/>
      </w:pPr>
      <w:bookmarkStart w:id="7" w:name="__RefHeading___Toc100_2942509613"/>
      <w:bookmarkEnd w:id="7"/>
      <w:r>
        <w:rPr/>
        <w:t>4.4.         SERVIÇO DE INTERCOMUNICAÇÃO</w:t>
      </w:r>
    </w:p>
    <w:p>
      <w:pPr>
        <w:pStyle w:val="Normal"/>
        <w:rPr/>
      </w:pPr>
      <w:r>
        <w:rPr/>
        <w:t>Nos empreendimentos residenciais, o sistema de intercomunicação contempla interfones e interfaces para acionamento de fechos magnéticos, botoeiras e porteiros eletrônicos. Esses pontos são alimentados por cabos metálicos tipo CCI-2: no caso dos fechos, botoeiras e portões estão ligados a uma botoeira de comandos, já os porteiros eletrônicos são comandados pelos receptores. No caso dos interfones, estão conectados a centrais PABX localizadas via de regra no interior dos DG’s.</w:t>
      </w:r>
    </w:p>
    <w:p>
      <w:pPr>
        <w:pStyle w:val="Normal"/>
        <w:rPr/>
      </w:pPr>
      <w:r>
        <w:rPr/>
        <w:t>Já nos empreendimentos corporativos, a solução admite operação sob protocolo IP (por meio da utilização de cabeamento do tipo CAT-6), possibilitando comunicação áudio/vídeo e sinalização de acionamento remoto das fechaduras, além de interoperabilidade com sistemas de controle e gestão centralizados por meio da rede estruturada.</w:t>
      </w:r>
    </w:p>
    <w:p>
      <w:pPr>
        <w:pStyle w:val="Heading2"/>
        <w:rPr/>
      </w:pPr>
      <w:bookmarkStart w:id="8" w:name="__RefHeading___Toc102_2942509613"/>
      <w:bookmarkEnd w:id="8"/>
      <w:r>
        <w:rPr/>
        <w:t>4.5.         SERVIÇO DE MONITORAMENTO</w:t>
      </w:r>
    </w:p>
    <w:p>
      <w:pPr>
        <w:pStyle w:val="Normal"/>
        <w:rPr/>
      </w:pPr>
      <w:r>
        <w:rPr/>
        <w:t>O sistema de CFTV previsto é baseado em câmeras IP, com emprego de câmeras do tipo bullet em aplicações externas e dome em ambientes internos quando aplicável, integradas à rede de dados do empreendimento. O tráfego de vídeo é conduzido pela rede estruturada CAT-6 até a sala de monitoramento, garantindo conectividade e transporte do sinal IP entre as câmeras, switches e os equipamentos de processamento centralizados.</w:t>
      </w:r>
    </w:p>
    <w:p>
      <w:pPr>
        <w:pStyle w:val="Normal"/>
        <w:rPr/>
      </w:pPr>
      <w:r>
        <w:rPr/>
        <w:t>O armazenamento das imagens será realizado em servidor/NVR na sala de monitoramento, com políticas de retenção e gerenciamento centralizado, e a visualização em tempo real será disponibilizada por meio de estações de monitoramento e painéis de visualização, permitindo acesso local e gerenciamento das gravações conforme procedimento operacional.</w:t>
      </w:r>
    </w:p>
    <w:p>
      <w:pPr>
        <w:pStyle w:val="Heading1"/>
        <w:rPr/>
      </w:pPr>
      <w:bookmarkStart w:id="9" w:name="__RefHeading___Toc104_2942509613"/>
      <w:bookmarkEnd w:id="9"/>
      <w:r>
        <w:rPr/>
        <w:t>5. SALA DE MONITORAMENTO (ER/EF)</w:t>
      </w:r>
    </w:p>
    <w:p>
      <w:pPr>
        <w:pStyle w:val="Normal"/>
        <w:rPr/>
      </w:pPr>
      <w:r>
        <w:rPr/>
        <w:t>A Sala de Monitoramento (ER/EF) deve atender aos requisitos de infraestrutura, segurança e operação necessários para abrigar equipamentos ativos e passivos de telecomunicações, garantindo disponibilidade, proteção física e condições ambientais controladas para operação contínua e manutenção segura.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Localização e disposição: sala dimensionada para acomodar racks, equipamentos de monitoramento e circulação técnica, com espaço para manutenção frontal e posterior dos racks e área para operação. A disposição deve permitir organização dos cabeamentos em caminhos definidos, entrada segregada de cabos e identificação clara das prumadas e pontos de conexão.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Aterramento e equipotencialização: provisionamento de TGB/TMGB conforme projeto de telecomunicações, com conexões diretas e de baixa impedância entre os racks, painéis e a malha de aterramento do empreendimento, assegurando equipotencialização da sala e dos invólucros metálicos dos equipamentos.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Iluminação: iluminação geral com nível mínimo de 540 lux na área de trabalho, distribuída de forma uniforme, com pontos de iluminação imediata junto aos painéis e racks. Sistema de iluminação de emergência e sinalização compacta integrado às rotas de acesso e manutenção.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Climatização e controle ambiental: sistema de climatização dimensionado para manter a temperatura ambiente entre 18 e 27 °C, com controle estável e exclusividade para a sala, garantindo renovação e filtragem do ar compatíveis com equipamento eletrônico sensível. Controle de umidade relativa e monitoramento ambiental devem ser previstos conforme normas aplicáveis.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Firestops e proteção contra incêndio: selagem cortafogo em todas as penetrações de tubulações e bandejas, com materiais intumescentes e procedimentos de firestop que mantenham a compartimentação e resistência ao fogo. Integração com detecção precoce de fumaça e rotinas de alarme, além de provisionamento para sistemas de extinção compatíveis com equipamentos eletrônicos.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Alimentação elétrica e redundância: alimentação elétrica independente, com quadro de distribuição dedicado à sala de monitoramento, proteção contra surtos e provisionamento para sistemas de alimentação ininterrupta (UPS) e seções de redundância conforme projeto elétrico. Circuitos e proteções devem ser segregados dos circuitos prediais comuns.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Controle de acesso e segurança física: controle de acesso à sala por sistema controlado, com registro de entradas e saídas, utilização de dispositivos eletrônicos (ex.: RFID) quando aplicável, acionamento de fechadura eletromagnética e políticas de acesso restrito a pessoal autorizado.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Organização de racks e cabeamento: racks fixos e devidamente aterrados, com gestão de cabos organizada em rack units e caminhos verticais/horizontais, identificação dos cabos e painéis, abertura suficiente para ventilação frontal e posterior e possibilidade de expansão conforme necessidade operacional.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Distâncias máximas e caminhos de cabeamento: observância das distâncias máximas e critérios de atenuação e segregação entre meios metálicos e fontes de interferência, respeitando as normas técnicas aplicáveis para cabeamento horizontal, backbone e link óptico, bem como as melhores práticas de instalação e roteamento de cabos.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Monitoramento e infraestrutura de suporte: provisionamento de pontos para monitoramento ambiental e elétrico, espaços para alarmes locais e interfaces de rede de gerenciamento, garantindo continuidade operacional e facilidade de integração com sistemas de gerenciamento predial e de telecomunicações.</w:t>
      </w:r>
    </w:p>
    <w:p>
      <w:pPr>
        <w:pStyle w:val="Normal"/>
        <w:rPr/>
      </w:pPr>
      <w:r>
        <w:rPr/>
        <w:t>OBSERVAÇÃO: Em empreendimentos residenciais típicos, normalmente não há uma sala de monitoramento dedicada exclusivamente para telecomunicações. Os racks e equipamentos de telecomunicações são geralmente instalados em locais apropriados como: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- Hall de entrada do edifício (em armários fechados e ventilados)</w:t>
        <w:br/>
        <w:t>- Sala da zeladoria ou administração</w:t>
        <w:br/>
        <w:t>- Áreas técnicas compartilhadas com instalações elétricas (quadros gerais)</w:t>
      </w:r>
    </w:p>
    <w:p>
      <w:pPr>
        <w:pStyle w:val="Normal"/>
        <w:rPr/>
      </w:pPr>
      <w:r>
        <w:rPr/>
        <w:t>Independentemente da localização escolhida, o espaço destinado aos equipamentos de telecomunicações deverá atender aos requisitos mínimos de ventilação, aterramento adequado (TGB/TMGB), alimentação elétrica independente, e controle de acesso restrito para segurança dos equipamentos.</w:t>
      </w:r>
    </w:p>
    <w:p>
      <w:pPr>
        <w:pStyle w:val="Heading1"/>
        <w:rPr/>
      </w:pPr>
      <w:bookmarkStart w:id="10" w:name="__RefHeading___Toc106_2942509613"/>
      <w:bookmarkEnd w:id="10"/>
      <w:r>
        <w:rPr/>
        <w:t>6. ELEMENTOS PASSIVOS E ATIVOS DA REDE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1. Componentes passivos: cabo de par trançado U/UTP de categoria adequada para cabeamento estruturado, destinado à interligação entre pontos de usuário e painéis de cadastro; patch panels para terminação horizontal em rack/quadros VDI, com identificação e gerenciamento de espaços para posterior acomodação de patch cords; patch cords para interligação entre patch panel e equipamentos ativos, de comprimento adequado à topologia do rack; tomadas RJ</w:t>
        <w:noBreakHyphen/>
        <w:t>45 modulares para terminação dos pontos de usuário, instaladas em caixas de embutir ou de superfície compatíveis; caixas de passagem e caixas de instalação compatíveis com as tomadas e com a infraestrutura elétrica/arquitetônica; quadro VDI/armário de telecomunicações (rack) para agrupamento e suporte físico de patch panels, equipamentos ativos e acessórios, provido de sistema de fixação 19" e gerenciamento de cabos; barra de aterramento e elementos de equi potencialização dedicados ao quadro de telecomunicações, para conexão da malha de proteção e cumprimento das práticas de instalação.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2. Componentes ativos: equipamentos de comutação (switches) para agregação e distribuição dos serviços de dados, instalados em rack/quadro VDI, com número de portas e características (capacidade de switching, suporte a PoE quando aplicável, gestão) dimensionados conforme projeto; dispositivos de borda/roteadores para interconexão com redes externas e serviços de agregação, também alojados em rack com alimentação adequada e ventilação; fontes de alimentação e sistemas de alimentação ininterrupta (quando previstos) para garantir continuidade às funções críticas; acessórios de instalação em rack (trilhos, bandejas, painéis de ventilação) para correta fixação e gerenciamento dos equipamentos ativos.</w:t>
      </w:r>
    </w:p>
    <w:p>
      <w:pPr>
        <w:pStyle w:val="Heading1"/>
        <w:rPr/>
      </w:pPr>
      <w:bookmarkStart w:id="11" w:name="__RefHeading___Toc108_2942509613"/>
      <w:bookmarkEnd w:id="11"/>
      <w:r>
        <w:rPr/>
        <w:t>7. TESTES E ACEITAÇÃO</w:t>
      </w:r>
    </w:p>
    <w:p>
      <w:pPr>
        <w:pStyle w:val="Normal"/>
        <w:rPr/>
      </w:pPr>
      <w:r>
        <w:rPr/>
        <w:t>Os ensaios de aceitação serão realizados para certificação do cabeamento estruturado em conformidade com as normas ANSI/TIA aplicáveis, observando especificamente os requisitos de desempenho e procedimentos descritos na ANSI/TIA-568-C; os testes incluirão verificação de continuidade, medidas de atenuação e demais parâmetros passivos exigidos pelas normas, executados com certificador de rede apropriado e registros individuais por enlace, sem indicação de valores de medição no presente memorial. Será realizada inspeção visual das conexões, emendas, identificação, roteamento, fixação e aterramento das infraestruturas e caixas técnicas, bem como verificação da documentação de montagem; todos os resultados serão consolidados em relatórios de certificação gerados pelo equipamento e entregues juntamente com a documentação as-built, plantas atualizadas e memoriais finais, constituindo os elementos para aceitação dos serviços.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__________________________________________________</w:t>
      </w:r>
    </w:p>
    <w:p>
      <w:pPr>
        <w:pStyle w:val="Normal"/>
        <w:jc w:val="center"/>
        <w:rPr/>
      </w:pPr>
      <w:r>
        <w:rPr>
          <w:b/>
          <w:sz w:val="22"/>
        </w:rPr>
        <w:t>RESPONSÁVEL TÉCNICO</w:t>
      </w:r>
    </w:p>
    <w:p>
      <w:pPr>
        <w:pStyle w:val="Normal"/>
        <w:spacing w:before="0" w:after="120"/>
        <w:jc w:val="center"/>
        <w:rPr/>
      </w:pPr>
      <w:r>
        <w:rPr>
          <w:sz w:val="22"/>
        </w:rPr>
        <w:t>CREA XXXXX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7" w:right="1134" w:gutter="0" w:header="0" w:top="198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678180"/>
          <wp:effectExtent l="0" t="0" r="0" b="0"/>
          <wp:docPr id="3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678180"/>
          <wp:effectExtent l="0" t="0" r="0" b="0"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18643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186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start="-1701" w:end="0"/>
      <w:jc w:val="start"/>
      <w:rPr/>
    </w:pPr>
    <w:r>
      <w:rPr/>
      <w:drawing>
        <wp:inline distT="0" distB="0" distL="0" distR="0">
          <wp:extent cx="7919720" cy="186436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9720" cy="186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ind w:start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689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720"/>
        <w:tab w:val="right" w:pos="9406" w:leader="dot"/>
      </w:tabs>
      <w:ind w:hanging="0" w:start="283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LibreOffice/25.8.4.2$Linux_X86_64 LibreOffice_project/580$Build-2</Application>
  <AppVersion>15.0000</AppVersion>
  <Pages>9</Pages>
  <Words>2004</Words>
  <Characters>12326</Characters>
  <CharactersWithSpaces>14275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2026-01-23T16:26:25Z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