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</w:rPr>
      </w:pPr>
      <w:r>
        <w:rPr>
          <w:rFonts w:cs="Arial" w:ascii="Arial" w:hAnsi="Arial"/>
          <w:b/>
          <w:spacing w:val="-10"/>
          <w:kern w:val="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</w:rPr>
      </w:pPr>
      <w:r>
        <w:rPr>
          <w:rFonts w:cs="Arial" w:ascii="Arial" w:hAnsi="Arial"/>
          <w:b/>
          <w:spacing w:val="-10"/>
          <w:kern w:val="2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</w:rPr>
        <w:t xml:space="preserve">MEMORIAL </w:t>
      </w:r>
      <w:r>
        <w:rPr>
          <w:rFonts w:eastAsia="Arial" w:cs="Arial" w:ascii="Arial" w:hAnsi="Arial"/>
          <w:b/>
          <w:bCs/>
          <w:highlight w:val="yellow"/>
        </w:rPr>
        <w:t>{{ obra.numero_cadastro }}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jc w:val="right"/>
        <w:outlineLvl w:val="0"/>
        <w:rPr>
          <w:rFonts w:ascii="Arial" w:hAnsi="Arial" w:cs="Arial"/>
          <w:b/>
          <w:spacing w:val="-10"/>
          <w:kern w:val="2"/>
          <w:szCs w:val="24"/>
        </w:rPr>
      </w:pPr>
      <w:r>
        <w:rPr>
          <w:rFonts w:cs="Arial" w:ascii="Arial" w:hAnsi="Arial"/>
          <w:b/>
          <w:spacing w:val="-10"/>
          <w:kern w:val="2"/>
          <w:szCs w:val="24"/>
        </w:rPr>
      </w:r>
    </w:p>
    <w:p>
      <w:pPr>
        <w:pStyle w:val="Normal"/>
        <w:jc w:val="center"/>
        <w:rPr>
          <w:rFonts w:ascii="Arial" w:hAnsi="Arial" w:cs="Arial"/>
        </w:rPr>
      </w:pPr>
      <w:r>
        <w:rPr>
          <w:rFonts w:cs="Arial" w:ascii="Arial" w:hAnsi="Arial"/>
          <w:b/>
          <w:sz w:val="24"/>
          <w:highlight w:val="yellow"/>
        </w:rPr>
        <w:t>{{ obra.construtora }}</w:t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spacing w:lineRule="atLeast" w:line="220" w:before="0" w:after="220"/>
        <w:jc w:val="center"/>
        <w:rPr>
          <w:rFonts w:ascii="Arial" w:hAnsi="Arial"/>
          <w:spacing w:val="-5"/>
          <w:sz w:val="24"/>
          <w:szCs w:val="24"/>
        </w:rPr>
      </w:pPr>
      <w:r>
        <w:rPr>
          <w:rFonts w:ascii="Arial" w:hAnsi="Arial"/>
          <w:spacing w:val="-5"/>
          <w:sz w:val="24"/>
          <w:szCs w:val="24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b/>
          <w:spacing w:val="-5"/>
          <w:sz w:val="24"/>
          <w:szCs w:val="24"/>
        </w:rPr>
      </w:pPr>
      <w:r>
        <w:rPr>
          <w:rFonts w:cs="Arial" w:ascii="Arial" w:hAnsi="Arial"/>
          <w:b/>
          <w:spacing w:val="-5"/>
          <w:sz w:val="24"/>
          <w:szCs w:val="24"/>
        </w:rPr>
        <w:t xml:space="preserve">MEMORIAL DESCRITIVO E ESPECIFICAÇÕES TÉCNICAS DAS INSTALAÇÕES DE </w:t>
      </w:r>
      <w:r>
        <w:rPr>
          <w:rFonts w:cs="Arial" w:ascii="Arial" w:hAnsi="Arial"/>
          <w:b/>
          <w:spacing w:val="-5"/>
          <w:sz w:val="24"/>
          <w:szCs w:val="24"/>
          <w:highlight w:val="yellow"/>
        </w:rPr>
        <w:t>GLP</w:t>
      </w:r>
      <w:r>
        <w:rPr>
          <w:rFonts w:cs="Arial" w:ascii="Arial" w:hAnsi="Arial"/>
          <w:b/>
          <w:spacing w:val="-5"/>
          <w:sz w:val="24"/>
          <w:szCs w:val="24"/>
        </w:rPr>
        <w:t xml:space="preserve">  DO EDIFÍCIO {{ obra.nome }}</w:t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b/>
          <w:spacing w:val="-10"/>
          <w:kern w:val="2"/>
          <w:sz w:val="24"/>
          <w:szCs w:val="24"/>
          <w:highlight w:val="yellow"/>
          <w:lang w:val="pt-BR"/>
        </w:rPr>
      </w:pPr>
      <w:r>
        <w:rPr>
          <w:rFonts w:cs="Arial" w:ascii="Arial" w:hAnsi="Arial"/>
          <w:b/>
          <w:bCs/>
          <w:spacing w:val="-10"/>
          <w:kern w:val="2"/>
          <w:sz w:val="24"/>
          <w:szCs w:val="24"/>
          <w:highlight w:val="yellow"/>
          <w:lang w:val="pt-BR"/>
        </w:rPr>
        <w:t>{{ obra.nome }}</w:t>
      </w:r>
    </w:p>
    <w:p>
      <w:pPr>
        <w:pStyle w:val="Normal"/>
        <w:jc w:val="center"/>
        <w:rPr>
          <w:rFonts w:ascii="Arial" w:hAnsi="Arial" w:cs="Arial"/>
          <w:spacing w:val="-5"/>
          <w:highlight w:val="yellow"/>
          <w:lang w:val="pt-BR"/>
        </w:rPr>
      </w:pPr>
      <w:r>
        <w:rPr>
          <w:rFonts w:cs="Arial" w:ascii="Arial" w:hAnsi="Arial"/>
          <w:spacing w:val="-5"/>
          <w:highlight w:val="yellow"/>
          <w:lang w:val="pt-BR"/>
        </w:rPr>
        <w:t>{{ obra.localizacao }}</w:t>
      </w:r>
    </w:p>
    <w:p>
      <w:pPr>
        <w:pStyle w:val="Normal"/>
        <w:jc w:val="center"/>
        <w:rPr>
          <w:rFonts w:ascii="Arial" w:hAnsi="Arial" w:cs="Arial"/>
          <w:spacing w:val="-5"/>
        </w:rPr>
      </w:pPr>
      <w:r>
        <w:rPr>
          <w:rFonts w:cs="Arial"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both"/>
        <w:rPr>
          <w:rFonts w:ascii="Arial" w:hAnsi="Arial"/>
          <w:spacing w:val="-5"/>
        </w:rPr>
      </w:pPr>
      <w:r>
        <w:rPr>
          <w:rFonts w:ascii="Arial" w:hAnsi="Arial"/>
          <w:spacing w:val="-5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>JOÃO PESSOA</w:t>
      </w:r>
    </w:p>
    <w:p>
      <w:pPr>
        <w:pStyle w:val="Normal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  <w:highlight w:val="yellow"/>
          <w:lang w:val="pt-BR"/>
        </w:rPr>
        <w:t>{{ documento.data_atual }}</w:t>
      </w:r>
    </w:p>
    <w:p>
      <w:pPr>
        <w:pStyle w:val="Normal"/>
        <w:jc w:val="center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jc w:val="center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SUMÁRIO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jc w:val="center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0" w:leader="none"/>
          <w:tab w:val="left" w:pos="284" w:leader="none"/>
        </w:tabs>
        <w:spacing w:lineRule="auto" w:line="360"/>
        <w:ind w:hanging="426" w:left="426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INTRODUÇÃO…………………………………………………………………………………….…..3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284" w:leader="none"/>
          <w:tab w:val="left" w:pos="851" w:leader="none"/>
        </w:tabs>
        <w:spacing w:lineRule="auto" w:line="360"/>
        <w:ind w:hanging="720" w:left="72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DADOS DA OBRA…………………………………………………………………………………....3</w:t>
      </w:r>
    </w:p>
    <w:p>
      <w:pPr>
        <w:pStyle w:val="Normal"/>
        <w:numPr>
          <w:ilvl w:val="0"/>
          <w:numId w:val="8"/>
        </w:numPr>
        <w:tabs>
          <w:tab w:val="clear" w:pos="708"/>
          <w:tab w:val="left" w:pos="-1843" w:leader="none"/>
          <w:tab w:val="left" w:pos="284" w:leader="none"/>
        </w:tabs>
        <w:spacing w:lineRule="auto" w:line="360"/>
        <w:ind w:hanging="720" w:left="709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NORMAS E PRÁTICAS COMPLEMENTARES………………………..…………………….……3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4. GENERALIDADES........................................................................……………………….…...….4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5. FONTES DE ABASTECIMENTO........……………………………………..………………..………4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6. ESPECIFICAÇÕES DOS MATERIAIS……………………………………………………....………4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7. TIPOS DE CONEXÕES MECÂNICAS.…………………………………………………..……….…5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8. DIMENSIONAMENTO...…………………………………………………..……........................……7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9. DESCRIÇÃO DO DIMENSIONAMENTO…………………………………………..………….....…8</w:t>
      </w:r>
    </w:p>
    <w:p>
      <w:pPr>
        <w:pStyle w:val="Normal"/>
        <w:spacing w:lineRule="auto" w:line="360"/>
        <w:jc w:val="both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 xml:space="preserve">10. </w:t>
      </w:r>
      <w:r>
        <w:rPr>
          <w:rFonts w:cs="Arial" w:ascii="Arial" w:hAnsi="Arial"/>
          <w:b/>
          <w:bCs/>
          <w:lang w:val="pt-BR"/>
        </w:rPr>
        <w:t>CONDIÇÕES GERAIS DE MONTAGEM DA REDE INTERNA DE DISTR. DE GÁS.</w:t>
      </w:r>
      <w:r>
        <w:rPr>
          <w:rFonts w:ascii="Arial" w:hAnsi="Arial"/>
          <w:b/>
          <w:lang w:val="pt-BR"/>
        </w:rPr>
        <w:t>…….…8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11. IDENTIFICAÇÃO……………………………………………….................................……………10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12. ENSAIO DE ESTANQUEIDADE……………………………………………..........………………11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13. INSTALAÇÃO DE APARELHOS DE GÁS…………………………………………….…………12</w:t>
      </w:r>
    </w:p>
    <w:p>
      <w:pPr>
        <w:pStyle w:val="Normal"/>
        <w:tabs>
          <w:tab w:val="clear" w:pos="708"/>
          <w:tab w:val="left" w:pos="-1843" w:leader="none"/>
          <w:tab w:val="left" w:pos="851" w:leader="none"/>
        </w:tabs>
        <w:spacing w:lineRule="auto" w:line="360"/>
        <w:rPr>
          <w:rFonts w:ascii="Arial" w:hAnsi="Arial"/>
          <w:b/>
          <w:lang w:val="pt-BR"/>
        </w:rPr>
      </w:pPr>
      <w:r>
        <w:rPr>
          <w:rFonts w:ascii="Arial" w:hAnsi="Arial"/>
          <w:b/>
          <w:lang w:val="pt-BR"/>
        </w:rPr>
        <w:t>14. MANUTENÇÃO……………………………………....................................………………………12</w:t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rPr>
          <w:rFonts w:ascii="Arial" w:hAnsi="Arial" w:cs="Arial"/>
          <w:u w:val="single"/>
        </w:rPr>
      </w:pPr>
      <w:r>
        <w:rPr>
          <w:rFonts w:cs="Arial" w:ascii="Arial" w:hAnsi="Arial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MEMORIAL DESCRITIVO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</w:rPr>
        <w:t>INSTALAÇÕES PREDIAIS DE GLP</w:t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jc w:val="center"/>
        <w:rPr>
          <w:rFonts w:ascii="Arial" w:hAnsi="Arial" w:cs="Arial"/>
          <w:b/>
          <w:bCs/>
          <w:sz w:val="24"/>
          <w:szCs w:val="24"/>
          <w:u w:val="single"/>
        </w:rPr>
      </w:pPr>
      <w:r>
        <w:rPr>
          <w:rFonts w:cs="Arial" w:ascii="Arial" w:hAnsi="Arial"/>
          <w:b/>
          <w:bCs/>
          <w:sz w:val="24"/>
          <w:szCs w:val="24"/>
          <w:u w:val="single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INTRODUÇÃO </w:t>
      </w:r>
    </w:p>
    <w:p>
      <w:pPr>
        <w:pStyle w:val="Normal"/>
        <w:jc w:val="both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b/>
          <w:bCs/>
        </w:rPr>
        <w:tab/>
      </w:r>
      <w:r>
        <w:rPr>
          <w:rFonts w:cs="Arial" w:ascii="Arial" w:hAnsi="Arial"/>
          <w:lang w:val="pt-BR"/>
        </w:rPr>
        <w:t>Este memorial tem como objetivo descrever os critérios básicos para a execução das instalações prediais de GLP do empreendimento {</w:t>
      </w:r>
      <w:r>
        <w:rPr>
          <w:rFonts w:cs="Arial" w:ascii="Arial" w:hAnsi="Arial"/>
          <w:spacing w:val="-5"/>
          <w:highlight w:val="yellow"/>
        </w:rPr>
        <w:t>{ obra.nome }}</w:t>
      </w:r>
      <w:r>
        <w:rPr>
          <w:rFonts w:cs="Arial" w:ascii="Arial" w:hAnsi="Arial"/>
          <w:lang w:val="pt-BR"/>
        </w:rPr>
        <w:t xml:space="preserve">, buscando garantir a perfeita construção da obra por parte das empresas especializadas neste tipo serviço, desde o ponto de entrega definido até os de utilização indicados no projeto.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O projeto da rede interna de gás do empreendimento foi feito de acordo com o enunciado pela Associação Brasileira de Normas Técnicas - ABNT e com a legislação pertinente, com o objetivo de obter a solução técnica e economicamente mais viável.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  <w:t xml:space="preserve">  </w:t>
      </w:r>
      <w:r>
        <w:rPr>
          <w:rFonts w:ascii="Arial" w:hAnsi="Arial"/>
          <w:b/>
          <w:bCs/>
          <w:lang w:val="pt-BR"/>
        </w:rPr>
        <w:t xml:space="preserve">DADOS DA OBRA </w:t>
      </w:r>
    </w:p>
    <w:p>
      <w:pPr>
        <w:pStyle w:val="Normal"/>
        <w:spacing w:lineRule="auto" w:line="360"/>
        <w:ind w:firstLine="708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>Construtora:</w:t>
      </w:r>
      <w:r>
        <w:rPr>
          <w:rFonts w:cs="Arial" w:ascii="Arial" w:hAnsi="Arial"/>
          <w:sz w:val="20"/>
          <w:szCs w:val="20"/>
          <w:highlight w:val="yellow"/>
        </w:rPr>
        <w:t xml:space="preserve"> </w:t>
      </w:r>
      <w:r>
        <w:rPr>
          <w:rFonts w:eastAsia="Arial" w:cs="Arial" w:ascii="Arial" w:hAnsi="Arial"/>
          <w:sz w:val="18"/>
          <w:szCs w:val="18"/>
          <w:highlight w:val="yellow"/>
        </w:rPr>
        <w:t>{{ obra.construtora }}</w:t>
      </w:r>
      <w:r>
        <w:rPr>
          <w:rFonts w:eastAsia="Arial" w:cs="Arial" w:ascii="Arial" w:hAnsi="Arial"/>
          <w:color w:val="000000"/>
          <w:sz w:val="22"/>
          <w:szCs w:val="22"/>
          <w:highlight w:val="yellow"/>
        </w:rPr>
        <w:t>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>Obra:</w:t>
      </w:r>
      <w:r>
        <w:rPr>
          <w:rFonts w:cs="Arial" w:ascii="Arial" w:hAnsi="Arial"/>
          <w:sz w:val="20"/>
          <w:szCs w:val="20"/>
          <w:highlight w:val="yellow"/>
        </w:rPr>
        <w:t xml:space="preserve"> {{ obra.nome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  <w:u w:val="single"/>
        </w:rPr>
        <w:t>Localização:</w:t>
      </w:r>
      <w:r>
        <w:rPr>
          <w:rFonts w:cs="Arial" w:ascii="Calibri" w:hAnsi="Calibri"/>
          <w:spacing w:val="-5"/>
          <w:sz w:val="20"/>
          <w:szCs w:val="20"/>
          <w:highlight w:val="yellow"/>
        </w:rPr>
        <w:t xml:space="preserve">  </w:t>
      </w:r>
      <w:r>
        <w:rPr>
          <w:rFonts w:cs="Arial" w:ascii="Arial" w:hAnsi="Arial"/>
          <w:spacing w:val="-5"/>
          <w:sz w:val="20"/>
          <w:szCs w:val="20"/>
          <w:highlight w:val="yellow"/>
        </w:rPr>
        <w:t>{{ obra.localizacao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Tipo de Edificação: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obra.tipo_edificacao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Tipologia: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obra.tipologia }};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apartamentos: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</w:t>
      </w: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obra.qtd_apartamentos.</w:t>
      </w:r>
      <w:r>
        <w:rPr>
          <w:rFonts w:cs="Arial" w:ascii="Arial" w:hAnsi="Arial"/>
          <w:spacing w:val="-5"/>
          <w:sz w:val="20"/>
          <w:szCs w:val="20"/>
          <w:highlight w:val="yellow"/>
        </w:rPr>
        <w:t>valor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}} Apartamentos;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lojas: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obra.qtd_lojas }} Lojas;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Quantidade de restaurantes: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</w:t>
      </w: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>: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{{ obra.qtd_restaurantes }} Restaurantes;</w:t>
      </w:r>
    </w:p>
    <w:p>
      <w:pPr>
        <w:pStyle w:val="BodyTextIndent3"/>
        <w:numPr>
          <w:ilvl w:val="0"/>
          <w:numId w:val="3"/>
        </w:numPr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pacing w:val="-5"/>
          <w:sz w:val="20"/>
          <w:szCs w:val="20"/>
          <w:highlight w:val="yellow"/>
          <w:u w:val="single"/>
        </w:rPr>
        <w:t xml:space="preserve">GLP </w:t>
      </w:r>
      <w:r>
        <w:rPr>
          <w:rFonts w:cs="Arial" w:ascii="Arial" w:hAnsi="Arial"/>
          <w:spacing w:val="-5"/>
          <w:sz w:val="20"/>
          <w:szCs w:val="20"/>
          <w:highlight w:val="yellow"/>
        </w:rPr>
        <w:t xml:space="preserve"> </w:t>
      </w:r>
    </w:p>
    <w:p>
      <w:pPr>
        <w:pStyle w:val="BodyTextIndent3"/>
        <w:tabs>
          <w:tab w:val="clear" w:pos="708"/>
          <w:tab w:val="left" w:pos="851" w:leader="none"/>
          <w:tab w:val="left" w:pos="9355" w:leader="none"/>
        </w:tabs>
        <w:spacing w:lineRule="auto" w:line="360" w:before="0" w:after="0"/>
        <w:ind w:left="720"/>
        <w:jc w:val="both"/>
        <w:rPr>
          <w:rFonts w:ascii="Arial" w:hAnsi="Arial" w:cs="Arial"/>
          <w:sz w:val="20"/>
          <w:szCs w:val="20"/>
          <w:highlight w:val="yellow"/>
        </w:rPr>
      </w:pPr>
      <w:r>
        <w:rPr>
          <w:rFonts w:cs="Arial" w:ascii="Arial" w:hAnsi="Arial"/>
          <w:sz w:val="20"/>
          <w:szCs w:val="20"/>
          <w:highlight w:val="yellow"/>
        </w:rPr>
      </w:r>
    </w:p>
    <w:p>
      <w:pPr>
        <w:pStyle w:val="Normal"/>
        <w:jc w:val="both"/>
        <w:rPr>
          <w:rFonts w:ascii="Arial" w:hAnsi="Arial"/>
          <w:lang w:val="pt-BR"/>
        </w:rPr>
      </w:pPr>
      <w:r>
        <w:rPr>
          <w:rFonts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</w:rPr>
      </w:pPr>
      <w:r>
        <w:rPr>
          <w:rFonts w:ascii="Arial" w:hAnsi="Arial"/>
          <w:b/>
          <w:bCs/>
          <w:lang w:val="pt-BR"/>
        </w:rPr>
        <w:t xml:space="preserve">  </w:t>
      </w:r>
      <w:r>
        <w:rPr>
          <w:rFonts w:ascii="Arial" w:hAnsi="Arial"/>
          <w:b/>
          <w:bCs/>
          <w:lang w:val="pt-BR"/>
        </w:rPr>
        <w:t xml:space="preserve">NORMAS E PRÁTICAS COMPLEMENTARES </w:t>
      </w:r>
    </w:p>
    <w:p>
      <w:pPr>
        <w:pStyle w:val="Normal"/>
        <w:ind w:left="720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ind w:left="720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15526 – </w:t>
      </w:r>
      <w:r>
        <w:rPr>
          <w:rFonts w:cs="Arial" w:ascii="Arial" w:hAnsi="Arial"/>
          <w:bCs/>
          <w:spacing w:val="-10"/>
          <w:kern w:val="2"/>
          <w:lang w:val="pt-BR"/>
        </w:rPr>
        <w:t>Redes de distribuição interna para gases combustíveis em instalações residenciais e comerciais – Projeto e execução;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13103 – </w:t>
      </w:r>
      <w:r>
        <w:rPr>
          <w:rFonts w:cs="Arial" w:ascii="Arial" w:hAnsi="Arial"/>
          <w:bCs/>
          <w:spacing w:val="-10"/>
          <w:kern w:val="2"/>
          <w:lang w:val="pt-BR"/>
        </w:rPr>
        <w:t>Instalação de aparelhos a gás para uso residencial – Requisitos;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ABNT / NBR 13932 – </w:t>
      </w:r>
      <w:r>
        <w:rPr>
          <w:rFonts w:cs="Arial" w:ascii="Arial" w:hAnsi="Arial"/>
          <w:bCs/>
          <w:spacing w:val="-10"/>
          <w:kern w:val="2"/>
          <w:lang w:val="pt-BR"/>
        </w:rPr>
        <w:t>Instalações internas de gás liquefeito de petróleo (GLP) - Projeto e execução.</w:t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jc w:val="both"/>
        <w:rPr>
          <w:rFonts w:ascii="Arial" w:hAnsi="Arial"/>
          <w:b/>
          <w:bCs/>
          <w:lang w:val="pt-BR"/>
        </w:rPr>
      </w:pPr>
      <w:r>
        <w:rPr>
          <w:rFonts w:ascii="Arial" w:hAnsi="Arial"/>
          <w:b/>
          <w:bCs/>
          <w:lang w:val="pt-BR"/>
        </w:rPr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</w:r>
    </w:p>
    <w:p>
      <w:pPr>
        <w:pStyle w:val="Normal"/>
        <w:keepNext w:val="true"/>
        <w:keepLines/>
        <w:numPr>
          <w:ilvl w:val="0"/>
          <w:numId w:val="2"/>
        </w:numPr>
        <w:spacing w:lineRule="atLeast" w:line="220" w:before="0" w:after="2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GENERALIDADES 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Os projetos foram elaborados considerando as normas acima relacionadas, entretanto não exime a construtora / instaladora responsável pela execução dos serviços de verificar, na época da contratação, as ocorrências de outras novas publicações sobre o tema ou alteração das existentes.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>Somente com a aprovação do projetista e da fiscalização poderão ser aceitas outras normas de reconhecida autoridade e que possam garantir a qualidade e segurança desejada. A instaladora deverá informar, em sua proposta de serviços, quais as normas técnicas aplicáveis a cada produto. Para efeito de aprovação será sempre dada prioridade a materiais e / ou serviços que apresentem certificado de homologação das normas ISO9000.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708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Além disso, as instruções do projetista referentes aos reguladores de pressão e aos dispositivos de segurança devem ser respeitadas. </w:t>
      </w:r>
    </w:p>
    <w:p>
      <w:pPr>
        <w:pStyle w:val="Normal"/>
        <w:keepNext w:val="true"/>
        <w:keepLines/>
        <w:numPr>
          <w:ilvl w:val="0"/>
          <w:numId w:val="2"/>
        </w:numPr>
        <w:spacing w:before="0" w:after="220"/>
        <w:jc w:val="both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FONTES DE ABASTECIMENTO </w:t>
      </w:r>
    </w:p>
    <w:p>
      <w:pPr>
        <w:pStyle w:val="Normal"/>
        <w:keepNext w:val="true"/>
        <w:keepLines/>
        <w:numPr>
          <w:ilvl w:val="0"/>
          <w:numId w:val="0"/>
        </w:numPr>
        <w:spacing w:before="0" w:after="220"/>
        <w:ind w:firstLine="348" w:left="360"/>
        <w:jc w:val="both"/>
        <w:outlineLvl w:val="0"/>
        <w:rPr>
          <w:rFonts w:ascii="Arial" w:hAnsi="Arial" w:cs="Arial"/>
          <w:b/>
          <w:i/>
          <w:i/>
          <w:iCs/>
          <w:color w:val="FF0000"/>
          <w:spacing w:val="-10"/>
          <w:kern w:val="2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O empreendimento será abastecido por gás tipo GLP em </w:t>
      </w:r>
      <w:r>
        <w:rPr>
          <w:rFonts w:cs="Arial" w:ascii="Arial" w:hAnsi="Arial"/>
          <w:bCs/>
          <w:spacing w:val="-10"/>
          <w:kern w:val="2"/>
          <w:highlight w:val="yellow"/>
          <w:lang w:val="pt-BR"/>
        </w:rPr>
        <w:t xml:space="preserve">{{ </w:t>
      </w:r>
      <w:r>
        <w:rPr>
          <w:rFonts w:cs="Arial" w:ascii="Arial" w:hAnsi="Arial"/>
          <w:bCs/>
          <w:spacing w:val="-10"/>
          <w:kern w:val="2"/>
          <w:highlight w:val="yellow"/>
          <w:lang w:val="pt-BR"/>
        </w:rPr>
        <w:t>tanques.quantidade</w:t>
      </w:r>
      <w:r>
        <w:rPr>
          <w:rFonts w:cs="Arial" w:ascii="Arial" w:hAnsi="Arial"/>
          <w:bCs/>
          <w:spacing w:val="-10"/>
          <w:kern w:val="2"/>
          <w:highlight w:val="yellow"/>
          <w:lang w:val="pt-BR"/>
        </w:rPr>
        <w:t xml:space="preserve"> }}</w:t>
      </w:r>
      <w:r>
        <w:rPr>
          <w:rFonts w:cs="Arial" w:ascii="Arial" w:hAnsi="Arial"/>
          <w:bCs/>
          <w:spacing w:val="-10"/>
          <w:kern w:val="2"/>
          <w:lang w:val="pt-BR"/>
        </w:rPr>
        <w:t xml:space="preserve"> </w:t>
      </w:r>
      <w:r>
        <w:rPr>
          <w:rFonts w:cs="Arial" w:ascii="Arial" w:hAnsi="Arial"/>
          <w:bCs/>
          <w:spacing w:val="-10"/>
          <w:kern w:val="2"/>
          <w:lang w:val="pt-BR"/>
        </w:rPr>
        <w:t>recipiente(s)</w:t>
      </w:r>
      <w:r>
        <w:rPr>
          <w:rFonts w:cs="Arial" w:ascii="Arial" w:hAnsi="Arial"/>
          <w:bCs/>
          <w:spacing w:val="-10"/>
          <w:kern w:val="2"/>
          <w:lang w:val="pt-BR"/>
        </w:rPr>
        <w:t xml:space="preserve"> do tipo </w:t>
      </w:r>
      <w:r>
        <w:rPr>
          <w:rFonts w:cs="Arial" w:ascii="Arial" w:hAnsi="Arial"/>
          <w:bCs/>
          <w:spacing w:val="-10"/>
          <w:kern w:val="2"/>
          <w:shd w:fill="FFFF00" w:val="clear"/>
          <w:lang w:val="pt-BR"/>
        </w:rPr>
        <w:t>{{ tanques.tipo | default(“P-190”) }}</w:t>
      </w:r>
      <w:r>
        <w:rPr>
          <w:rFonts w:cs="Arial" w:ascii="Arial" w:hAnsi="Arial"/>
          <w:bCs/>
          <w:spacing w:val="-10"/>
          <w:kern w:val="2"/>
          <w:lang w:val="pt-BR"/>
        </w:rPr>
        <w:t xml:space="preserve"> locados no abrigo de gás do edifício no pavimento </w:t>
      </w:r>
      <w:r>
        <w:rPr>
          <w:rFonts w:cs="Arial" w:ascii="Arial" w:hAnsi="Arial"/>
          <w:bCs/>
          <w:spacing w:val="-10"/>
          <w:kern w:val="2"/>
          <w:highlight w:val="yellow"/>
          <w:lang w:val="pt-BR"/>
        </w:rPr>
        <w:t>{{ abastecimento.pavimento }}.</w:t>
      </w:r>
      <w:r>
        <w:rPr>
          <w:rFonts w:cs="Arial" w:ascii="Arial" w:hAnsi="Arial"/>
          <w:bCs/>
          <w:spacing w:val="-10"/>
          <w:kern w:val="2"/>
          <w:lang w:val="pt-BR"/>
        </w:rPr>
        <w:t xml:space="preserve"> </w:t>
      </w:r>
    </w:p>
    <w:p>
      <w:pPr>
        <w:pStyle w:val="Normal"/>
        <w:keepNext w:val="true"/>
        <w:keepLines/>
        <w:numPr>
          <w:ilvl w:val="0"/>
          <w:numId w:val="2"/>
        </w:numPr>
        <w:spacing w:lineRule="atLeast" w:line="220" w:before="0" w:after="220"/>
        <w:outlineLvl w:val="0"/>
        <w:rPr>
          <w:rFonts w:ascii="Arial" w:hAnsi="Arial" w:cs="Arial"/>
          <w:b/>
          <w:color w:val="FF0000"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 xml:space="preserve">ESPECIFICAÇÃO DOS MATERIAIS 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outlineLvl w:val="0"/>
        <w:rPr>
          <w:rFonts w:ascii="Arial" w:hAnsi="Arial" w:cs="Arial"/>
          <w:b/>
          <w:spacing w:val="-10"/>
          <w:kern w:val="2"/>
          <w:lang w:val="pt-BR"/>
        </w:rPr>
      </w:pPr>
      <w:r>
        <w:rPr>
          <w:rFonts w:cs="Arial" w:ascii="Arial" w:hAnsi="Arial"/>
          <w:b/>
          <w:spacing w:val="-10"/>
          <w:kern w:val="2"/>
          <w:lang w:val="pt-BR"/>
        </w:rPr>
        <w:t>Tubulações multicamadas: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Cs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 xml:space="preserve">- Observar as certificações do fabricante; 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Cs/>
          <w:color w:val="FF0000"/>
          <w:spacing w:val="-10"/>
          <w:kern w:val="2"/>
          <w:lang w:val="pt-BR"/>
        </w:rPr>
      </w:pPr>
      <w:r>
        <w:rPr>
          <w:rFonts w:cs="Arial" w:ascii="Arial" w:hAnsi="Arial"/>
          <w:bCs/>
          <w:spacing w:val="-10"/>
          <w:kern w:val="2"/>
          <w:lang w:val="pt-BR"/>
        </w:rPr>
        <w:t>- Conforme orientação do fabricante, para curvas de até 90º o joelho pode ser dispensado e a tubulação pode ser curvada com a mola curva tubo interna para diâmetros de 16, 20 e 26mm, mola de curva externa para diâmetros de 16 e 20mm e máquina de curva tubos para diâmetros de 32mm.</w:t>
      </w:r>
    </w:p>
    <w:p>
      <w:pPr>
        <w:pStyle w:val="Normal"/>
        <w:keepNext w:val="true"/>
        <w:keepLines/>
        <w:numPr>
          <w:ilvl w:val="0"/>
          <w:numId w:val="0"/>
        </w:numPr>
        <w:spacing w:lineRule="atLeast" w:line="220" w:before="0" w:after="220"/>
        <w:ind w:left="720"/>
        <w:jc w:val="both"/>
        <w:outlineLvl w:val="0"/>
        <w:rPr>
          <w:rFonts w:ascii="Arial" w:hAnsi="Arial" w:cs="Arial"/>
          <w:bCs/>
          <w:color w:val="FF0000"/>
          <w:spacing w:val="-10"/>
          <w:kern w:val="2"/>
          <w:lang w:val="pt-BR"/>
        </w:rPr>
      </w:pPr>
      <w:r>
        <w:rPr>
          <w:rFonts w:cs="Arial" w:ascii="Arial" w:hAnsi="Arial"/>
          <w:lang w:val="pt-BR"/>
        </w:rPr>
        <w:t xml:space="preserve">- A execução da rede deverá ser feita por empresa certificada e treinada para instalação de tubos multicamadas pelo processo de prensagem.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 xml:space="preserve">- A tubulação não deve ser embutida na laje junto a ferragem devido aos esforços internos gerados. 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 composição das camadas dos tubos deve ser conforme a Tabela abaixo: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center"/>
        <w:rPr>
          <w:rFonts w:ascii="Arial" w:hAnsi="Arial" w:cs="Arial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2887345" cy="1430655"/>
                <wp:effectExtent l="0" t="0" r="0" b="0"/>
                <wp:docPr id="1" name="Imagem 1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m 1" descr=""/>
                        <pic:cNvPicPr/>
                      </pic:nvPicPr>
                      <pic:blipFill>
                        <a:blip r:embed="rId2"/>
                        <a:stretch/>
                      </pic:blipFill>
                      <pic:spPr>
                        <a:xfrm>
                          <a:off x="0" y="0"/>
                          <a:ext cx="2887200" cy="14306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magem 1" stroked="f" o:allowincell="f" style="position:absolute;margin-left:0pt;margin-top:-112.7pt;width:227.3pt;height:112.6pt;mso-wrap-style:none;v-text-anchor:middle;mso-position-vertical:top" type="_x0000_t75">
                <v:imagedata r:id="rId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tubo multicamadas deve resistir às condições de pressão e temperatura às quais será submetido. Para tanto, em percursos muito longos (geralmente do CRM ou abrigo de gás até o Shaft) é necessária a execução da lira para evitar as consequências das dilatações térmicas e possíveis vazamentos de gás. Isso pode ser exemplificado na Imagem abaxo.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01 – Cálculo da lira</w:t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3208655" cy="3513455"/>
                <wp:effectExtent l="0" t="0" r="0" b="0"/>
                <wp:docPr id="3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3208680" cy="351360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76.7pt;width:252.6pt;height:276.6pt;mso-wrap-style:none;v-text-anchor:middle;mso-position-vertical:top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TIPOS DE CONEXÕES MECÂNICAS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conexões mecânicas devem ser dos seguintes tipos: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- Conexão mecânica de compressão do tipo anel deslizante – sliding sleve fitting.</w:t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conexões devem cumprir os requisitos de desempenho da Norma ISSO 10838-1. Observar a Imagem 02.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4622800" cy="2023745"/>
                <wp:effectExtent l="0" t="0" r="0" b="0"/>
                <wp:docPr id="5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" descr=""/>
                        <pic:cNvPicPr/>
                      </pic:nvPicPr>
                      <pic:blipFill>
                        <a:blip r:embed="rId6"/>
                        <a:stretch/>
                      </pic:blipFill>
                      <pic:spPr>
                        <a:xfrm>
                          <a:off x="0" y="0"/>
                          <a:ext cx="4622760" cy="20239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59.4pt;width:363.95pt;height:159.3pt;mso-wrap-style:none;v-text-anchor:middle;mso-position-vertical:top" type="_x0000_t75">
                <v:imagedata r:id="rId7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02 – Conexão mecânica de compressão tipo anel deslizante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- Conexão mecânica de compressão tipo radial por rosca bicônica.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conexões devem cumprir os requisitos de desempenho da Norma ISSO 10838-1 e possuir pelo menos um anel de vedação. Observar a Imagem 03.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4826000" cy="1887855"/>
                <wp:effectExtent l="0" t="0" r="0" b="0"/>
                <wp:docPr id="7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" descr=""/>
                        <pic:cNvPicPr/>
                      </pic:nvPicPr>
                      <pic:blipFill>
                        <a:blip r:embed="rId8"/>
                        <a:stretch/>
                      </pic:blipFill>
                      <pic:spPr>
                        <a:xfrm>
                          <a:off x="0" y="0"/>
                          <a:ext cx="4826160" cy="188784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48.7pt;width:379.95pt;height:148.6pt;mso-wrap-style:none;v-text-anchor:middle;mso-position-vertical:top" type="_x0000_t75">
                <v:imagedata r:id="rId9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Imagem 03 – Conexão mecânica de compressão tipo radial por rosca bicônica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- Conexão mecânica de compressão tipo radial – crimpagem pressfitting. 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conexões devem cumprir os requisitos de desempenho da Norma ISSO 10838-1 e possuir pelo menos um anel de vedação. Observar a Imagem 04.</w:t>
      </w:r>
    </w:p>
    <w:p>
      <w:pPr>
        <w:pStyle w:val="Normal"/>
        <w:ind w:firstLine="708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jc w:val="center"/>
        <w:rPr>
          <w:rFonts w:ascii="Arial" w:hAnsi="Arial" w:cs="Arial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4885055" cy="2328545"/>
                <wp:effectExtent l="0" t="0" r="0" b="0"/>
                <wp:docPr id="9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" name="" descr=""/>
                        <pic:cNvPicPr/>
                      </pic:nvPicPr>
                      <pic:blipFill>
                        <a:blip r:embed="rId10"/>
                        <a:stretch/>
                      </pic:blipFill>
                      <pic:spPr>
                        <a:xfrm>
                          <a:off x="0" y="0"/>
                          <a:ext cx="4885200" cy="23284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183.4pt;width:384.6pt;height:183.3pt;mso-wrap-style:none;v-text-anchor:middle;mso-position-vertical:top" type="_x0000_t75">
                <v:imagedata r:id="rId11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Imagem 04 – Conexão mecânica de compressão tipo radial </w:t>
      </w:r>
    </w:p>
    <w:p>
      <w:pPr>
        <w:pStyle w:val="Normal"/>
        <w:ind w:firstLine="708"/>
        <w:jc w:val="center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Fonte: ABNT CB-09 documento técnico ABNT Março 2014</w:t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Informações a serem solicitadas ao fabricante:</w:t>
      </w:r>
    </w:p>
    <w:p>
      <w:pPr>
        <w:pStyle w:val="Normal"/>
        <w:ind w:firstLine="708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Devem ser disponibilizadas as seguintes informações pelo fabricante: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o tubo multicamada: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Raio de dobra – curvatura mínimo do tubo; 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Requisitos para manuseio, transporte, armazenamento; 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As condições e as restrições para exposição dos tubos contra intempéries e raios ultra violeta -UV;</w:t>
      </w:r>
    </w:p>
    <w:p>
      <w:pPr>
        <w:pStyle w:val="Normal"/>
        <w:numPr>
          <w:ilvl w:val="0"/>
          <w:numId w:val="4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Identificação do sistema ao qual o tubo pertence, características e os dimensionais.</w:t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as ferramentas: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Ferramental a ser utilizado para a montagem do sistema multicamada, bem como o procedimento para realizá-la;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Indicar caso seja necessária a utilização de ferramental para realizar a dobra (curvatura) do tubo multicamada, em função do dimensional do tubo; 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Procedimentos de manutenção, calibração, controle ou regulagem; </w:t>
      </w:r>
    </w:p>
    <w:p>
      <w:pPr>
        <w:pStyle w:val="Normal"/>
        <w:numPr>
          <w:ilvl w:val="0"/>
          <w:numId w:val="5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Requisitos para manuseio, armazenamento e transporte; 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70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Sobre as conexões: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Requisitos para manuseio, transporte, armazenamento e exposição das conexões;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Condições e restrições contra intempéries e raios ultra violeta – UV;</w:t>
      </w:r>
    </w:p>
    <w:p>
      <w:pPr>
        <w:pStyle w:val="Normal"/>
        <w:numPr>
          <w:ilvl w:val="0"/>
          <w:numId w:val="6"/>
        </w:numPr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Informação sobre a possibilidade de reuso, reaproveitamento ou remontagem de conexões já acopladas a um tubo multicamada.</w:t>
      </w:r>
    </w:p>
    <w:p>
      <w:pPr>
        <w:pStyle w:val="Normal"/>
        <w:ind w:left="1428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DIMENSIONAMENTO </w:t>
      </w:r>
    </w:p>
    <w:p>
      <w:pPr>
        <w:pStyle w:val="Normal"/>
        <w:ind w:left="720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 dimensionamento da tubulação de gás foi feito em função da vazão estimada necessária para suprir as unidades habitacionais e da perda de carga máxima admitida para permitir um perfeito funcionamento dos aparelhos de utilização doméstica.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 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Foram adotados os seguintes dados para efeito de cálulo:</w:t>
      </w:r>
    </w:p>
    <w:p>
      <w:pPr>
        <w:pStyle w:val="Normal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>Gás Liquefeito de Petróleo (GLP): Poder calorífico inferior de 24.000 Kcal/m³ (20ºC e 1 atm) e densidade relatica do ar de 1,8.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As instalações foram dimensionadas para operarem com um desses dois sistemas acima, conforme a existência ou não de rede encada de gás nas proximidades. 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Os pontos de utilização foram informados pelo cliente e estão demarcados no projeto de arquitetura, podendo ser dos tipos abaixo: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Fogão 04 bocas: 7.000 Kcal/h (</w:t>
      </w:r>
      <w:r>
        <w:rPr>
          <w:rFonts w:cs="Arial" w:ascii="Arial" w:hAnsi="Arial"/>
          <w:highlight w:val="yellow"/>
          <w:lang w:val="pt-BR"/>
        </w:rPr>
        <w:t xml:space="preserve">{{ </w:t>
      </w:r>
      <w:r>
        <w:rPr>
          <w:rFonts w:cs="Arial" w:ascii="Arial" w:hAnsi="Arial"/>
          <w:highlight w:val="yellow"/>
          <w:lang w:val="pt-BR"/>
        </w:rPr>
        <w:t>pontos_utilizacao.fogao</w:t>
      </w:r>
      <w:r>
        <w:rPr>
          <w:rFonts w:cs="Arial" w:ascii="Arial" w:hAnsi="Arial"/>
          <w:highlight w:val="yellow"/>
          <w:lang w:val="pt-BR"/>
        </w:rPr>
        <w:t xml:space="preserve"> }}</w:t>
      </w:r>
      <w:r>
        <w:rPr>
          <w:rFonts w:cs="Arial" w:ascii="Arial" w:hAnsi="Arial"/>
          <w:lang w:val="pt-BR"/>
        </w:rPr>
        <w:t xml:space="preserve">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Aquecedor de passagem a gás: 14.000 Kcal/h (</w:t>
      </w:r>
      <w:r>
        <w:rPr>
          <w:rFonts w:cs="Arial" w:ascii="Arial" w:hAnsi="Arial"/>
          <w:highlight w:val="yellow"/>
          <w:lang w:val="pt-BR"/>
        </w:rPr>
        <w:t xml:space="preserve">{{ </w:t>
      </w:r>
      <w:r>
        <w:rPr>
          <w:rFonts w:cs="Arial" w:ascii="Arial" w:hAnsi="Arial"/>
          <w:highlight w:val="yellow"/>
          <w:lang w:val="pt-BR"/>
        </w:rPr>
        <w:t>pontos_utilizacao.aquecedor</w:t>
      </w:r>
      <w:r>
        <w:rPr>
          <w:rFonts w:cs="Arial" w:ascii="Arial" w:hAnsi="Arial"/>
          <w:highlight w:val="yellow"/>
          <w:lang w:val="pt-BR"/>
        </w:rPr>
        <w:t xml:space="preserve"> }</w:t>
      </w:r>
      <w:r>
        <w:rPr>
          <w:rFonts w:cs="Arial" w:ascii="Arial" w:hAnsi="Arial"/>
          <w:lang w:val="pt-BR"/>
        </w:rPr>
        <w:t>}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Churrasqueira 04 bocas: 7.000 Kcal/h (</w:t>
      </w:r>
      <w:r>
        <w:rPr>
          <w:rFonts w:cs="Arial" w:ascii="Arial" w:hAnsi="Arial"/>
          <w:highlight w:val="yellow"/>
          <w:lang w:val="pt-BR"/>
        </w:rPr>
        <w:t xml:space="preserve">{{ </w:t>
      </w:r>
      <w:r>
        <w:rPr>
          <w:rFonts w:cs="Arial" w:ascii="Arial" w:hAnsi="Arial"/>
          <w:highlight w:val="yellow"/>
          <w:lang w:val="pt-BR"/>
        </w:rPr>
        <w:t>pontos_utilizacao.churrasqueira</w:t>
      </w:r>
      <w:r>
        <w:rPr>
          <w:rFonts w:cs="Arial" w:ascii="Arial" w:hAnsi="Arial"/>
          <w:highlight w:val="yellow"/>
          <w:lang w:val="pt-BR"/>
        </w:rPr>
        <w:t xml:space="preserve"> }}</w:t>
      </w:r>
      <w:r>
        <w:rPr>
          <w:rFonts w:cs="Arial" w:ascii="Arial" w:hAnsi="Arial"/>
          <w:lang w:val="pt-BR"/>
        </w:rPr>
        <w:t xml:space="preserve">  unidades)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Totalizando </w:t>
      </w:r>
      <w:r>
        <w:rPr>
          <w:rFonts w:cs="Arial" w:ascii="Arial" w:hAnsi="Arial"/>
          <w:highlight w:val="yellow"/>
          <w:lang w:val="pt-BR"/>
        </w:rPr>
        <w:t xml:space="preserve">{{ </w:t>
      </w:r>
      <w:r>
        <w:rPr>
          <w:rFonts w:cs="Arial" w:ascii="Arial" w:hAnsi="Arial"/>
          <w:highlight w:val="yellow"/>
          <w:lang w:val="pt-BR"/>
        </w:rPr>
        <w:t>pontos_utilizacao.total_calculado</w:t>
      </w:r>
      <w:r>
        <w:rPr>
          <w:rFonts w:cs="Arial" w:ascii="Arial" w:hAnsi="Arial"/>
          <w:highlight w:val="yellow"/>
          <w:lang w:val="pt-BR"/>
        </w:rPr>
        <w:t xml:space="preserve"> }}</w:t>
      </w:r>
      <w:r>
        <w:rPr>
          <w:rFonts w:cs="Arial" w:ascii="Arial" w:hAnsi="Arial"/>
          <w:lang w:val="pt-BR"/>
        </w:rPr>
        <w:t xml:space="preserve"> pontos de utilização</w:t>
      </w:r>
    </w:p>
    <w:p>
      <w:pPr>
        <w:pStyle w:val="Normal"/>
        <w:ind w:firstLine="348" w:left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Foi considerada a pressão de entrada da rede primária de 1,00 kgf/cm² ou 100Kpa, baseado no item 6.2 da NBR 15526.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As pressões de operação da rede de distribuição interna de gás são: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Primária – Saída: 1,00 kgf/cm² ou 100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Secundária – Entrada: 1,00 kgf/cm² ou 100 Kpa, Saída: 0,075 kgf/cm² ou 7,5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Rede Terciária – Entrada: 0,075 kgf/cm² ou 7,5 Kpa, Saída: 0,022 kgf/cm² ou 2,2 Kpa.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As vazões mínimas para os reguladores de pressão são:</w:t>
      </w:r>
    </w:p>
    <w:p>
      <w:pPr>
        <w:pStyle w:val="Normal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2º Estágio – Shafts: Qmín = 15m³/h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3º Estágio – Fogão / Churrasqueira (GN): Qmín = 2m³/h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ab/>
        <w:t>Regulador de 3º Estágio – Aquecedor de passagem (GN): Qmín = 6m³/h</w:t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DESCRIÇÃO DO DIMENSIONAMENTO </w:t>
      </w:r>
    </w:p>
    <w:p>
      <w:pPr>
        <w:pStyle w:val="Normal"/>
        <w:ind w:left="720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</w:r>
    </w:p>
    <w:p>
      <w:pPr>
        <w:pStyle w:val="Normal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lang w:val="pt-BR"/>
        </w:rPr>
        <w:t xml:space="preserve">O ramal interno primário (do CRM PB Gás ou abrigo de GLP até o shaft) terá diâmetro de </w:t>
      </w:r>
      <w:r>
        <w:rPr>
          <w:rFonts w:cs="Arial" w:ascii="Arial" w:hAnsi="Arial"/>
          <w:highlight w:val="yellow"/>
          <w:lang w:val="pt-BR"/>
        </w:rPr>
        <w:t xml:space="preserve">{{ </w:t>
      </w:r>
      <w:r>
        <w:rPr>
          <w:rFonts w:cs="Arial" w:ascii="Arial" w:hAnsi="Arial"/>
          <w:highlight w:val="yellow"/>
          <w:lang w:val="pt-BR"/>
        </w:rPr>
        <w:t>diametros.tubulacao_principal.valor_formatado</w:t>
      </w:r>
      <w:r>
        <w:rPr>
          <w:rFonts w:cs="Arial" w:ascii="Arial" w:hAnsi="Arial"/>
          <w:highlight w:val="yellow"/>
          <w:lang w:val="pt-BR"/>
        </w:rPr>
        <w:t xml:space="preserve"> }}</w:t>
      </w:r>
      <w:r>
        <w:rPr>
          <w:rFonts w:cs="Arial" w:ascii="Arial" w:hAnsi="Arial"/>
          <w:lang w:val="pt-BR"/>
        </w:rPr>
        <w:t xml:space="preserve"> no material </w:t>
      </w:r>
      <w:r>
        <w:rPr>
          <w:rFonts w:cs="Arial" w:ascii="Arial" w:hAnsi="Arial"/>
          <w:highlight w:val="yellow"/>
          <w:lang w:val="pt-BR"/>
        </w:rPr>
        <w:t>{{ ramal.primario_material }}</w:t>
      </w:r>
      <w:r>
        <w:rPr>
          <w:rFonts w:cs="Arial" w:ascii="Arial" w:hAnsi="Arial"/>
          <w:lang w:val="pt-BR"/>
        </w:rPr>
        <w:t xml:space="preserve"> percorrerá o </w:t>
      </w:r>
      <w:r>
        <w:rPr>
          <w:rFonts w:cs="Arial" w:ascii="Arial" w:hAnsi="Arial"/>
          <w:highlight w:val="yellow"/>
          <w:lang w:val="pt-BR"/>
        </w:rPr>
        <w:t>{{ teto_ou_piso }}</w:t>
      </w:r>
      <w:r>
        <w:rPr>
          <w:rFonts w:cs="Arial" w:ascii="Arial" w:hAnsi="Arial"/>
          <w:lang w:val="pt-BR"/>
        </w:rPr>
        <w:t xml:space="preserve"> do </w:t>
      </w:r>
      <w:r>
        <w:rPr>
          <w:rFonts w:cs="Arial" w:ascii="Arial" w:hAnsi="Arial"/>
          <w:highlight w:val="yellow"/>
          <w:lang w:val="pt-BR"/>
        </w:rPr>
        <w:t>{{ ramal.primario_pavimento }}</w:t>
      </w:r>
      <w:r>
        <w:rPr>
          <w:rFonts w:cs="Arial" w:ascii="Arial" w:hAnsi="Arial"/>
          <w:color w:themeColor="text1" w:val="000000"/>
          <w:lang w:val="pt-BR"/>
        </w:rPr>
        <w:t>.</w:t>
      </w:r>
      <w:r>
        <w:rPr>
          <w:rFonts w:cs="Arial" w:ascii="Arial" w:hAnsi="Arial"/>
          <w:color w:val="FF0000"/>
          <w:lang w:val="pt-BR"/>
        </w:rPr>
        <w:t xml:space="preserve"> </w:t>
      </w:r>
      <w:r>
        <w:rPr>
          <w:rFonts w:cs="Arial" w:ascii="Arial" w:hAnsi="Arial"/>
          <w:color w:val="000000"/>
          <w:lang w:val="pt-BR"/>
        </w:rPr>
        <w:t xml:space="preserve">Antes de encontrar o shaft de gás, deverá ser colocada a válvula de esfera de </w:t>
      </w:r>
      <w:r>
        <w:rPr>
          <w:rFonts w:cs="Arial" w:ascii="Arial" w:hAnsi="Arial"/>
          <w:color w:val="000000"/>
          <w:highlight w:val="yellow"/>
          <w:lang w:val="pt-BR"/>
        </w:rPr>
        <w:t>{{ diametros.valvula_esfera.valor_formatado }}</w:t>
      </w:r>
      <w:r>
        <w:rPr>
          <w:rFonts w:cs="Arial" w:ascii="Arial" w:hAnsi="Arial"/>
          <w:color w:val="000000"/>
          <w:lang w:val="pt-BR"/>
        </w:rPr>
        <w:t xml:space="preserve"> para possibilitar manutenções da rede interna. Vale ressaltar que, em casos de parte do ramal interno primário estar enterrado, o material utilizado será o Polietileno PE-80 conforme consta nos projetos.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 xml:space="preserve">A prumada que sobe dentro do shaft de gás terá diâmetro variável conforme o Corte Esquemático prancha </w:t>
      </w:r>
      <w:r>
        <w:rPr>
          <w:rFonts w:cs="Arial" w:ascii="Arial" w:hAnsi="Arial"/>
          <w:highlight w:val="yellow"/>
          <w:lang w:val="pt-BR"/>
        </w:rPr>
        <w:t>({{ numero.prancha }}</w:t>
      </w:r>
      <w:r>
        <w:rPr>
          <w:rFonts w:cs="Arial" w:ascii="Arial" w:hAnsi="Arial"/>
          <w:lang w:val="pt-BR"/>
        </w:rPr>
        <w:t>). Cada shaft possui um regulador de pressão de 2º estágio com OPSO e os medidores das unidades correspondentes, conforme especificações acima.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Após os medidores, a tubulação segue embutida no contrapiso da circulação do pavimento, até a ramificação dos pontos de utilização onde será necessário instalar um regulador de pressão de 3º estágio – estabilizador, conforme especificado.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Não foi projetada passagem de tubulação em forro ou em espaços que possibilitem o acúmulo de gás eventualmente vazado;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Os pontos de utilização deverão apresentar ventilação permanente, conforme recomendação da NBR 13103;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As caixas dos reguladores de 3º estágio deverão estar sem obstruções, ou seja, de fácil acesso caso necessário seu acionamento em emergências. Recomenda-se inserir essa informação no manual do usuário;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  <w:t>- Para o processo de curvatura e prensagem da tubulação seguir as recomendações do fabricante.</w:t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lang w:val="pt-BR"/>
        </w:rPr>
      </w:pPr>
      <w:r>
        <w:rPr>
          <w:rFonts w:cs="Arial" w:ascii="Arial" w:hAnsi="Arial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lang w:val="pt-BR"/>
        </w:rPr>
      </w:pPr>
      <w:r>
        <w:rPr>
          <w:rFonts w:cs="Arial" w:ascii="Arial" w:hAnsi="Arial"/>
          <w:b/>
          <w:bCs/>
          <w:lang w:val="pt-BR"/>
        </w:rPr>
        <w:t xml:space="preserve">CONDIÇÕES GERAIS DE MONTAGEM DA REDE INTERNA DE DISTRIBUIÇÃO DE GÁS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A tubulação deve ser instalada em locais nos quais, caso venha a ocorrer vazamento de gás, não haja possibilidade de acúmulo.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pode ser embutida em paredes ou muros, aparente (se instalada em elementos adequados) e enterrada.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É proibida a instalação da tubulação da rede interna de distribuição em: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Dutos em atividade – ventilação de ar condicionado, produtos residuais, exaustão, chaminés, etc;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Cisterna e reservatório de água;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Espaços fechados que possibilitem o acúmulo de gás eventualmente vazado, exemplo de forros e interior de blocos ou que dificultem inspeção e manutenção;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Poço vazio ou elevador;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Depósito de combustível inflamável;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Elementos estruturais – lajes, pilares e vigas;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Escadas enclausuradas, inclusive dutos de ventilação da antecâmara.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A tubulação da rede de distribuição interna, com relação ao sistema de proteção de descargas atmosféricas – SPDA, deve ser conforme a NBR 5419. É proibida a utilização de tubulações de gás como condutor ou aterramento elétrico.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tubulação da rede de distribuição interna aparente deve manter os afastamentos mínimos conforme tabela a seguir.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/>
        <mc:AlternateContent>
          <mc:Choice Requires="wps">
            <w:drawing>
              <wp:inline distT="0" distB="0" distL="0" distR="0">
                <wp:extent cx="5291455" cy="3242945"/>
                <wp:effectExtent l="0" t="0" r="0" b="0"/>
                <wp:docPr id="11" name="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" descr=""/>
                        <pic:cNvPicPr/>
                      </pic:nvPicPr>
                      <pic:blipFill>
                        <a:blip r:embed="rId12"/>
                        <a:stretch/>
                      </pic:blipFill>
                      <pic:spPr>
                        <a:xfrm>
                          <a:off x="0" y="0"/>
                          <a:ext cx="5291280" cy="324288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 id="shape_0" stroked="f" o:allowincell="f" style="position:absolute;margin-left:0pt;margin-top:-255.4pt;width:416.6pt;height:255.3pt;mso-wrap-style:none;v-text-anchor:middle;mso-position-vertical:top" type="_x0000_t75">
                <v:imagedata r:id="rId13" o:detectmouseclick="t"/>
                <v:stroke color="#3465a4" joinstyle="round" endcap="flat"/>
                <w10:wrap type="none"/>
              </v:shape>
            </w:pict>
          </mc:Fallback>
        </mc:AlternateContent>
      </w:r>
    </w:p>
    <w:p>
      <w:pPr>
        <w:pStyle w:val="Normal"/>
        <w:ind w:firstLine="360"/>
        <w:jc w:val="center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A tubulação da rede de distribuição inerna embutida 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Em paredes construídas em alvenaria e nas pré-moldadas, sistemas “dry wall”. A tubulação de gás embutida deve ser envolta por revestimentos maciços e sem vazios, ou seja, com argamassa, cimento e areia, evitando-se o contato com materiais porosos, heterogêneos ou potecialmente corrosivos;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Quando embutidos em pisos, deve ser feita a proteção adequada para evitar que infiltrações de detergentes ou outros materiais corrosivos provoquem danos à tubulação;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Deve manter os afastamentos mínimos conforme a Tabela 02 acima.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tubulação da rede de distribuição interna enterrada: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Deve manter um afastamento de outras utilidades, tubulações e estruturas de no mínimo 0,30m a partir da sua face.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 profundidade deve ser no mínimo: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7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0,30m da geratriz superior do tubo em locais não sujeitos a tráfego de veículos; </w:t>
      </w:r>
    </w:p>
    <w:p>
      <w:pPr>
        <w:pStyle w:val="Normal"/>
        <w:numPr>
          <w:ilvl w:val="0"/>
          <w:numId w:val="7"/>
        </w:numPr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0,50m da geratriz superior do tubo em locais sujeitos a tráfego de veículos e em zonas com possíveis escavações, como jardins.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Observação: caso não seja possível atender às profundidades determinadas, deve-se estabelecer um mecanismo de proteção adequado, tais como envelopamento em concreto.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O afastamento mínimo de cinco metros da entrada de energia elétrica e seus elementos – malhas de terra de para raios, subestações, postes, estruturas, etc deve ser obedecido.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Na impossibilidade de atender ao afastamento recomendado, medidas mitigatórias devem ser implantadas para garantir a atenuação da interferência eletromagnética geradas por essas malhas sobre a tubulação de gás.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Os suportes das tubulações devem ser adequados à área de contato devidamente protegidos contra corrosão e não podem ser apoiados, amarrados ou fixados em tubos existentes de condução de água, vapor ou outros, nem a instalações elétricas.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distância entre os suportes dos tubos deve ser tal qual não as submeta a esforços que possam provocar deformações.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Deve-se evitar a formação de pilhas galvânicas geradas a partir do contato de dois materiais metálicos de composições distintas, isolando-os através de um elemento plástico apropriado, evitando assim o contato direto entre tubulação e suporte.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interna deve possuir válvulas de bloqueio manual que permitam a interrupção do suprimento de gás combustível à edificação, para manutenção de equipamentos de medição e regulagem, a cada unidade habitacional e para um específico aparelho a gás.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As válvulas devem ser identificadas e instaladas em local ventilado, de fácil acesso, protegidas de forma a evitar choques mecânicos e acionamento acidental.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Os acoplamentos roscados devem: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Ter rosca cônica NPT – ABNT NBR 12912 ou macho cônica e fêmea paralela (BSP) e a elas deve ser aplicado um vedante atendendo às prescrições das alíneas f e g;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Os acoplamentos com rosca NPT deve ser conforme a ABNT NBR 12912;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As conexões com rosca NPT devem ser acopladas em tubos especificados pela ABNT NBR 5590;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Os acoplamentos com rosca BSP devem ser conforme a ABNT NBR NM ISO 7-1;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As conexões com rosca BSP devem ser acopladas em tubos especificados ABNT NBR 5580;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Para complementar a vedação dos acoplados roscados, deve ser aplicado um vedante tal como a fita de PTFE, fio multifilamentos de poliamida com revestimento não secativo ou outros tipos de vedantes líquidos ou pastosos com características compatíveis para uso com GN ou GLP;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É proibida a utilização de qualquer tinta ou fibra vegetal na função vedante.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local de regulagem e medição do gás deve: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no interior ou exterior da edificação;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Possibilitar a leitura, inspeções e manutenção;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protegido de possível ação predatória de terceiros;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Estar protegido contra choques mecânicos, tais como colisão de veículos e cargas em movimento;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Estar protegido contra corrosão e intempéries; 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Ser ventilado de forma a evitar o acúmulo de gás eventualmente vazado, levando-se em consideração a densidade relativa do ar;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Não apresentar interferência física ou possibilidade de vazamento em área de antecâmara e escadas de emergência;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 Não possui dispositivos que possam produzir chama ou calor de forma a afetar ou danificar os equipamentos;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Ser facilmente identificado de acordo com a unidade que atenderá.</w:t>
      </w:r>
    </w:p>
    <w:p>
      <w:pPr>
        <w:pStyle w:val="Normal"/>
        <w:ind w:firstLine="708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IDENTIFICAÇÃO </w:t>
      </w:r>
    </w:p>
    <w:p>
      <w:pPr>
        <w:pStyle w:val="Normal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Tubulação aparente: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rede de distribuição interna aparente deve ser identificada através de pintura da tubulação na cor amarela – código 5y8/12 do código Munsel ou 110 Pantone, com as seguintes resslavas: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Fachadas de prédios: Em função da necessidade de harmonia arquitetônica, a tubulação pode ser pintada da cor da fachada e, nesse caso, os tubos ou os suportes de fixação devem ser identificados com a palavra “GÁS” no máximo a cada dez metros ou em cada trecho aparente, o que primeiro ocorrer;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- Interior de residências: Em função da necessidade de harmonia arquitetônica, a tubulação pode ser pintada da cor adequada e, nesse caso, os tubos ou os suportes de fixação devem ser identificados com a palavra “GÁS” no máximo a cada dez metros ou em cada trecho aparente, o que primeiro ocorrer; 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Garagens e áreas comuns de prédios: A tubulação deve ser pintada na cor amarela e os tubos ou suportes de fixação devem ser identificados com a palavra “GÁS” no máximo a cada dez metros ou em cada trecho aparente, o que primeiro ocorrer.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>Tubulação enterrada: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Uso de fita de sinalização enterrada, colocada acima da tubulação ou placas de concreto com identificação.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ENSAIO DE ESTANQUEIDADE 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ensaio de estanqueidade deve ser realizado para detectar possíveis vazamentos e verificar a resistência da rede a pressão de operação.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Recomenda-se que o ensaio seja iniciado após uma criteriosa inspeção visual da rede de distribuição interna – amassamento de tubos, conservação da pintura, nível de oxidação, entre outros – e particularmente das juntas e conexões, para se detectar previamente qualquer tipo de defeito durante sua execução.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ensaio deve ser realizado em duas etapas: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Após a montagem da rede, com ela ainda exposta, podendo ser feita por partes e em toda a sua extensão, sob pressão de no mínimo 1,5 vezes a pressão de trabalho máxima admitida, não menor que 20 Kpa;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- Após a instalação de todos os equipamentos, na extensão total da rede para a liberação de abastecimento com o gás combustível, sob pressão de operação.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 xml:space="preserve">As duas etapas do ensaio devem ser realizadas com as comprimido ou inerte. 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Deve ser assegurado que todos os componentes, como válvulas, tubos e acessórios resistam às pressões de operação.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ab/>
        <w:t>Deve ser emitido um laudo de ensaio ou documento equivalente após a sua finalização e antes de se realizar a purga.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legislação municipal de João Pessoa exige que as instalações de gás atendam às normas técnicas e estejam estanques, o que deve ser comprovado por testes de estanqueidade realizados por profissionais qualificados.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 laudo de estanqueidade é frequentemente um documento obrigatório para a emissão ou renovação do Auto de Vistoria do Corpo de Bombeiros (AVCB), que é outro documento essencial para a regularização de edificações, especialmente condomínios e estabelecimentos comerciais.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 </w:t>
      </w:r>
      <w:r>
        <w:rPr>
          <w:rFonts w:cs="Arial" w:ascii="Arial" w:hAnsi="Arial"/>
          <w:color w:val="000000"/>
          <w:lang w:val="pt-BR"/>
        </w:rPr>
        <w:t>Além disso, no processo de solicitação do Habite-se junto à Prefeitura de João Pessoa, a documentação da rede de gás (incluindo o laudo) se soma a outros documentos técnicos, como a Anotação de Responsabilidade Técnica (ART) pelas obras e instalações. 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INSTALAÇÃO DE APARELHOS DE GÁS 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Os aparelhos de utilização e suas respectivas localizações devem obrigatoriamente obedecer às prescrições exigidas na norma de adequação de ambientes NBR 13103.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numPr>
          <w:ilvl w:val="0"/>
          <w:numId w:val="2"/>
        </w:numPr>
        <w:jc w:val="both"/>
        <w:rPr>
          <w:rFonts w:ascii="Arial" w:hAnsi="Arial" w:cs="Arial"/>
          <w:b/>
          <w:bCs/>
          <w:color w:val="000000"/>
          <w:lang w:val="pt-BR"/>
        </w:rPr>
      </w:pPr>
      <w:r>
        <w:rPr>
          <w:rFonts w:cs="Arial" w:ascii="Arial" w:hAnsi="Arial"/>
          <w:b/>
          <w:bCs/>
          <w:color w:val="000000"/>
          <w:lang w:val="pt-BR"/>
        </w:rPr>
        <w:t xml:space="preserve">MANUTENÇÃO </w:t>
      </w:r>
    </w:p>
    <w:p>
      <w:pPr>
        <w:pStyle w:val="Normal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>A instalação predial de gás deve ser inspecionada periodicamente com frequência definida pelo responsável pela manutenção. Recomenda-se que seja feito um teste de estanqueidade da rede a cada ano ou em caso de suspeita de vazamentos.</w:t>
      </w:r>
    </w:p>
    <w:p>
      <w:pPr>
        <w:pStyle w:val="Normal"/>
        <w:ind w:left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  <w:t xml:space="preserve">Os serviços de manutenção e reparo devem ser executados por pessoas capacitadas, o que inclui treinamento apropriado e conhecimento das exigências regulamentadas concernentes às instalações prediais de gás. </w:t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ind w:firstLine="360"/>
        <w:jc w:val="both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p>
      <w:pPr>
        <w:pStyle w:val="Normal"/>
        <w:jc w:val="right"/>
        <w:rPr>
          <w:rFonts w:ascii="Arial" w:hAnsi="Arial" w:cs="Arial"/>
          <w:szCs w:val="18"/>
        </w:rPr>
      </w:pPr>
      <w:r>
        <w:rPr>
          <w:rFonts w:cs="Arial" w:ascii="Arial" w:hAnsi="Arial"/>
          <w:sz w:val="24"/>
          <w:szCs w:val="24"/>
        </w:rPr>
        <w:t>___________________________________</w:t>
      </w:r>
    </w:p>
    <w:p>
      <w:pPr>
        <w:pStyle w:val="Normal"/>
        <w:spacing w:before="240" w:after="0"/>
        <w:ind w:left="4248"/>
        <w:rPr>
          <w:rFonts w:ascii="Arial" w:hAnsi="Arial" w:cs="Arial"/>
          <w:sz w:val="16"/>
          <w:szCs w:val="16"/>
          <w:lang w:val="pt-BR"/>
        </w:rPr>
      </w:pPr>
      <w:r>
        <w:rPr>
          <w:rFonts w:cs="Arial" w:ascii="Arial" w:hAnsi="Arial"/>
          <w:sz w:val="16"/>
          <w:szCs w:val="16"/>
          <w:lang w:val="pt-BR"/>
        </w:rPr>
        <w:t xml:space="preserve">          </w:t>
      </w:r>
      <w:r>
        <w:rPr>
          <w:rFonts w:cs="Arial" w:ascii="Arial" w:hAnsi="Arial"/>
          <w:sz w:val="16"/>
          <w:szCs w:val="16"/>
          <w:lang w:val="pt-BR"/>
        </w:rPr>
        <w:t xml:space="preserve">Eng° Evandro César de Lima Ferreira </w:t>
      </w:r>
    </w:p>
    <w:p>
      <w:pPr>
        <w:pStyle w:val="Normal"/>
        <w:spacing w:before="240" w:after="0"/>
        <w:ind w:firstLine="708" w:left="3540"/>
        <w:rPr>
          <w:rFonts w:ascii="Arial" w:hAnsi="Arial" w:cs="Arial"/>
          <w:b/>
          <w:sz w:val="16"/>
          <w:szCs w:val="16"/>
          <w:lang w:val="pt-BR"/>
        </w:rPr>
      </w:pPr>
      <w:r>
        <w:rPr>
          <w:rFonts w:cs="Arial" w:ascii="Arial" w:hAnsi="Arial"/>
          <w:sz w:val="16"/>
          <w:szCs w:val="16"/>
          <w:lang w:val="pt-BR"/>
        </w:rPr>
        <w:t xml:space="preserve">          </w:t>
      </w:r>
      <w:r>
        <w:rPr>
          <w:rFonts w:cs="Arial" w:ascii="Arial" w:hAnsi="Arial"/>
          <w:sz w:val="16"/>
          <w:szCs w:val="16"/>
          <w:lang w:val="pt-BR"/>
        </w:rPr>
        <w:t>CREA-16.03.55.76.10-D-PB</w:t>
      </w:r>
      <w:r>
        <w:rPr>
          <w:rFonts w:cs="Arial" w:ascii="Arial" w:hAnsi="Arial"/>
          <w:b/>
          <w:sz w:val="16"/>
          <w:szCs w:val="16"/>
          <w:lang w:val="pt-BR"/>
        </w:rPr>
        <w:t>.</w:t>
      </w:r>
    </w:p>
    <w:p>
      <w:pPr>
        <w:pStyle w:val="Normal"/>
        <w:ind w:firstLine="360"/>
        <w:jc w:val="right"/>
        <w:rPr>
          <w:rFonts w:ascii="Arial" w:hAnsi="Arial" w:cs="Arial"/>
          <w:color w:val="000000"/>
          <w:lang w:val="pt-BR"/>
        </w:rPr>
      </w:pPr>
      <w:r>
        <w:rPr>
          <w:rFonts w:cs="Arial" w:ascii="Arial" w:hAnsi="Arial"/>
          <w:color w:val="000000"/>
          <w:lang w:val="pt-BR"/>
        </w:rPr>
      </w:r>
    </w:p>
    <w:sectPr>
      <w:headerReference w:type="even" r:id="rId14"/>
      <w:headerReference w:type="default" r:id="rId15"/>
      <w:headerReference w:type="first" r:id="rId16"/>
      <w:footerReference w:type="even" r:id="rId17"/>
      <w:footerReference w:type="default" r:id="rId18"/>
      <w:footerReference w:type="first" r:id="rId19"/>
      <w:type w:val="nextPage"/>
      <w:pgSz w:w="11906" w:h="16838"/>
      <w:pgMar w:left="1418" w:right="1134" w:gutter="0" w:header="567" w:top="1985" w:footer="397" w:bottom="1440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Garamond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margin">
                <wp:posOffset>-1066800</wp:posOffset>
              </wp:positionH>
              <wp:positionV relativeFrom="paragraph">
                <wp:posOffset>-223520</wp:posOffset>
              </wp:positionV>
              <wp:extent cx="7940040" cy="678180"/>
              <wp:effectExtent l="0" t="0" r="0" b="0"/>
              <wp:wrapNone/>
              <wp:docPr id="17" name="Imagem 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" name="Imagem 3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940160" cy="6782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m 3" stroked="f" o:allowincell="f" style="position:absolute;margin-left:-84pt;margin-top:-17.6pt;width:625.15pt;height:53.35pt;mso-wrap-style:none;v-text-anchor:middle;mso-position-horizont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13">
              <wp:simplePos x="0" y="0"/>
              <wp:positionH relativeFrom="margin">
                <wp:posOffset>-1066800</wp:posOffset>
              </wp:positionH>
              <wp:positionV relativeFrom="paragraph">
                <wp:posOffset>-223520</wp:posOffset>
              </wp:positionV>
              <wp:extent cx="7940040" cy="678180"/>
              <wp:effectExtent l="0" t="0" r="0" b="0"/>
              <wp:wrapNone/>
              <wp:docPr id="19" name="Imagem 3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0" name="Imagem 3" descr=""/>
                      <pic:cNvPicPr/>
                    </pic:nvPicPr>
                    <pic:blipFill>
                      <a:blip r:embed="rId1"/>
                      <a:stretch/>
                    </pic:blipFill>
                    <pic:spPr>
                      <a:xfrm>
                        <a:off x="0" y="0"/>
                        <a:ext cx="7940160" cy="67824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m 3" stroked="f" o:allowincell="f" style="position:absolute;margin-left:-84pt;margin-top:-17.6pt;width:625.15pt;height:53.35pt;mso-wrap-style:none;v-text-anchor:middle;mso-position-horizontal-relative:margin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mc:AlternateContent>
        <mc:Choice Requires="wps">
          <w:drawing>
            <wp:anchor behindDoc="1" distT="0" distB="0" distL="0" distR="0" simplePos="0" locked="0" layoutInCell="1" allowOverlap="1" relativeHeight="25">
              <wp:simplePos x="0" y="0"/>
              <wp:positionH relativeFrom="column">
                <wp:posOffset>-895350</wp:posOffset>
              </wp:positionH>
              <wp:positionV relativeFrom="paragraph">
                <wp:posOffset>-4253230</wp:posOffset>
              </wp:positionV>
              <wp:extent cx="7553325" cy="5559425"/>
              <wp:effectExtent l="0" t="0" r="0" b="0"/>
              <wp:wrapNone/>
              <wp:docPr id="13" name="image1.p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4" name="image1.png" descr=""/>
                      <pic:cNvPicPr/>
                    </pic:nvPicPr>
                    <pic:blipFill>
                      <a:blip r:embed="rId1"/>
                      <a:srcRect l="173" t="0" r="0" b="69178"/>
                      <a:stretch/>
                    </pic:blipFill>
                    <pic:spPr>
                      <a:xfrm>
                        <a:off x="0" y="0"/>
                        <a:ext cx="7553160" cy="55594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1.png" stroked="f" o:allowincell="f" style="position:absolute;margin-left:-70.5pt;margin-top:-334.9pt;width:594.7pt;height:437.7pt;mso-wrap-style:none;v-text-anchor:middl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lang w:val="pt-BR"/>
      </w:rPr>
      <w:tab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mc:AlternateContent>
        <mc:Choice Requires="wps">
          <w:drawing>
            <wp:anchor behindDoc="1" distT="0" distB="0" distL="0" distR="0" simplePos="0" locked="0" layoutInCell="1" allowOverlap="1" relativeHeight="25">
              <wp:simplePos x="0" y="0"/>
              <wp:positionH relativeFrom="column">
                <wp:posOffset>-895350</wp:posOffset>
              </wp:positionH>
              <wp:positionV relativeFrom="paragraph">
                <wp:posOffset>-4253230</wp:posOffset>
              </wp:positionV>
              <wp:extent cx="7553325" cy="5559425"/>
              <wp:effectExtent l="0" t="0" r="0" b="0"/>
              <wp:wrapNone/>
              <wp:docPr id="15" name="image1.png"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" name="image1.png" descr=""/>
                      <pic:cNvPicPr/>
                    </pic:nvPicPr>
                    <pic:blipFill>
                      <a:blip r:embed="rId1"/>
                      <a:srcRect l="173" t="0" r="0" b="69178"/>
                      <a:stretch/>
                    </pic:blipFill>
                    <pic:spPr>
                      <a:xfrm>
                        <a:off x="0" y="0"/>
                        <a:ext cx="7553160" cy="5559480"/>
                      </a:xfrm>
                      <a:prstGeom prst="rect">
                        <a:avLst/>
                      </a:prstGeom>
                      <a:ln w="0">
                        <a:noFill/>
                      </a:ln>
                    </pic:spPr>
                  </pic:pic>
                </a:graphicData>
              </a:graphic>
            </wp:anchor>
          </w:drawing>
        </mc:Choice>
        <mc:Fallback>
          <w:pict>
            <v:shape id="shape_0" ID="image1.png" stroked="f" o:allowincell="f" style="position:absolute;margin-left:-70.5pt;margin-top:-334.9pt;width:594.7pt;height:437.7pt;mso-wrap-style:none;v-text-anchor:middle" type="_x0000_t75">
              <v:imagedata r:id="rId2" o:detectmouseclick="t"/>
              <v:stroke color="#3465a4" joinstyle="round" endcap="flat"/>
              <w10:wrap type="none"/>
            </v:shape>
          </w:pict>
        </mc:Fallback>
      </mc:AlternateContent>
    </w:r>
    <w:r>
      <w:rPr>
        <w:lang w:val="pt-BR"/>
      </w:rPr>
      <w:tab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0)"/>
      <w:lvlJc w:val="left"/>
      <w:pPr>
        <w:tabs>
          <w:tab w:val="num" w:pos="0"/>
        </w:tabs>
        <w:ind w:left="720" w:hanging="720"/>
      </w:pPr>
      <w:rPr/>
    </w:lvl>
    <w:lvl w:ilvl="1">
      <w:start w:val="1"/>
      <w:numFmt w:val="decimal"/>
      <w:lvlText w:val="%1.%2)"/>
      <w:lvlJc w:val="left"/>
      <w:pPr>
        <w:tabs>
          <w:tab w:val="num" w:pos="0"/>
        </w:tabs>
        <w:ind w:left="1428" w:hanging="720"/>
      </w:pPr>
      <w:rPr/>
    </w:lvl>
    <w:lvl w:ilvl="2">
      <w:start w:val="1"/>
      <w:numFmt w:val="decimal"/>
      <w:lvlText w:val="%1.%2)%3."/>
      <w:lvlJc w:val="left"/>
      <w:pPr>
        <w:tabs>
          <w:tab w:val="num" w:pos="0"/>
        </w:tabs>
        <w:ind w:left="2496" w:hanging="1080"/>
      </w:pPr>
      <w:rPr/>
    </w:lvl>
    <w:lvl w:ilvl="3">
      <w:start w:val="1"/>
      <w:numFmt w:val="decimal"/>
      <w:lvlText w:val="%1.%2)%3.%4."/>
      <w:lvlJc w:val="left"/>
      <w:pPr>
        <w:tabs>
          <w:tab w:val="num" w:pos="0"/>
        </w:tabs>
        <w:ind w:left="3204" w:hanging="1080"/>
      </w:pPr>
      <w:rPr/>
    </w:lvl>
    <w:lvl w:ilvl="4">
      <w:start w:val="1"/>
      <w:numFmt w:val="decimal"/>
      <w:lvlText w:val="%1.%2)%3.%4.%5."/>
      <w:lvlJc w:val="left"/>
      <w:pPr>
        <w:tabs>
          <w:tab w:val="num" w:pos="0"/>
        </w:tabs>
        <w:ind w:left="4272" w:hanging="1440"/>
      </w:pPr>
      <w:rPr/>
    </w:lvl>
    <w:lvl w:ilvl="5">
      <w:start w:val="1"/>
      <w:numFmt w:val="decimal"/>
      <w:lvlText w:val="%1.%2)%3.%4.%5.%6."/>
      <w:lvlJc w:val="left"/>
      <w:pPr>
        <w:tabs>
          <w:tab w:val="num" w:pos="0"/>
        </w:tabs>
        <w:ind w:left="5340" w:hanging="1800"/>
      </w:pPr>
      <w:rPr/>
    </w:lvl>
    <w:lvl w:ilvl="6">
      <w:start w:val="1"/>
      <w:numFmt w:val="decimal"/>
      <w:lvlText w:val="%1.%2)%3.%4.%5.%6.%7."/>
      <w:lvlJc w:val="left"/>
      <w:pPr>
        <w:tabs>
          <w:tab w:val="num" w:pos="0"/>
        </w:tabs>
        <w:ind w:left="6048" w:hanging="1800"/>
      </w:pPr>
      <w:rPr/>
    </w:lvl>
    <w:lvl w:ilvl="7">
      <w:start w:val="1"/>
      <w:numFmt w:val="decimal"/>
      <w:lvlText w:val="%1.%2)%3.%4.%5.%6.%7.%8."/>
      <w:lvlJc w:val="left"/>
      <w:pPr>
        <w:tabs>
          <w:tab w:val="num" w:pos="0"/>
        </w:tabs>
        <w:ind w:left="7116" w:hanging="2160"/>
      </w:pPr>
      <w:rPr/>
    </w:lvl>
    <w:lvl w:ilvl="8">
      <w:start w:val="1"/>
      <w:numFmt w:val="decimal"/>
      <w:lvlText w:val="%1.%2)%3.%4.%5.%6.%7.%8.%9."/>
      <w:lvlJc w:val="left"/>
      <w:pPr>
        <w:tabs>
          <w:tab w:val="num" w:pos="0"/>
        </w:tabs>
        <w:ind w:left="8184" w:hanging="252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2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5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6">
    <w:lvl w:ilvl="0">
      <w:start w:val="2"/>
      <w:numFmt w:val="bullet"/>
      <w:lvlText w:val="-"/>
      <w:lvlJc w:val="left"/>
      <w:pPr>
        <w:tabs>
          <w:tab w:val="num" w:pos="0"/>
        </w:tabs>
        <w:ind w:left="1428" w:hanging="360"/>
      </w:pPr>
      <w:rPr>
        <w:rFonts w:ascii="Arial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8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8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8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8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8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/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/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9"/>
  <w:defaultTabStop w:val="708"/>
  <w:autoHyphenation w:val="true"/>
  <w:compat>
    <w:doNotExpandShiftReturn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SimSun" w:cs="Times New Roman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semiHidden="1" w:unhideWhenUsed="1" w:qFormat="1"/>
    <w:lsdException w:name="heading 5" w:uiPriority="0" w:semiHidden="1" w:unhideWhenUsed="1" w:qFormat="1"/>
    <w:lsdException w:name="heading 6" w:uiPriority="9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 w:qFormat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iPriority="0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0" w:qFormat="1"/>
    <w:lsdException w:name="Body Text Indent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uiPriority="0"/>
    <w:lsdException w:name="Body Text 3" w:uiPriority="0" w:semiHidden="1" w:unhideWhenUsed="1" w:qFormat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1203a"/>
    <w:pPr>
      <w:widowControl/>
      <w:bidi w:val="0"/>
      <w:spacing w:before="0" w:after="0"/>
      <w:jc w:val="left"/>
    </w:pPr>
    <w:rPr>
      <w:rFonts w:eastAsia="Times New Roman" w:ascii="Times New Roman" w:hAnsi="Times New Roman" w:cs="Times New Roman"/>
      <w:color w:val="auto"/>
      <w:kern w:val="0"/>
      <w:sz w:val="20"/>
      <w:szCs w:val="20"/>
      <w:lang w:val="en-US" w:eastAsia="pt-BR" w:bidi="ar-SA"/>
    </w:rPr>
  </w:style>
  <w:style w:type="paragraph" w:styleId="Heading1">
    <w:name w:val="Heading 1"/>
    <w:basedOn w:val="Normal"/>
    <w:next w:val="Normal"/>
    <w:link w:val="Ttulo1Char"/>
    <w:qFormat/>
    <w:pPr>
      <w:keepNext w:val="true"/>
      <w:spacing w:before="240" w:after="60"/>
      <w:outlineLvl w:val="0"/>
    </w:pPr>
    <w:rPr>
      <w:rFonts w:ascii="Arial" w:hAnsi="Arial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Ttulo2Char"/>
    <w:qFormat/>
    <w:pPr>
      <w:keepNext w:val="true"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/>
    </w:rPr>
  </w:style>
  <w:style w:type="paragraph" w:styleId="Heading3">
    <w:name w:val="Heading 3"/>
    <w:basedOn w:val="Normal"/>
    <w:next w:val="Normal"/>
    <w:link w:val="Ttulo3Char"/>
    <w:qFormat/>
    <w:pPr>
      <w:keepNext w:val="true"/>
      <w:spacing w:before="240" w:after="60"/>
      <w:outlineLvl w:val="2"/>
    </w:pPr>
    <w:rPr>
      <w:rFonts w:ascii="Cambria" w:hAnsi="Cambria"/>
      <w:b/>
      <w:bCs/>
      <w:sz w:val="26"/>
      <w:szCs w:val="26"/>
      <w:lang w:val="x-none"/>
    </w:rPr>
  </w:style>
  <w:style w:type="paragraph" w:styleId="Heading5">
    <w:name w:val="Heading 5"/>
    <w:basedOn w:val="Normal"/>
    <w:next w:val="Normal"/>
    <w:link w:val="Ttulo5Char"/>
    <w:qFormat/>
    <w:rsid w:val="006b0e31"/>
    <w:pPr>
      <w:keepNext w:val="true"/>
      <w:spacing w:lineRule="auto" w:line="480"/>
      <w:ind w:left="284" w:right="708"/>
      <w:jc w:val="both"/>
      <w:outlineLvl w:val="4"/>
    </w:pPr>
    <w:rPr>
      <w:rFonts w:ascii="Arial" w:hAnsi="Arial"/>
      <w:b/>
      <w:sz w:val="22"/>
      <w:lang w:val="x-none" w:eastAsia="x-none"/>
    </w:rPr>
  </w:style>
  <w:style w:type="paragraph" w:styleId="Heading7">
    <w:name w:val="Heading 7"/>
    <w:basedOn w:val="Normal"/>
    <w:next w:val="Normal"/>
    <w:link w:val="Ttulo7Char"/>
    <w:unhideWhenUsed/>
    <w:qFormat/>
    <w:rsid w:val="006b0e31"/>
    <w:pPr>
      <w:spacing w:before="240" w:after="60"/>
      <w:outlineLvl w:val="6"/>
    </w:pPr>
    <w:rPr>
      <w:rFonts w:ascii="Calibri" w:hAnsi="Calibri"/>
      <w:sz w:val="24"/>
      <w:szCs w:val="24"/>
      <w:lang w:eastAsia="x-none"/>
    </w:rPr>
  </w:style>
  <w:style w:type="paragraph" w:styleId="Heading9">
    <w:name w:val="Heading 9"/>
    <w:basedOn w:val="Normal"/>
    <w:next w:val="Normal"/>
    <w:link w:val="Ttulo9Char"/>
    <w:unhideWhenUsed/>
    <w:qFormat/>
    <w:rsid w:val="006b0e31"/>
    <w:pPr>
      <w:spacing w:before="240" w:after="60"/>
      <w:outlineLvl w:val="8"/>
    </w:pPr>
    <w:rPr>
      <w:rFonts w:ascii="Calibri Light" w:hAnsi="Calibri Light"/>
      <w:sz w:val="22"/>
      <w:szCs w:val="22"/>
      <w:lang w:eastAsia="x-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Ttulo1Char" w:customStyle="1">
    <w:name w:val="Título 1 Char"/>
    <w:qFormat/>
    <w:rPr>
      <w:rFonts w:ascii="Arial" w:hAnsi="Arial" w:eastAsia="Times New Roman" w:cs="Arial"/>
      <w:b/>
      <w:bCs/>
      <w:kern w:val="2"/>
      <w:sz w:val="32"/>
      <w:szCs w:val="32"/>
      <w:lang w:val="en-US" w:eastAsia="pt-BR"/>
    </w:rPr>
  </w:style>
  <w:style w:type="character" w:styleId="Ttulo2Char" w:customStyle="1">
    <w:name w:val="Título 2 Char"/>
    <w:qFormat/>
    <w:rPr>
      <w:rFonts w:ascii="Cambria" w:hAnsi="Cambria" w:eastAsia="Times New Roman" w:cs="Times New Roman"/>
      <w:b/>
      <w:bCs/>
      <w:i/>
      <w:iCs/>
      <w:sz w:val="28"/>
      <w:szCs w:val="28"/>
      <w:lang w:eastAsia="pt-BR"/>
    </w:rPr>
  </w:style>
  <w:style w:type="character" w:styleId="Ttulo3Char" w:customStyle="1">
    <w:name w:val="Título 3 Char"/>
    <w:qFormat/>
    <w:rPr>
      <w:rFonts w:ascii="Cambria" w:hAnsi="Cambria" w:eastAsia="Times New Roman" w:cs="Times New Roman"/>
      <w:b/>
      <w:bCs/>
      <w:sz w:val="26"/>
      <w:szCs w:val="26"/>
      <w:lang w:eastAsia="pt-BR"/>
    </w:rPr>
  </w:style>
  <w:style w:type="character" w:styleId="Strong">
    <w:name w:val="Strong"/>
    <w:qFormat/>
    <w:rPr>
      <w:rFonts w:ascii="Arial" w:hAnsi="Arial"/>
      <w:b/>
      <w:bCs/>
      <w:sz w:val="24"/>
    </w:rPr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CorpodetextoChar" w:customStyle="1">
    <w:name w:val="Corpo de texto Char"/>
    <w:qFormat/>
    <w:rPr>
      <w:rFonts w:ascii="Arial" w:hAnsi="Arial" w:eastAsia="Times New Roman" w:cs="Times New Roman"/>
      <w:spacing w:val="-5"/>
      <w:sz w:val="20"/>
      <w:szCs w:val="20"/>
      <w:lang w:eastAsia="pt-BR"/>
    </w:rPr>
  </w:style>
  <w:style w:type="character" w:styleId="TtuloChar" w:customStyle="1">
    <w:name w:val="Título Char"/>
    <w:uiPriority w:val="10"/>
    <w:qFormat/>
    <w:rPr>
      <w:rFonts w:ascii="Cambria" w:hAnsi="Cambria" w:eastAsia="Times New Roman" w:cs="Times New Roman"/>
      <w:b/>
      <w:bCs/>
      <w:kern w:val="2"/>
      <w:sz w:val="32"/>
      <w:szCs w:val="32"/>
      <w:lang w:eastAsia="pt-BR"/>
    </w:rPr>
  </w:style>
  <w:style w:type="character" w:styleId="CabealhoChar" w:customStyle="1">
    <w:name w:val="Cabeçalho Char"/>
    <w:qFormat/>
    <w:rPr/>
  </w:style>
  <w:style w:type="character" w:styleId="RodapChar" w:customStyle="1">
    <w:name w:val="Rodapé Char"/>
    <w:qFormat/>
    <w:rPr/>
  </w:style>
  <w:style w:type="character" w:styleId="TextodebaloChar" w:customStyle="1">
    <w:name w:val="Texto de balão Char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styleId="RecuodecorpodetextoChar" w:customStyle="1">
    <w:name w:val="Recuo de corpo de texto Char"/>
    <w:uiPriority w:val="99"/>
    <w:semiHidden/>
    <w:qFormat/>
    <w:rPr>
      <w:rFonts w:eastAsia="Times New Roman"/>
      <w:lang w:val="en-US"/>
    </w:rPr>
  </w:style>
  <w:style w:type="character" w:styleId="font31" w:customStyle="1">
    <w:name w:val="font31"/>
    <w:qFormat/>
    <w:rPr>
      <w:rFonts w:ascii="Arial" w:hAnsi="Arial" w:cs="Arial"/>
      <w:i w:val="false"/>
      <w:iCs w:val="false"/>
      <w:color w:val="000000"/>
      <w:u w:val="none"/>
      <w:vertAlign w:val="superscript"/>
    </w:rPr>
  </w:style>
  <w:style w:type="character" w:styleId="font11" w:customStyle="1">
    <w:name w:val="font11"/>
    <w:qFormat/>
    <w:rPr>
      <w:rFonts w:ascii="Arial" w:hAnsi="Arial" w:cs="Arial"/>
      <w:i w:val="false"/>
      <w:iCs w:val="false"/>
      <w:color w:val="000000"/>
      <w:u w:val="none"/>
    </w:rPr>
  </w:style>
  <w:style w:type="character" w:styleId="Ttulo7Char" w:customStyle="1">
    <w:name w:val="Título 7 Char"/>
    <w:qFormat/>
    <w:rsid w:val="006b0e31"/>
    <w:rPr>
      <w:rFonts w:ascii="Calibri" w:hAnsi="Calibri" w:eastAsia="Times New Roman" w:cs="Times New Roman"/>
      <w:sz w:val="24"/>
      <w:szCs w:val="24"/>
      <w:lang w:val="en-US"/>
    </w:rPr>
  </w:style>
  <w:style w:type="character" w:styleId="Ttulo9Char" w:customStyle="1">
    <w:name w:val="Título 9 Char"/>
    <w:qFormat/>
    <w:rsid w:val="006b0e31"/>
    <w:rPr>
      <w:rFonts w:ascii="Calibri Light" w:hAnsi="Calibri Light" w:eastAsia="Times New Roman" w:cs="Times New Roman"/>
      <w:sz w:val="22"/>
      <w:szCs w:val="22"/>
      <w:lang w:val="en-US"/>
    </w:rPr>
  </w:style>
  <w:style w:type="character" w:styleId="Corpodetexto3Char" w:customStyle="1">
    <w:name w:val="Corpo de texto 3 Char"/>
    <w:link w:val="BodyText3"/>
    <w:qFormat/>
    <w:rsid w:val="006b0e31"/>
    <w:rPr>
      <w:rFonts w:eastAsia="Times New Roman"/>
      <w:sz w:val="16"/>
      <w:szCs w:val="16"/>
      <w:lang w:val="en-US"/>
    </w:rPr>
  </w:style>
  <w:style w:type="character" w:styleId="Ttulo5Char" w:customStyle="1">
    <w:name w:val="Título 5 Char"/>
    <w:qFormat/>
    <w:rsid w:val="006b0e31"/>
    <w:rPr>
      <w:rFonts w:ascii="Arial" w:hAnsi="Arial" w:eastAsia="Times New Roman"/>
      <w:b/>
      <w:sz w:val="22"/>
    </w:rPr>
  </w:style>
  <w:style w:type="character" w:styleId="PageNumber">
    <w:name w:val="Page Number"/>
    <w:basedOn w:val="DefaultParagraphFont"/>
    <w:qFormat/>
    <w:rsid w:val="006b0e31"/>
    <w:rPr/>
  </w:style>
  <w:style w:type="character" w:styleId="Recuodecorpodetexto3Char" w:customStyle="1">
    <w:name w:val="Recuo de corpo de texto 3 Char"/>
    <w:link w:val="BodyTextIndent3"/>
    <w:uiPriority w:val="99"/>
    <w:qFormat/>
    <w:rsid w:val="009577c5"/>
    <w:rPr>
      <w:rFonts w:eastAsia="Times New Roman"/>
      <w:sz w:val="16"/>
      <w:szCs w:val="16"/>
      <w:lang w:val="en-US"/>
    </w:rPr>
  </w:style>
  <w:style w:type="character" w:styleId="Caracteresdenotaderodap">
    <w:name w:val="Caracteres de nota de rodapé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CorpodetextoChar"/>
    <w:qFormat/>
    <w:pPr>
      <w:spacing w:lineRule="atLeast" w:line="220" w:before="0" w:after="220"/>
      <w:jc w:val="both"/>
    </w:pPr>
    <w:rPr>
      <w:rFonts w:ascii="Arial" w:hAnsi="Arial"/>
      <w:spacing w:val="-5"/>
      <w:lang w:val="x-none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qFormat/>
    <w:pPr/>
    <w:rPr>
      <w:rFonts w:ascii="Arial" w:hAnsi="Arial" w:eastAsia="SimHei" w:cs="Arial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OC2">
    <w:name w:val="TOC 2"/>
    <w:basedOn w:val="Normal"/>
    <w:next w:val="Normal"/>
    <w:uiPriority w:val="39"/>
    <w:pPr>
      <w:tabs>
        <w:tab w:val="clear" w:pos="708"/>
        <w:tab w:val="right" w:pos="8495" w:leader="dot"/>
      </w:tabs>
      <w:spacing w:lineRule="auto" w:line="360"/>
    </w:pPr>
    <w:rPr>
      <w:rFonts w:ascii="Arial" w:hAnsi="Arial" w:cs="Arial"/>
      <w:b/>
      <w:sz w:val="24"/>
      <w:szCs w:val="24"/>
      <w:lang w:val="pt-BR" w:eastAsia="pt-BR"/>
    </w:rPr>
  </w:style>
  <w:style w:type="paragraph" w:styleId="Title">
    <w:name w:val="Title"/>
    <w:basedOn w:val="Normal"/>
    <w:next w:val="Normal"/>
    <w:link w:val="TtuloChar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kern w:val="2"/>
      <w:sz w:val="32"/>
      <w:szCs w:val="32"/>
      <w:lang w:val="x-none"/>
    </w:rPr>
  </w:style>
  <w:style w:type="paragraph" w:styleId="BodyText2">
    <w:name w:val="Body Text 2"/>
    <w:basedOn w:val="Normal"/>
    <w:qFormat/>
    <w:pPr>
      <w:pBdr>
        <w:top w:val="single" w:sz="6" w:space="1" w:color="000000"/>
        <w:left w:val="single" w:sz="6" w:space="1" w:color="000000"/>
        <w:bottom w:val="single" w:sz="6" w:space="1" w:color="000000"/>
        <w:right w:val="single" w:sz="6" w:space="1" w:color="000000"/>
      </w:pBdr>
    </w:pPr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Footer">
    <w:name w:val="Footer"/>
    <w:basedOn w:val="Normal"/>
    <w:link w:val="RodapChar"/>
    <w:unhideWhenUsed/>
    <w:qFormat/>
    <w:pPr>
      <w:tabs>
        <w:tab w:val="clear" w:pos="708"/>
        <w:tab w:val="center" w:pos="4252" w:leader="none"/>
        <w:tab w:val="right" w:pos="8504" w:leader="none"/>
      </w:tabs>
    </w:pPr>
    <w:rPr/>
  </w:style>
  <w:style w:type="paragraph" w:styleId="TOC3">
    <w:name w:val="TOC 3"/>
    <w:basedOn w:val="Normal"/>
    <w:next w:val="Normal"/>
    <w:uiPriority w:val="39"/>
    <w:qFormat/>
    <w:pPr>
      <w:ind w:left="480"/>
    </w:pPr>
    <w:rPr>
      <w:sz w:val="24"/>
      <w:szCs w:val="24"/>
      <w:lang w:val="pt-BR"/>
    </w:rPr>
  </w:style>
  <w:style w:type="paragraph" w:styleId="BalloonText">
    <w:name w:val="Balloon Text"/>
    <w:basedOn w:val="Normal"/>
    <w:link w:val="TextodebaloChar"/>
    <w:uiPriority w:val="99"/>
    <w:unhideWhenUsed/>
    <w:qFormat/>
    <w:pPr/>
    <w:rPr>
      <w:rFonts w:ascii="Tahoma" w:hAnsi="Tahoma" w:eastAsia="SimSun"/>
      <w:sz w:val="16"/>
      <w:szCs w:val="16"/>
      <w:lang w:val="x-none" w:eastAsia="x-none"/>
    </w:rPr>
  </w:style>
  <w:style w:type="paragraph" w:styleId="TOC1">
    <w:name w:val="TOC 1"/>
    <w:basedOn w:val="Normal"/>
    <w:next w:val="Normal"/>
    <w:uiPriority w:val="39"/>
    <w:pPr>
      <w:spacing w:lineRule="auto" w:line="360"/>
      <w:jc w:val="both"/>
    </w:pPr>
    <w:rPr>
      <w:rFonts w:ascii="Arial" w:hAnsi="Arial"/>
      <w:b/>
      <w:sz w:val="24"/>
      <w:lang w:val="pt-BR"/>
    </w:rPr>
  </w:style>
  <w:style w:type="paragraph" w:styleId="BodyTextIndent">
    <w:name w:val="Body Text Indent"/>
    <w:basedOn w:val="Normal"/>
    <w:link w:val="RecuodecorpodetextoChar"/>
    <w:uiPriority w:val="99"/>
    <w:unhideWhenUsed/>
    <w:pPr>
      <w:spacing w:before="0" w:after="120"/>
      <w:ind w:left="283"/>
    </w:pPr>
    <w:rPr>
      <w:lang w:eastAsia="x-none"/>
    </w:rPr>
  </w:style>
  <w:style w:type="paragraph" w:styleId="IndexHeading">
    <w:name w:val="Index Heading"/>
    <w:basedOn w:val="Ttulo"/>
    <w:pPr/>
    <w:rPr/>
  </w:style>
  <w:style w:type="paragraph" w:styleId="TOCHeading">
    <w:name w:val="TOC Heading"/>
    <w:basedOn w:val="Heading1"/>
    <w:next w:val="Normal"/>
    <w:uiPriority w:val="39"/>
    <w:qFormat/>
    <w:pPr>
      <w:keepLines/>
      <w:spacing w:lineRule="auto" w:line="276" w:before="480" w:after="0"/>
      <w:outlineLvl w:val="9"/>
    </w:pPr>
    <w:rPr>
      <w:rFonts w:ascii="Cambria" w:hAnsi="Cambria"/>
      <w:color w:val="365F91"/>
      <w:kern w:val="0"/>
      <w:sz w:val="28"/>
      <w:szCs w:val="28"/>
      <w:lang w:val="pt-BR" w:eastAsia="en-US"/>
    </w:rPr>
  </w:style>
  <w:style w:type="paragraph" w:styleId="Default" w:customStyle="1">
    <w:name w:val="Default"/>
    <w:qFormat/>
    <w:pPr>
      <w:widowControl/>
      <w:bidi w:val="0"/>
      <w:spacing w:before="0" w:after="0"/>
      <w:jc w:val="left"/>
    </w:pPr>
    <w:rPr>
      <w:rFonts w:ascii="Garamond" w:hAnsi="Garamond" w:cs="Garamond" w:eastAsia="SimSun"/>
      <w:color w:val="000000"/>
      <w:kern w:val="0"/>
      <w:sz w:val="24"/>
      <w:szCs w:val="24"/>
      <w:lang w:val="pt-BR" w:eastAsia="pt-BR" w:bidi="ar-SA"/>
    </w:rPr>
  </w:style>
  <w:style w:type="paragraph" w:styleId="ListParagraph">
    <w:name w:val="List Paragraph"/>
    <w:basedOn w:val="Normal"/>
    <w:uiPriority w:val="34"/>
    <w:qFormat/>
    <w:pPr>
      <w:ind w:left="708"/>
    </w:pPr>
    <w:rPr/>
  </w:style>
  <w:style w:type="paragraph" w:styleId="Sumrio" w:customStyle="1">
    <w:name w:val="Sumário"/>
    <w:basedOn w:val="Normal"/>
    <w:qFormat/>
    <w:pPr>
      <w:numPr>
        <w:ilvl w:val="0"/>
        <w:numId w:val="1"/>
      </w:numPr>
    </w:pPr>
    <w:rPr>
      <w:b/>
      <w:bCs/>
      <w:color w:val="000000"/>
      <w:sz w:val="24"/>
      <w:szCs w:val="24"/>
      <w:lang w:val="pt-BR"/>
    </w:rPr>
  </w:style>
  <w:style w:type="paragraph" w:styleId="sumrio1" w:customStyle="1">
    <w:name w:val="sumário 1"/>
    <w:basedOn w:val="Normal"/>
    <w:qFormat/>
    <w:pPr>
      <w:jc w:val="center"/>
    </w:pPr>
    <w:rPr>
      <w:b/>
      <w:bCs/>
      <w:color w:val="000000"/>
      <w:sz w:val="32"/>
      <w:szCs w:val="32"/>
      <w:lang w:val="pt-BR"/>
    </w:rPr>
  </w:style>
  <w:style w:type="paragraph" w:styleId="BodyText3">
    <w:name w:val="Body Text 3"/>
    <w:basedOn w:val="Normal"/>
    <w:link w:val="Corpodetexto3Char"/>
    <w:unhideWhenUsed/>
    <w:qFormat/>
    <w:rsid w:val="006b0e31"/>
    <w:pPr>
      <w:spacing w:before="0" w:after="120"/>
    </w:pPr>
    <w:rPr>
      <w:sz w:val="16"/>
      <w:szCs w:val="16"/>
      <w:lang w:eastAsia="x-none"/>
    </w:rPr>
  </w:style>
  <w:style w:type="paragraph" w:styleId="EstiloTtulo212ptNoNegritoCentralizado" w:customStyle="1">
    <w:name w:val="Estilo Título 2 + 12 pt Não Negrito Centralizado"/>
    <w:basedOn w:val="Heading2"/>
    <w:qFormat/>
    <w:rsid w:val="004045e4"/>
    <w:pPr>
      <w:spacing w:lineRule="auto" w:line="360" w:before="0" w:after="0"/>
    </w:pPr>
    <w:rPr>
      <w:rFonts w:ascii="Arial" w:hAnsi="Arial"/>
      <w:bCs w:val="false"/>
      <w:i w:val="false"/>
      <w:iCs w:val="false"/>
      <w:sz w:val="24"/>
      <w:szCs w:val="20"/>
      <w:lang w:val="pt-BR"/>
    </w:rPr>
  </w:style>
  <w:style w:type="paragraph" w:styleId="EstiloTtulo3Negritoesquerda063cmEspaamentoentrel" w:customStyle="1">
    <w:name w:val="Estilo Título 3 + Negrito À esquerda:  063 cm Espaçamento entre l..."/>
    <w:basedOn w:val="Heading3"/>
    <w:qFormat/>
    <w:rsid w:val="004045e4"/>
    <w:pPr>
      <w:spacing w:lineRule="auto" w:line="360" w:before="0" w:after="0"/>
      <w:ind w:left="360"/>
    </w:pPr>
    <w:rPr>
      <w:rFonts w:ascii="Arial" w:hAnsi="Arial"/>
      <w:b w:val="false"/>
      <w:sz w:val="24"/>
      <w:szCs w:val="20"/>
      <w:lang w:val="pt-BR"/>
    </w:rPr>
  </w:style>
  <w:style w:type="paragraph" w:styleId="EstiloTtulo3Deslocamento25cm" w:customStyle="1">
    <w:name w:val="Estilo Título 3 + Deslocamento:  25 cm"/>
    <w:basedOn w:val="Heading3"/>
    <w:qFormat/>
    <w:rsid w:val="004045e4"/>
    <w:pPr>
      <w:spacing w:lineRule="auto" w:line="360" w:before="0" w:after="0"/>
      <w:ind w:hanging="1418" w:left="1418"/>
    </w:pPr>
    <w:rPr>
      <w:rFonts w:ascii="Arial" w:hAnsi="Arial"/>
      <w:b w:val="false"/>
      <w:sz w:val="24"/>
      <w:szCs w:val="20"/>
      <w:lang w:val="pt-BR"/>
    </w:rPr>
  </w:style>
  <w:style w:type="paragraph" w:styleId="BodyTextIndent3">
    <w:name w:val="Body Text Indent 3"/>
    <w:basedOn w:val="Normal"/>
    <w:link w:val="Recuodecorpodetexto3Char"/>
    <w:uiPriority w:val="99"/>
    <w:unhideWhenUsed/>
    <w:qFormat/>
    <w:rsid w:val="009577c5"/>
    <w:pPr>
      <w:spacing w:before="0" w:after="120"/>
      <w:ind w:left="283"/>
    </w:pPr>
    <w:rPr>
      <w:sz w:val="16"/>
      <w:szCs w:val="16"/>
    </w:rPr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acomgrade">
    <w:name w:val="Table Grid"/>
    <w:basedOn w:val="Tabelanormal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image" Target="media/image5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6.png"/><Relationship Id="rId14" Type="http://schemas.openxmlformats.org/officeDocument/2006/relationships/header" Target="header1.xml"/><Relationship Id="rId15" Type="http://schemas.openxmlformats.org/officeDocument/2006/relationships/header" Target="header2.xml"/><Relationship Id="rId16" Type="http://schemas.openxmlformats.org/officeDocument/2006/relationships/header" Target="header3.xml"/><Relationship Id="rId17" Type="http://schemas.openxmlformats.org/officeDocument/2006/relationships/footer" Target="footer1.xml"/><Relationship Id="rId18" Type="http://schemas.openxmlformats.org/officeDocument/2006/relationships/footer" Target="footer2.xml"/><Relationship Id="rId19" Type="http://schemas.openxmlformats.org/officeDocument/2006/relationships/footer" Target="footer3.xml"/><Relationship Id="rId20" Type="http://schemas.openxmlformats.org/officeDocument/2006/relationships/numbering" Target="numbering.xml"/><Relationship Id="rId21" Type="http://schemas.openxmlformats.org/officeDocument/2006/relationships/fontTable" Target="fontTable.xml"/><Relationship Id="rId22" Type="http://schemas.openxmlformats.org/officeDocument/2006/relationships/settings" Target="settings.xml"/><Relationship Id="rId23" Type="http://schemas.openxmlformats.org/officeDocument/2006/relationships/theme" Target="theme/theme1.xml"/><Relationship Id="rId24" Type="http://schemas.openxmlformats.org/officeDocument/2006/relationships/customXml" Target="../customXml/item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8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8.png"/><Relationship Id="rId2" Type="http://schemas.openxmlformats.org/officeDocument/2006/relationships/image" Target="media/image8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7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7.png"/><Relationship Id="rId2" Type="http://schemas.openxmlformats.org/officeDocument/2006/relationships/image" Target="media/image7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94439163-63E8-4C27-A1FB-D6970176C4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Application>LibreOffice/24.2.7.2$Linux_X86_64 LibreOffice_project/420$Build-2</Application>
  <AppVersion>15.0000</AppVersion>
  <Pages>12</Pages>
  <Words>2937</Words>
  <Characters>16553</Characters>
  <CharactersWithSpaces>19387</CharactersWithSpaces>
  <Paragraphs>205</Paragraphs>
  <Company>company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2026-04-09T21:19:00Z</dcterms:created>
  <dc:creator>Usuário do Windows</dc:creator>
  <dc:description/>
  <dc:language>pt-BR</dc:language>
  <cp:lastModifiedBy/>
  <cp:lastPrinted>2018-03-27T11:11:00Z</cp:lastPrinted>
  <dcterms:modified xsi:type="dcterms:W3CDTF">2026-05-13T15:58:50Z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971CCD125BDA49E9A651827BC1421132</vt:lpwstr>
  </property>
  <property fmtid="{D5CDD505-2E9C-101B-9397-08002B2CF9AE}" pid="3" name="KSOProductBuildVer">
    <vt:lpwstr>1046-12.2.0.13306</vt:lpwstr>
  </property>
</Properties>
</file>