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hanging="0" w:left="0"/>
        <w:jc w:val="right"/>
        <w:outlineLvl w:val="0"/>
        <w:rPr>
          <w:rFonts w:ascii="Arial" w:hAnsi="Arial" w:cs="Arial"/>
          <w:b/>
          <w:spacing w:val="-10"/>
          <w:kern w:val="2"/>
        </w:rPr>
      </w:pPr>
      <w:r>
        <w:rPr>
          <w:rFonts w:cs="Arial" w:ascii="Arial" w:hAnsi="Arial"/>
          <w:b/>
          <w:spacing w:val="-10"/>
          <w:kern w:val="2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hanging="0" w:left="0"/>
        <w:jc w:val="right"/>
        <w:outlineLvl w:val="0"/>
        <w:rPr>
          <w:rFonts w:ascii="Arial" w:hAnsi="Arial" w:cs="Arial"/>
          <w:b/>
          <w:spacing w:val="-10"/>
          <w:kern w:val="2"/>
        </w:rPr>
      </w:pPr>
      <w:r>
        <w:rPr>
          <w:rFonts w:cs="Arial" w:ascii="Arial" w:hAnsi="Arial"/>
          <w:b/>
          <w:spacing w:val="-10"/>
          <w:kern w:val="2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hanging="0" w:left="0"/>
        <w:jc w:val="right"/>
        <w:outlineLvl w:val="0"/>
        <w:rPr>
          <w:rFonts w:ascii="Arial" w:hAnsi="Arial" w:cs="Arial"/>
          <w:b/>
          <w:spacing w:val="-10"/>
          <w:kern w:val="2"/>
          <w:szCs w:val="24"/>
        </w:rPr>
      </w:pPr>
      <w:r>
        <w:rPr>
          <w:rFonts w:cs="Arial" w:ascii="Arial" w:hAnsi="Arial"/>
          <w:b/>
          <w:spacing w:val="-10"/>
          <w:kern w:val="2"/>
        </w:rPr>
        <w:t xml:space="preserve">MEMORIAL </w:t>
      </w:r>
      <w:r>
        <w:rPr>
          <w:rFonts w:eastAsia="Arial" w:cs="Arial" w:ascii="Arial" w:hAnsi="Arial"/>
          <w:b/>
          <w:bCs/>
          <w:highlight w:val="yellow"/>
        </w:rPr>
        <w:t>{{ obra.numero_cadastro }}</w:t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hanging="0" w:left="0"/>
        <w:jc w:val="right"/>
        <w:outlineLvl w:val="0"/>
        <w:rPr>
          <w:rFonts w:ascii="Arial" w:hAnsi="Arial" w:cs="Arial"/>
          <w:b/>
          <w:spacing w:val="-10"/>
          <w:kern w:val="2"/>
          <w:szCs w:val="24"/>
        </w:rPr>
      </w:pPr>
      <w:r>
        <w:rPr>
          <w:rFonts w:cs="Arial" w:ascii="Arial" w:hAnsi="Arial"/>
          <w:b/>
          <w:spacing w:val="-10"/>
          <w:kern w:val="2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hanging="0" w:left="0"/>
        <w:jc w:val="right"/>
        <w:outlineLvl w:val="0"/>
        <w:rPr>
          <w:rFonts w:ascii="Arial" w:hAnsi="Arial" w:cs="Arial"/>
          <w:b/>
          <w:spacing w:val="-10"/>
          <w:kern w:val="2"/>
          <w:szCs w:val="24"/>
        </w:rPr>
      </w:pPr>
      <w:r>
        <w:rPr>
          <w:rFonts w:cs="Arial" w:ascii="Arial" w:hAnsi="Arial"/>
          <w:b/>
          <w:spacing w:val="-10"/>
          <w:kern w:val="2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hanging="0" w:left="0"/>
        <w:jc w:val="right"/>
        <w:outlineLvl w:val="0"/>
        <w:rPr>
          <w:rFonts w:ascii="Arial" w:hAnsi="Arial" w:cs="Arial"/>
          <w:b/>
          <w:spacing w:val="-10"/>
          <w:kern w:val="2"/>
          <w:szCs w:val="24"/>
        </w:rPr>
      </w:pPr>
      <w:r>
        <w:rPr>
          <w:rFonts w:cs="Arial" w:ascii="Arial" w:hAnsi="Arial"/>
          <w:b/>
          <w:spacing w:val="-10"/>
          <w:kern w:val="2"/>
          <w:szCs w:val="24"/>
        </w:rPr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  <w:b/>
          <w:sz w:val="24"/>
          <w:highlight w:val="yellow"/>
        </w:rPr>
        <w:t>{{ obra.construtora }}</w:t>
      </w:r>
    </w:p>
    <w:p>
      <w:pPr>
        <w:pStyle w:val="Normal"/>
        <w:spacing w:lineRule="atLeast" w:line="220" w:before="0" w:after="220"/>
        <w:jc w:val="center"/>
        <w:rPr>
          <w:rFonts w:ascii="Arial" w:hAnsi="Arial"/>
          <w:spacing w:val="-5"/>
          <w:sz w:val="24"/>
          <w:szCs w:val="24"/>
        </w:rPr>
      </w:pPr>
      <w:r>
        <w:rPr>
          <w:rFonts w:ascii="Arial" w:hAnsi="Arial"/>
          <w:spacing w:val="-5"/>
          <w:sz w:val="24"/>
          <w:szCs w:val="24"/>
        </w:rPr>
      </w:r>
    </w:p>
    <w:p>
      <w:pPr>
        <w:pStyle w:val="Normal"/>
        <w:spacing w:lineRule="atLeast" w:line="220" w:before="0" w:after="220"/>
        <w:jc w:val="center"/>
        <w:rPr>
          <w:rFonts w:ascii="Arial" w:hAnsi="Arial"/>
          <w:spacing w:val="-5"/>
          <w:sz w:val="24"/>
          <w:szCs w:val="24"/>
        </w:rPr>
      </w:pPr>
      <w:r>
        <w:rPr>
          <w:rFonts w:ascii="Arial" w:hAnsi="Arial"/>
          <w:spacing w:val="-5"/>
          <w:sz w:val="24"/>
          <w:szCs w:val="24"/>
        </w:rPr>
      </w:r>
    </w:p>
    <w:p>
      <w:pPr>
        <w:pStyle w:val="Normal"/>
        <w:spacing w:lineRule="atLeast" w:line="220" w:before="0" w:after="220"/>
        <w:jc w:val="center"/>
        <w:rPr>
          <w:rFonts w:ascii="Arial" w:hAnsi="Arial"/>
          <w:spacing w:val="-5"/>
          <w:sz w:val="24"/>
          <w:szCs w:val="24"/>
        </w:rPr>
      </w:pPr>
      <w:r>
        <w:rPr>
          <w:rFonts w:ascii="Arial" w:hAnsi="Arial"/>
          <w:spacing w:val="-5"/>
          <w:sz w:val="24"/>
          <w:szCs w:val="24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 w:cs="Arial"/>
          <w:b/>
          <w:spacing w:val="-5"/>
          <w:sz w:val="24"/>
          <w:szCs w:val="24"/>
        </w:rPr>
      </w:pPr>
      <w:r>
        <w:rPr>
          <w:rFonts w:cs="Arial" w:ascii="Arial" w:hAnsi="Arial"/>
          <w:b/>
          <w:spacing w:val="-5"/>
          <w:sz w:val="24"/>
          <w:szCs w:val="24"/>
        </w:rPr>
        <w:t xml:space="preserve">MEMORIAL DESCRITIVO E ESPECIFICAÇÕES TÉCNICAS DAS INSTALAÇÕES DE </w:t>
      </w:r>
      <w:r>
        <w:rPr>
          <w:rFonts w:cs="Arial" w:ascii="Arial" w:hAnsi="Arial"/>
          <w:b/>
          <w:spacing w:val="-5"/>
          <w:sz w:val="24"/>
          <w:szCs w:val="24"/>
          <w:highlight w:val="yellow"/>
        </w:rPr>
        <w:t>GÁS NATURAL</w:t>
      </w:r>
      <w:r>
        <w:rPr>
          <w:rFonts w:cs="Arial" w:ascii="Arial" w:hAnsi="Arial"/>
          <w:b/>
          <w:spacing w:val="-5"/>
          <w:sz w:val="24"/>
          <w:szCs w:val="24"/>
        </w:rPr>
        <w:t xml:space="preserve"> DO EDIFÍCIO </w:t>
      </w:r>
      <w:r>
        <w:rPr>
          <w:rFonts w:cs="Arial" w:ascii="Arial" w:hAnsi="Arial"/>
          <w:b/>
          <w:bCs/>
          <w:spacing w:val="-5"/>
          <w:sz w:val="24"/>
          <w:szCs w:val="24"/>
          <w:highlight w:val="yellow"/>
        </w:rPr>
        <w:t>{{ obra.nome }}</w:t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 w:cs="Arial"/>
          <w:b/>
          <w:spacing w:val="-10"/>
          <w:kern w:val="2"/>
          <w:sz w:val="24"/>
          <w:szCs w:val="24"/>
          <w:highlight w:val="yellow"/>
          <w:lang w:val="pt-BR"/>
        </w:rPr>
      </w:pPr>
      <w:r>
        <w:rPr>
          <w:rFonts w:cs="Arial" w:ascii="Arial" w:hAnsi="Arial"/>
          <w:b/>
          <w:bCs/>
          <w:spacing w:val="-10"/>
          <w:kern w:val="2"/>
          <w:sz w:val="24"/>
          <w:szCs w:val="24"/>
          <w:highlight w:val="yellow"/>
          <w:lang w:val="pt-BR"/>
        </w:rPr>
        <w:t>{{ obra.nome }}</w:t>
      </w:r>
    </w:p>
    <w:p>
      <w:pPr>
        <w:pStyle w:val="Normal"/>
        <w:jc w:val="center"/>
        <w:rPr>
          <w:rFonts w:ascii="Arial" w:hAnsi="Arial" w:cs="Arial"/>
          <w:spacing w:val="-5"/>
          <w:highlight w:val="yellow"/>
          <w:lang w:val="pt-BR"/>
        </w:rPr>
      </w:pPr>
      <w:r>
        <w:rPr>
          <w:rFonts w:cs="Arial" w:ascii="Arial" w:hAnsi="Arial"/>
          <w:spacing w:val="-5"/>
          <w:highlight w:val="yellow"/>
          <w:lang w:val="pt-BR"/>
        </w:rPr>
        <w:t>{{ obra.localizacao }}</w:t>
      </w:r>
    </w:p>
    <w:p>
      <w:pPr>
        <w:pStyle w:val="Normal"/>
        <w:jc w:val="center"/>
        <w:rPr>
          <w:rFonts w:ascii="Arial" w:hAnsi="Arial" w:cs="Arial"/>
          <w:spacing w:val="-5"/>
        </w:rPr>
      </w:pPr>
      <w:r>
        <w:rPr>
          <w:rFonts w:cs="Arial"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both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both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jc w:val="center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jc w:val="center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jc w:val="center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jc w:val="center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jc w:val="center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JOÃO PESSOA</w:t>
      </w:r>
    </w:p>
    <w:p>
      <w:pPr>
        <w:pStyle w:val="Normal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highlight w:val="yellow"/>
          <w:lang w:val="pt-BR"/>
        </w:rPr>
        <w:t>{{ documento.data_atual }}</w:t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jc w:val="center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SUMÁRIO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jc w:val="center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jc w:val="center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-1843" w:leader="none"/>
          <w:tab w:val="left" w:pos="0" w:leader="none"/>
          <w:tab w:val="left" w:pos="284" w:leader="none"/>
        </w:tabs>
        <w:spacing w:lineRule="auto" w:line="360"/>
        <w:ind w:hanging="426" w:left="426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INTRODUÇÃO…………………………………………………………………………………….…..3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-1843" w:leader="none"/>
          <w:tab w:val="left" w:pos="284" w:leader="none"/>
          <w:tab w:val="left" w:pos="851" w:leader="none"/>
        </w:tabs>
        <w:spacing w:lineRule="auto" w:line="360"/>
        <w:ind w:hanging="720" w:left="72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DADOS DA OBRA…………………………………………………………………………………....3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-1843" w:leader="none"/>
          <w:tab w:val="left" w:pos="284" w:leader="none"/>
        </w:tabs>
        <w:spacing w:lineRule="auto" w:line="360"/>
        <w:ind w:hanging="720" w:left="709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NORMAS E PRÁTICAS COMPLEMENTARES………………………..…………………….……3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4. GENERALIDADES........................................................................……………………….…...….4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5. FONTES DE ABASTECIMENTO........……………………………………..………………..………4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6. ESPECIFICAÇÕES DOS MATERIAIS……………………………………………………....………4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7. TIPOS DE CONEXÕES MECÂNICAS.…………………………………………………..……….…5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8. DIMENSIONAMENTO...…………………………………………………..……........................……7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9. DESCRIÇÃO DO DIMENSIONAMENTO…………………………………………..………….....…8</w:t>
      </w:r>
    </w:p>
    <w:p>
      <w:pPr>
        <w:pStyle w:val="Normal"/>
        <w:spacing w:lineRule="auto" w:line="360"/>
        <w:jc w:val="both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 xml:space="preserve">10. </w:t>
      </w:r>
      <w:r>
        <w:rPr>
          <w:rFonts w:cs="Arial" w:ascii="Arial" w:hAnsi="Arial"/>
          <w:b/>
          <w:bCs/>
          <w:lang w:val="pt-BR"/>
        </w:rPr>
        <w:t>CONDIÇÕES GERAIS DE MONTAGEM DA REDE INTERNA DE DISTR. DE GÁS.</w:t>
      </w:r>
      <w:r>
        <w:rPr>
          <w:rFonts w:ascii="Arial" w:hAnsi="Arial"/>
          <w:b/>
          <w:lang w:val="pt-BR"/>
        </w:rPr>
        <w:t>…….…8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11. IDENTIFICAÇÃO……………………………………………….................................……………10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12. ENSAIO DE ESTANQUEIDADE……………………………………………..........………………11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13. INSTALAÇÃO DE APARELHOS DE GÁS…………………………………………….…………12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14. MANUTENÇÃO……………………………………....................................………………………12</w:t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MEMORIAL DESCRITIVO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INSTALAÇÕES PREDIAIS DE GÁS NATURAL / GLP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cs="Arial" w:ascii="Arial" w:hAnsi="Arial"/>
          <w:b/>
          <w:bCs/>
          <w:sz w:val="24"/>
          <w:szCs w:val="24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cs="Arial" w:ascii="Arial" w:hAnsi="Arial"/>
          <w:b/>
          <w:bCs/>
          <w:sz w:val="24"/>
          <w:szCs w:val="24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cs="Arial" w:ascii="Arial" w:hAnsi="Arial"/>
          <w:b/>
          <w:bCs/>
          <w:sz w:val="24"/>
          <w:szCs w:val="24"/>
          <w:u w:val="single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INTRODUÇÃO 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b/>
          <w:bCs/>
        </w:rPr>
        <w:tab/>
      </w:r>
      <w:r>
        <w:rPr>
          <w:rFonts w:cs="Arial" w:ascii="Arial" w:hAnsi="Arial"/>
          <w:lang w:val="pt-BR"/>
        </w:rPr>
        <w:t>Este memorial tem como objetivo descrever os critérios básicos para a execução das instalações prediais de gás natural / GLP do empreendimento {</w:t>
      </w:r>
      <w:r>
        <w:rPr>
          <w:rFonts w:cs="Arial" w:ascii="Arial" w:hAnsi="Arial"/>
          <w:spacing w:val="-5"/>
          <w:highlight w:val="yellow"/>
        </w:rPr>
        <w:t>{ obra.nome }}</w:t>
      </w:r>
      <w:r>
        <w:rPr>
          <w:rFonts w:cs="Arial" w:ascii="Arial" w:hAnsi="Arial"/>
          <w:lang w:val="pt-BR"/>
        </w:rPr>
        <w:t xml:space="preserve">, buscando garantir a perfeita construção da obra por parte das empresas especializadas neste tipo serviço, desde o ponto de entrega definido até os de utilização indicados no projeto. 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O projeto da rede interna de gás do empreendimento foi feito de acordo com o enunciado pela Associação Brasileira de Normas Técnicas - ABNT e com a legislação pertinente, com o objetivo de obter a solução técnica e economicamente mais viável.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  <w:t xml:space="preserve">  </w:t>
      </w:r>
      <w:r>
        <w:rPr>
          <w:rFonts w:ascii="Arial" w:hAnsi="Arial"/>
          <w:b/>
          <w:bCs/>
          <w:lang w:val="pt-BR"/>
        </w:rPr>
        <w:t xml:space="preserve">DADOS DA OBRA </w:t>
      </w:r>
    </w:p>
    <w:p>
      <w:pPr>
        <w:pStyle w:val="Normal"/>
        <w:spacing w:lineRule="auto" w:line="360"/>
        <w:ind w:firstLine="708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z w:val="20"/>
          <w:szCs w:val="20"/>
          <w:highlight w:val="yellow"/>
          <w:u w:val="single"/>
        </w:rPr>
        <w:t>Construtora:</w:t>
      </w:r>
      <w:r>
        <w:rPr>
          <w:rFonts w:cs="Arial" w:ascii="Arial" w:hAnsi="Arial"/>
          <w:sz w:val="20"/>
          <w:szCs w:val="20"/>
          <w:highlight w:val="yellow"/>
        </w:rPr>
        <w:t xml:space="preserve"> </w:t>
      </w:r>
      <w:r>
        <w:rPr>
          <w:rFonts w:eastAsia="Arial" w:cs="Arial" w:ascii="Arial" w:hAnsi="Arial"/>
          <w:sz w:val="18"/>
          <w:szCs w:val="18"/>
          <w:highlight w:val="yellow"/>
        </w:rPr>
        <w:t>{{ obra.construtora }}</w:t>
      </w:r>
      <w:r>
        <w:rPr>
          <w:rFonts w:eastAsia="Arial" w:cs="Arial" w:ascii="Arial" w:hAnsi="Arial"/>
          <w:color w:val="000000"/>
          <w:sz w:val="22"/>
          <w:szCs w:val="22"/>
          <w:highlight w:val="yellow"/>
        </w:rPr>
        <w:t>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z w:val="20"/>
          <w:szCs w:val="20"/>
          <w:highlight w:val="yellow"/>
          <w:u w:val="single"/>
        </w:rPr>
        <w:t xml:space="preserve">Obra: </w:t>
      </w:r>
      <w:r>
        <w:rPr>
          <w:rFonts w:cs="Arial" w:ascii="Arial" w:hAnsi="Arial"/>
          <w:sz w:val="20"/>
          <w:szCs w:val="20"/>
          <w:highlight w:val="yellow"/>
        </w:rPr>
        <w:t>{{ obra.nome }};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z w:val="20"/>
          <w:szCs w:val="20"/>
          <w:highlight w:val="yellow"/>
          <w:u w:val="single"/>
        </w:rPr>
        <w:t>Localização:</w:t>
      </w:r>
      <w:r>
        <w:rPr>
          <w:rFonts w:cs="Arial" w:ascii="Calibri" w:hAnsi="Calibri"/>
          <w:spacing w:val="-5"/>
          <w:sz w:val="20"/>
          <w:szCs w:val="20"/>
          <w:highlight w:val="yellow"/>
        </w:rPr>
        <w:t xml:space="preserve">  </w:t>
      </w:r>
      <w:r>
        <w:rPr>
          <w:rFonts w:cs="Arial" w:ascii="Arial" w:hAnsi="Arial"/>
          <w:spacing w:val="-5"/>
          <w:sz w:val="20"/>
          <w:szCs w:val="20"/>
          <w:highlight w:val="yellow"/>
        </w:rPr>
        <w:t>{{ obra.localizacao }};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pacing w:val="-5"/>
          <w:sz w:val="20"/>
          <w:szCs w:val="20"/>
          <w:highlight w:val="yellow"/>
          <w:u w:val="single"/>
        </w:rPr>
        <w:t>Tipo de Edificação:</w:t>
      </w:r>
      <w:r>
        <w:rPr>
          <w:rFonts w:cs="Arial" w:ascii="Arial" w:hAnsi="Arial"/>
          <w:spacing w:val="-5"/>
          <w:sz w:val="20"/>
          <w:szCs w:val="20"/>
          <w:highlight w:val="yellow"/>
        </w:rPr>
        <w:t xml:space="preserve"> {{ obra.tipo_edificacao }};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pacing w:val="-5"/>
          <w:sz w:val="20"/>
          <w:szCs w:val="20"/>
          <w:highlight w:val="yellow"/>
          <w:u w:val="single"/>
        </w:rPr>
        <w:t>Tipologia:</w:t>
      </w:r>
      <w:r>
        <w:rPr>
          <w:rFonts w:cs="Arial" w:ascii="Arial" w:hAnsi="Arial"/>
          <w:spacing w:val="-5"/>
          <w:sz w:val="20"/>
          <w:szCs w:val="20"/>
          <w:highlight w:val="yellow"/>
        </w:rPr>
        <w:t xml:space="preserve"> {{ obra.tipologia }};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pacing w:val="-5"/>
          <w:sz w:val="20"/>
          <w:szCs w:val="20"/>
          <w:highlight w:val="yellow"/>
          <w:u w:val="single"/>
        </w:rPr>
        <w:t>Quantidade de apartamentos:</w:t>
      </w:r>
      <w:r>
        <w:rPr>
          <w:rFonts w:cs="Arial" w:ascii="Arial" w:hAnsi="Arial"/>
          <w:spacing w:val="-5"/>
          <w:sz w:val="20"/>
          <w:szCs w:val="20"/>
          <w:highlight w:val="yellow"/>
        </w:rPr>
        <w:t xml:space="preserve"> {{ obra.qtd_apartamentos }} Apartamentos;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pacing w:val="-5"/>
          <w:sz w:val="20"/>
          <w:szCs w:val="20"/>
          <w:highlight w:val="yellow"/>
          <w:u w:val="single"/>
        </w:rPr>
        <w:t>Quantidade de lojas:</w:t>
      </w:r>
      <w:r>
        <w:rPr>
          <w:rFonts w:cs="Arial" w:ascii="Arial" w:hAnsi="Arial"/>
          <w:spacing w:val="-5"/>
          <w:sz w:val="20"/>
          <w:szCs w:val="20"/>
          <w:highlight w:val="yellow"/>
        </w:rPr>
        <w:t xml:space="preserve"> {{ obra.qtd_lojas }} Lojas;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pacing w:val="-5"/>
          <w:sz w:val="20"/>
          <w:szCs w:val="20"/>
          <w:highlight w:val="yellow"/>
          <w:u w:val="single"/>
        </w:rPr>
        <w:t>Quantidade de restaurantes:</w:t>
      </w:r>
      <w:r>
        <w:rPr>
          <w:rFonts w:cs="Arial" w:ascii="Arial" w:hAnsi="Arial"/>
          <w:spacing w:val="-5"/>
          <w:sz w:val="20"/>
          <w:szCs w:val="20"/>
          <w:highlight w:val="yellow"/>
        </w:rPr>
        <w:t xml:space="preserve"> {{ obra.qtd_restaurantes }} Restaurantes;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pacing w:val="-5"/>
          <w:sz w:val="20"/>
          <w:szCs w:val="20"/>
          <w:highlight w:val="yellow"/>
          <w:u w:val="single"/>
        </w:rPr>
        <w:t>Gás natural.</w:t>
      </w:r>
    </w:p>
    <w:p>
      <w:pPr>
        <w:pStyle w:val="BodyTextIndent3"/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ind w:left="72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z w:val="20"/>
          <w:szCs w:val="20"/>
          <w:highlight w:val="yellow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/>
          <w:b/>
          <w:bCs/>
          <w:lang w:val="pt-BR"/>
        </w:rPr>
        <w:t xml:space="preserve">  </w:t>
      </w:r>
      <w:r>
        <w:rPr>
          <w:rFonts w:ascii="Arial" w:hAnsi="Arial"/>
          <w:b/>
          <w:bCs/>
          <w:lang w:val="pt-BR"/>
        </w:rPr>
        <w:t xml:space="preserve">NORMAS E PRÁTICAS COMPLEMENTARES </w:t>
      </w:r>
    </w:p>
    <w:p>
      <w:pPr>
        <w:pStyle w:val="Normal"/>
        <w:ind w:left="720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ind w:left="720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hanging="0" w:left="720"/>
        <w:jc w:val="both"/>
        <w:outlineLvl w:val="0"/>
        <w:rPr>
          <w:rFonts w:ascii="Arial" w:hAnsi="Arial" w:cs="Arial"/>
          <w:b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  <w:t xml:space="preserve">ABNT / NBR 15526 – </w:t>
      </w:r>
      <w:r>
        <w:rPr>
          <w:rFonts w:cs="Arial" w:ascii="Arial" w:hAnsi="Arial"/>
          <w:bCs/>
          <w:spacing w:val="-10"/>
          <w:kern w:val="2"/>
          <w:lang w:val="pt-BR"/>
        </w:rPr>
        <w:t>Redes de distribuição interna para gases combustíveis em instalações residenciais e comerciais – Projeto e execução;</w:t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hanging="0" w:left="720"/>
        <w:jc w:val="both"/>
        <w:outlineLvl w:val="0"/>
        <w:rPr>
          <w:rFonts w:ascii="Arial" w:hAnsi="Arial" w:cs="Arial"/>
          <w:b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  <w:t xml:space="preserve">ABNT / NBR 13103 – </w:t>
      </w:r>
      <w:r>
        <w:rPr>
          <w:rFonts w:cs="Arial" w:ascii="Arial" w:hAnsi="Arial"/>
          <w:bCs/>
          <w:spacing w:val="-10"/>
          <w:kern w:val="2"/>
          <w:lang w:val="pt-BR"/>
        </w:rPr>
        <w:t>Instalação de aparelhos a gás para uso residencial – Requisitos;</w:t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hanging="0" w:left="720"/>
        <w:jc w:val="both"/>
        <w:outlineLvl w:val="0"/>
        <w:rPr>
          <w:rFonts w:ascii="Arial" w:hAnsi="Arial" w:cs="Arial"/>
          <w:b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  <w:t xml:space="preserve">ABNT / NBR 13932 – </w:t>
      </w:r>
      <w:r>
        <w:rPr>
          <w:rFonts w:cs="Arial" w:ascii="Arial" w:hAnsi="Arial"/>
          <w:bCs/>
          <w:spacing w:val="-10"/>
          <w:kern w:val="2"/>
          <w:lang w:val="pt-BR"/>
        </w:rPr>
        <w:t>Instalações internas de gás liquefeito de petróleo (GLP) - Projeto e execução.</w:t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hanging="0" w:left="720"/>
        <w:outlineLvl w:val="0"/>
        <w:rPr>
          <w:rFonts w:ascii="Arial" w:hAnsi="Arial" w:cs="Arial"/>
          <w:b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</w:r>
    </w:p>
    <w:p>
      <w:pPr>
        <w:pStyle w:val="Normal"/>
        <w:keepNext w:val="true"/>
        <w:keepLines/>
        <w:numPr>
          <w:ilvl w:val="0"/>
          <w:numId w:val="2"/>
        </w:numPr>
        <w:spacing w:lineRule="atLeast" w:line="220" w:before="0" w:after="220"/>
        <w:outlineLvl w:val="0"/>
        <w:rPr>
          <w:rFonts w:ascii="Arial" w:hAnsi="Arial" w:cs="Arial"/>
          <w:b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  <w:t xml:space="preserve">GENERALIDADES  </w:t>
      </w:r>
    </w:p>
    <w:p>
      <w:pPr>
        <w:pStyle w:val="Normal"/>
        <w:keepNext w:val="true"/>
        <w:keepLines/>
        <w:numPr>
          <w:ilvl w:val="0"/>
          <w:numId w:val="0"/>
        </w:numPr>
        <w:spacing w:before="0" w:after="220"/>
        <w:ind w:firstLine="708" w:left="0"/>
        <w:jc w:val="both"/>
        <w:outlineLvl w:val="0"/>
        <w:rPr>
          <w:rFonts w:ascii="Arial" w:hAnsi="Arial" w:cs="Arial"/>
          <w:bCs/>
          <w:spacing w:val="-10"/>
          <w:kern w:val="2"/>
          <w:lang w:val="pt-BR"/>
        </w:rPr>
      </w:pPr>
      <w:r>
        <w:rPr>
          <w:rFonts w:cs="Arial" w:ascii="Arial" w:hAnsi="Arial"/>
          <w:bCs/>
          <w:spacing w:val="-10"/>
          <w:kern w:val="2"/>
          <w:lang w:val="pt-BR"/>
        </w:rPr>
        <w:t xml:space="preserve">Os projetos foram elaborados considerando as normas acima relacionadas, entretanto não exime a construtora / instaladora responsável pela execução dos serviços de verificar, na época da contratação, as ocorrências de outras novas publicações sobre o tema ou alteração das existentes. </w:t>
      </w:r>
    </w:p>
    <w:p>
      <w:pPr>
        <w:pStyle w:val="Normal"/>
        <w:keepNext w:val="true"/>
        <w:keepLines/>
        <w:numPr>
          <w:ilvl w:val="0"/>
          <w:numId w:val="0"/>
        </w:numPr>
        <w:spacing w:before="0" w:after="220"/>
        <w:ind w:firstLine="708" w:left="0"/>
        <w:jc w:val="both"/>
        <w:outlineLvl w:val="0"/>
        <w:rPr>
          <w:rFonts w:ascii="Arial" w:hAnsi="Arial" w:cs="Arial"/>
          <w:bCs/>
          <w:spacing w:val="-10"/>
          <w:kern w:val="2"/>
          <w:lang w:val="pt-BR"/>
        </w:rPr>
      </w:pPr>
      <w:r>
        <w:rPr>
          <w:rFonts w:cs="Arial" w:ascii="Arial" w:hAnsi="Arial"/>
          <w:bCs/>
          <w:spacing w:val="-10"/>
          <w:kern w:val="2"/>
          <w:lang w:val="pt-BR"/>
        </w:rPr>
        <w:t>Somente com a aprovação do projetista e da fiscalização poderão ser aceitas outras normas de reconhecida autoridade e que possam garantir a qualidade e segurança desejada. A instaladora deverá informar, em sua proposta de serviços, quais as normas técnicas aplicáveis a cada produto. Para efeito de aprovação será sempre dada prioridade a materiais e / ou serviços que apresentem certificado de homologação das normas ISO9000.</w:t>
      </w:r>
    </w:p>
    <w:p>
      <w:pPr>
        <w:pStyle w:val="Normal"/>
        <w:keepNext w:val="true"/>
        <w:keepLines/>
        <w:numPr>
          <w:ilvl w:val="0"/>
          <w:numId w:val="0"/>
        </w:numPr>
        <w:spacing w:before="0" w:after="220"/>
        <w:ind w:firstLine="708" w:left="0"/>
        <w:jc w:val="both"/>
        <w:outlineLvl w:val="0"/>
        <w:rPr>
          <w:rFonts w:ascii="Arial" w:hAnsi="Arial" w:cs="Arial"/>
          <w:bCs/>
          <w:spacing w:val="-10"/>
          <w:kern w:val="2"/>
          <w:lang w:val="pt-BR"/>
        </w:rPr>
      </w:pPr>
      <w:r>
        <w:rPr>
          <w:rFonts w:cs="Arial" w:ascii="Arial" w:hAnsi="Arial"/>
          <w:bCs/>
          <w:spacing w:val="-10"/>
          <w:kern w:val="2"/>
          <w:lang w:val="pt-BR"/>
        </w:rPr>
        <w:t xml:space="preserve">Além disso, as instruções do projetista referentes aos reguladores de pressão e aos dispositivos de segurança devem ser respeitadas. </w:t>
      </w:r>
    </w:p>
    <w:p>
      <w:pPr>
        <w:pStyle w:val="Normal"/>
        <w:keepNext w:val="true"/>
        <w:keepLines/>
        <w:numPr>
          <w:ilvl w:val="0"/>
          <w:numId w:val="2"/>
        </w:numPr>
        <w:spacing w:before="0" w:after="220"/>
        <w:jc w:val="both"/>
        <w:outlineLvl w:val="0"/>
        <w:rPr>
          <w:rFonts w:ascii="Arial" w:hAnsi="Arial" w:cs="Arial"/>
          <w:b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  <w:t xml:space="preserve">FONTES DE ABASTECIMENTO </w:t>
      </w:r>
    </w:p>
    <w:p>
      <w:pPr>
        <w:pStyle w:val="Normal"/>
        <w:keepNext w:val="true"/>
        <w:keepLines/>
        <w:numPr>
          <w:ilvl w:val="0"/>
          <w:numId w:val="0"/>
        </w:numPr>
        <w:spacing w:before="0" w:after="220"/>
        <w:ind w:firstLine="348" w:left="360"/>
        <w:jc w:val="both"/>
        <w:outlineLvl w:val="0"/>
        <w:rPr>
          <w:rFonts w:ascii="Arial" w:hAnsi="Arial" w:cs="Arial"/>
          <w:b/>
          <w:i/>
          <w:i/>
          <w:iCs/>
          <w:color w:val="FF0000"/>
          <w:spacing w:val="-10"/>
          <w:kern w:val="2"/>
        </w:rPr>
      </w:pPr>
      <w:r>
        <w:rPr>
          <w:rFonts w:cs="Arial" w:ascii="Arial" w:hAnsi="Arial"/>
          <w:bCs/>
          <w:spacing w:val="-10"/>
          <w:kern w:val="2"/>
          <w:lang w:val="pt-BR"/>
        </w:rPr>
        <w:t xml:space="preserve">O empreendimento será abastecido por gás natural pela distribuidora local: PB Gás. O CRM encontra-se locado no pavimento </w:t>
      </w:r>
      <w:r>
        <w:rPr>
          <w:rFonts w:cs="Arial" w:ascii="Arial" w:hAnsi="Arial"/>
          <w:bCs/>
          <w:spacing w:val="-10"/>
          <w:kern w:val="2"/>
          <w:highlight w:val="yellow"/>
          <w:lang w:val="pt-BR"/>
        </w:rPr>
        <w:t>{{ crm.pavimento }}</w:t>
      </w:r>
      <w:r>
        <w:rPr>
          <w:rFonts w:cs="Arial" w:ascii="Arial" w:hAnsi="Arial"/>
          <w:bCs/>
          <w:spacing w:val="-10"/>
          <w:kern w:val="2"/>
          <w:lang w:val="pt-BR"/>
        </w:rPr>
        <w:t xml:space="preserve"> a partir do qual inicia a rede interna de distribuição do edifício.</w:t>
      </w:r>
    </w:p>
    <w:p>
      <w:pPr>
        <w:pStyle w:val="Normal"/>
        <w:keepNext w:val="true"/>
        <w:keepLines/>
        <w:numPr>
          <w:ilvl w:val="0"/>
          <w:numId w:val="2"/>
        </w:numPr>
        <w:spacing w:lineRule="atLeast" w:line="220" w:before="0" w:after="220"/>
        <w:outlineLvl w:val="0"/>
        <w:rPr>
          <w:rFonts w:ascii="Arial" w:hAnsi="Arial" w:cs="Arial"/>
          <w:b/>
          <w:color w:val="FF0000"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  <w:t xml:space="preserve">ESPECIFICAÇÃO DOS MATERIAIS </w:t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hanging="0" w:left="720"/>
        <w:outlineLvl w:val="0"/>
        <w:rPr>
          <w:rFonts w:ascii="Arial" w:hAnsi="Arial" w:cs="Arial"/>
          <w:b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  <w:t>Tubulações multicamadas:</w:t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hanging="0" w:left="720"/>
        <w:jc w:val="both"/>
        <w:outlineLvl w:val="0"/>
        <w:rPr>
          <w:rFonts w:ascii="Arial" w:hAnsi="Arial" w:cs="Arial"/>
          <w:bCs/>
          <w:spacing w:val="-10"/>
          <w:kern w:val="2"/>
          <w:lang w:val="pt-BR"/>
        </w:rPr>
      </w:pPr>
      <w:r>
        <w:rPr>
          <w:rFonts w:cs="Arial" w:ascii="Arial" w:hAnsi="Arial"/>
          <w:bCs/>
          <w:spacing w:val="-10"/>
          <w:kern w:val="2"/>
          <w:lang w:val="pt-BR"/>
        </w:rPr>
        <w:t xml:space="preserve">- Observar as certificações do fabricante; </w:t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hanging="0" w:left="720"/>
        <w:jc w:val="both"/>
        <w:outlineLvl w:val="0"/>
        <w:rPr>
          <w:rFonts w:ascii="Arial" w:hAnsi="Arial" w:cs="Arial"/>
          <w:bCs/>
          <w:color w:val="FF0000"/>
          <w:spacing w:val="-10"/>
          <w:kern w:val="2"/>
          <w:lang w:val="pt-BR"/>
        </w:rPr>
      </w:pPr>
      <w:r>
        <w:rPr>
          <w:rFonts w:cs="Arial" w:ascii="Arial" w:hAnsi="Arial"/>
          <w:bCs/>
          <w:spacing w:val="-10"/>
          <w:kern w:val="2"/>
          <w:lang w:val="pt-BR"/>
        </w:rPr>
        <w:t>- Conforme orientação do fabricante, para curvas de até 90º o joelho pode ser dispensado e a tubulação pode ser curvada com a mola curva tubo interna para diâmetros de 16, 20 e 26mm, mola de curva externa para diâmetros de 16 e 20mm e máquina de curva tubos para diâmetros de 32mm.</w:t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hanging="0" w:left="720"/>
        <w:jc w:val="both"/>
        <w:outlineLvl w:val="0"/>
        <w:rPr>
          <w:rFonts w:ascii="Arial" w:hAnsi="Arial" w:cs="Arial"/>
          <w:bCs/>
          <w:color w:val="FF0000"/>
          <w:spacing w:val="-10"/>
          <w:kern w:val="2"/>
          <w:lang w:val="pt-BR"/>
        </w:rPr>
      </w:pPr>
      <w:r>
        <w:rPr>
          <w:rFonts w:cs="Arial" w:ascii="Arial" w:hAnsi="Arial"/>
          <w:lang w:val="pt-BR"/>
        </w:rPr>
        <w:t xml:space="preserve">- A execução da rede deverá ser feita por empresa certificada e treinada para instalação de tubos multicamadas pelo processo de prensagem. 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 xml:space="preserve">- A tubulação não deve ser embutida na laje junto a ferragem devido aos esforços internos gerados. 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A composição das camadas dos tubos deve ser conforme a Tabela abaixo: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center"/>
        <w:rPr>
          <w:rFonts w:ascii="Arial" w:hAnsi="Arial" w:cs="Arial"/>
          <w:lang w:val="pt-BR"/>
        </w:rPr>
      </w:pPr>
      <w:r>
        <w:rPr/>
        <w:drawing>
          <wp:inline distT="0" distB="0" distL="0" distR="0">
            <wp:extent cx="2887345" cy="1430655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O tubo multicamadas deve resistir às condições de pressão e temperatura às quais será submetido. Para tanto, em percursos muito longos (geralmente do CRM ou abrigo de gás até o Shaft) é necessária a execução da lira para evitar as consequências das dilatações térmicas e possíveis vazamentos de gás. Isso pode ser exemplificado na Imagem abaxo.</w: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Imagem 01 – Cálculo da lira</w:t>
      </w:r>
    </w:p>
    <w:p>
      <w:pPr>
        <w:pStyle w:val="Normal"/>
        <w:ind w:firstLine="708"/>
        <w:jc w:val="center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lang w:val="pt-BR"/>
        </w:rPr>
      </w:pPr>
      <w:r>
        <w:rPr/>
        <w:drawing>
          <wp:inline distT="0" distB="0" distL="0" distR="0">
            <wp:extent cx="3208655" cy="3513455"/>
            <wp:effectExtent l="0" t="0" r="0" b="0"/>
            <wp:docPr id="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08"/>
        <w:jc w:val="center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 xml:space="preserve">TIPOS DE CONEXÕES MECÂNICAS </w: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As conexões mecânicas devem ser dos seguintes tipos:</w: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- Conexão mecânica de compressão do tipo anel deslizante – sliding sleve fitting.</w:t>
      </w:r>
    </w:p>
    <w:p>
      <w:pPr>
        <w:pStyle w:val="Normal"/>
        <w:ind w:firstLine="708"/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As conexões devem cumprir os requisitos de desempenho da Norma ISSO 10838-1. Observar a Imagem 02. </w: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lang w:val="pt-BR"/>
        </w:rPr>
      </w:pPr>
      <w:r>
        <w:rPr/>
        <w:drawing>
          <wp:inline distT="0" distB="0" distL="0" distR="0">
            <wp:extent cx="4622800" cy="2023745"/>
            <wp:effectExtent l="0" t="0" r="0" b="0"/>
            <wp:docPr id="3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Imagem 02 – Conexão mecânica de compressão tipo anel deslizante</w:t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Fonte: ABNT CB-09 documento técnico ABNT Março 2014</w:t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- Conexão mecânica de compressão tipo radial por rosca bicônica.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As conexões devem cumprir os requisitos de desempenho da Norma ISSO 10838-1 e possuir pelo menos um anel de vedação. Observar a Imagem 03. </w: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lang w:val="pt-BR"/>
        </w:rPr>
      </w:pPr>
      <w:r>
        <w:rPr/>
        <w:drawing>
          <wp:inline distT="0" distB="0" distL="0" distR="0">
            <wp:extent cx="4826000" cy="1887855"/>
            <wp:effectExtent l="0" t="0" r="0" b="0"/>
            <wp:docPr id="4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Imagem 03 – Conexão mecânica de compressão tipo radial por rosca bicônica</w:t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Fonte: ABNT CB-09 documento técnico ABNT Março 2014</w:t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 xml:space="preserve">- Conexão mecânica de compressão tipo radial – crimpagem pressfitting. </w: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As conexões devem cumprir os requisitos de desempenho da Norma ISSO 10838-1 e possuir pelo menos um anel de vedação. Observar a Imagem 04.</w: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lang w:val="pt-BR"/>
        </w:rPr>
      </w:pPr>
      <w:r>
        <w:rPr/>
        <w:drawing>
          <wp:inline distT="0" distB="0" distL="0" distR="0">
            <wp:extent cx="4885055" cy="2328545"/>
            <wp:effectExtent l="0" t="0" r="0" b="0"/>
            <wp:docPr id="5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5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 xml:space="preserve">Imagem 04 – Conexão mecânica de compressão tipo radial </w:t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Fonte: ABNT CB-09 documento técnico ABNT Março 2014</w:t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Informações a serem solicitadas ao fabricante:</w:t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Devem ser disponibilizadas as seguintes informações pelo fabricante:</w:t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Sobre o tubo multicamada: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Raio de dobra – curvatura mínimo do tubo; 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Requisitos para manuseio, transporte, armazenamento; 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As condições e as restrições para exposição dos tubos contra intempéries e raios ultra violeta -UV;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Identificação do sistema ao qual o tubo pertence, características e os dimensionais.</w:t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Sobre as ferramentas: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Ferramental a ser utilizado para a montagem do sistema multicamada, bem como o procedimento para realizá-la;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Indicar caso seja necessária a utilização de ferramental para realizar a dobra (curvatura) do tubo multicamada, em função do dimensional do tubo; 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Procedimentos de manutenção, calibração, controle ou regulagem; 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Requisitos para manuseio, armazenamento e transporte; 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Sobre as conexões:</w:t>
      </w:r>
    </w:p>
    <w:p>
      <w:pPr>
        <w:pStyle w:val="Normal"/>
        <w:numPr>
          <w:ilvl w:val="0"/>
          <w:numId w:val="6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Requisitos para manuseio, transporte, armazenamento e exposição das conexões;</w:t>
      </w:r>
    </w:p>
    <w:p>
      <w:pPr>
        <w:pStyle w:val="Normal"/>
        <w:numPr>
          <w:ilvl w:val="0"/>
          <w:numId w:val="6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Condições e restrições contra intempéries e raios ultra violeta – UV;</w:t>
      </w:r>
    </w:p>
    <w:p>
      <w:pPr>
        <w:pStyle w:val="Normal"/>
        <w:numPr>
          <w:ilvl w:val="0"/>
          <w:numId w:val="6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Informação sobre a possibilidade de reuso, reaproveitamento ou remontagem de conexões já acopladas a um tubo multicamada.</w:t>
      </w:r>
    </w:p>
    <w:p>
      <w:pPr>
        <w:pStyle w:val="Normal"/>
        <w:ind w:left="142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DIMENSIONAMENTO</w:t>
      </w:r>
    </w:p>
    <w:p>
      <w:pPr>
        <w:pStyle w:val="Normal"/>
        <w:ind w:left="720"/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O dimensionamento da tubulação de gás foi feito em função da vazão estimada necessária para suprir as unidades habitacionais e da perda de carga máxima admitida para permitir um perfeito funcionamento dos aparelhos de utilização doméstica.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 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Foram adotados os seguintes dados para efeito de cálulo: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Gás Natural (GN): Poder calorífico inferior de 9.230 Kcal/m³ (20ºC e 1 atm) e densidade relatica do ar de 0,6.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As instalações foram dimensionadas para operarem com um desses dois sistemas acima, conforme a existência ou não de rede encada de gás nas proximidades. 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Os pontos de utilização foram informados pelo cliente e estão demarcados no projeto de arquitetura, podendo ser dos tipos abaixo: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- Fogão 04 bocas: 7.000 Kcal/h </w:t>
      </w:r>
      <w:r>
        <w:rPr>
          <w:rFonts w:cs="Arial" w:ascii="Arial" w:hAnsi="Arial"/>
          <w:highlight w:val="yellow"/>
          <w:lang w:val="pt-BR"/>
        </w:rPr>
        <w:t>({{ dimensionamento.qtd_fogao }}</w:t>
      </w:r>
      <w:r>
        <w:rPr>
          <w:rFonts w:cs="Arial" w:ascii="Arial" w:hAnsi="Arial"/>
          <w:lang w:val="pt-BR"/>
        </w:rPr>
        <w:t xml:space="preserve"> unidades)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- Aquecedor de passagem a gás: 14.000 Kcal/h </w:t>
      </w:r>
      <w:r>
        <w:rPr>
          <w:rFonts w:cs="Arial" w:ascii="Arial" w:hAnsi="Arial"/>
          <w:highlight w:val="yellow"/>
          <w:lang w:val="pt-BR"/>
        </w:rPr>
        <w:t>({{ dimensionamento.qtd_aquecedor }}</w:t>
      </w:r>
      <w:r>
        <w:rPr>
          <w:rFonts w:cs="Arial" w:ascii="Arial" w:hAnsi="Arial"/>
          <w:lang w:val="pt-BR"/>
        </w:rPr>
        <w:t xml:space="preserve"> unidades)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- Churrasqueira 04 bocas: 7.000 Kcal/h </w:t>
      </w:r>
      <w:r>
        <w:rPr>
          <w:rFonts w:cs="Arial" w:ascii="Arial" w:hAnsi="Arial"/>
          <w:highlight w:val="yellow"/>
          <w:lang w:val="pt-BR"/>
        </w:rPr>
        <w:t>({{ dimensionamento.qtd_churrasqueira }}</w:t>
      </w:r>
      <w:r>
        <w:rPr>
          <w:rFonts w:cs="Arial" w:ascii="Arial" w:hAnsi="Arial"/>
          <w:lang w:val="pt-BR"/>
        </w:rPr>
        <w:t xml:space="preserve"> unidades)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Totalizando </w:t>
      </w:r>
      <w:r>
        <w:rPr>
          <w:rFonts w:cs="Arial" w:ascii="Arial" w:hAnsi="Arial"/>
          <w:highlight w:val="yellow"/>
          <w:lang w:val="pt-BR"/>
        </w:rPr>
        <w:t>{{ soma.qtd_pontos_de_utilizacao }}</w:t>
      </w:r>
      <w:r>
        <w:rPr>
          <w:rFonts w:cs="Arial" w:ascii="Arial" w:hAnsi="Arial"/>
          <w:lang w:val="pt-BR"/>
        </w:rPr>
        <w:t xml:space="preserve"> pontos de utilização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Foi considerada a pressão de entrada da rede primária de 1,00 kgf/cm² ou 100Kpa, baseado no item 6.2 da NBR 15526.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As pressões de operação da rede de distribuição interna de gás são: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Rede Primária – Saída: 1,00 kgf/cm² ou 100 Kpa.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Rede Secundária – Entrada: 1,00 kgf/cm² ou 100 Kpa, Saída: 0,075 kgf/cm² ou 7,5 Kpa.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Rede Terciária – Entrada: 0,075 kgf/cm² ou 7,5 Kpa, Saída: 0,022 kgf/cm² ou 2,2 Kpa.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As vazões mínimas para os reguladores de pressão são: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Regulador de 2º Estágio – Shafts: Qmín = 15m³/h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Regulador de 3º Estágio – Fogão / Churrasqueira (GN): Qmín = 2m³/h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Regulador de 3º Estágio – Aquecedor de passagem (GN): Qmín = 6m³/h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numPr>
          <w:ilvl w:val="0"/>
          <w:numId w:val="2"/>
        </w:numPr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 xml:space="preserve">DESCRIÇÃO DO DIMENSIONAMENTO 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lang w:val="pt-BR"/>
        </w:rPr>
        <w:t xml:space="preserve">O ramal interno primário (do CRM PB Gás ou abrigo de GLP até o shaft) terá diâmetro de </w:t>
      </w:r>
      <w:r>
        <w:rPr>
          <w:rFonts w:cs="Arial" w:ascii="Arial" w:hAnsi="Arial"/>
          <w:highlight w:val="yellow"/>
          <w:lang w:val="pt-BR"/>
        </w:rPr>
        <w:t>{{ ramal.primario_diametro }}</w:t>
      </w:r>
      <w:r>
        <w:rPr>
          <w:rFonts w:cs="Arial" w:ascii="Arial" w:hAnsi="Arial"/>
          <w:lang w:val="pt-BR"/>
        </w:rPr>
        <w:t xml:space="preserve">mm no material </w:t>
      </w:r>
      <w:r>
        <w:rPr>
          <w:rFonts w:cs="Arial" w:ascii="Arial" w:hAnsi="Arial"/>
          <w:highlight w:val="yellow"/>
          <w:lang w:val="pt-BR"/>
        </w:rPr>
        <w:t xml:space="preserve">{{ ramal.primario_material }} </w:t>
      </w:r>
      <w:r>
        <w:rPr>
          <w:rFonts w:cs="Arial" w:ascii="Arial" w:hAnsi="Arial"/>
          <w:lang w:val="pt-BR"/>
        </w:rPr>
        <w:t xml:space="preserve">e percorrerá o </w:t>
      </w:r>
      <w:r>
        <w:rPr>
          <w:rFonts w:cs="Arial" w:ascii="Arial" w:hAnsi="Arial"/>
          <w:highlight w:val="yellow"/>
          <w:lang w:val="pt-BR"/>
        </w:rPr>
        <w:t>{{ teto_ou_piso }}</w:t>
      </w:r>
      <w:r>
        <w:rPr>
          <w:rFonts w:cs="Arial" w:ascii="Arial" w:hAnsi="Arial"/>
          <w:lang w:val="pt-BR"/>
        </w:rPr>
        <w:t xml:space="preserve"> do </w:t>
      </w:r>
      <w:r>
        <w:rPr>
          <w:rFonts w:cs="Arial" w:ascii="Arial" w:hAnsi="Arial"/>
          <w:highlight w:val="yellow"/>
          <w:lang w:val="pt-BR"/>
        </w:rPr>
        <w:t>{{ ramal.primario_pavimento }}</w:t>
      </w:r>
      <w:r>
        <w:rPr>
          <w:rFonts w:cs="Arial" w:ascii="Arial" w:hAnsi="Arial"/>
          <w:color w:themeColor="text1" w:val="000000"/>
          <w:lang w:val="pt-BR"/>
        </w:rPr>
        <w:t xml:space="preserve">. </w:t>
      </w:r>
      <w:r>
        <w:rPr>
          <w:rFonts w:cs="Arial" w:ascii="Arial" w:hAnsi="Arial"/>
          <w:color w:val="000000"/>
          <w:lang w:val="pt-BR"/>
        </w:rPr>
        <w:t xml:space="preserve">Antes de encontrar o shaft de gás, deverá ser colocada a válvula de esfera de </w:t>
      </w:r>
      <w:r>
        <w:rPr>
          <w:rFonts w:cs="Arial" w:ascii="Arial" w:hAnsi="Arial"/>
          <w:color w:val="000000"/>
          <w:highlight w:val="yellow"/>
          <w:lang w:val="pt-BR"/>
        </w:rPr>
        <w:t xml:space="preserve">{{ </w:t>
      </w:r>
      <w:r>
        <w:rPr>
          <w:rFonts w:cs="Arial" w:ascii="Arial" w:hAnsi="Arial"/>
          <w:color w:val="000000"/>
          <w:highlight w:val="yellow"/>
          <w:lang w:val="pt-BR"/>
        </w:rPr>
        <w:t>valvula</w:t>
      </w:r>
      <w:r>
        <w:rPr>
          <w:rFonts w:cs="Arial" w:ascii="Arial" w:hAnsi="Arial"/>
          <w:color w:val="000000"/>
          <w:highlight w:val="yellow"/>
          <w:lang w:val="pt-BR"/>
        </w:rPr>
        <w:t>.esfera_diametro }}’’</w:t>
      </w:r>
      <w:r>
        <w:rPr>
          <w:rFonts w:cs="Arial" w:ascii="Arial" w:hAnsi="Arial"/>
          <w:color w:val="000000"/>
          <w:lang w:val="pt-BR"/>
        </w:rPr>
        <w:t xml:space="preserve"> para possibilitar manutenções da rede interna. Vale ressaltar que, em casos de parte do ramal interno primário estar enterrado, o material utilizado será o Polietileno PE-80 conforme consta nos projetos.</w:t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A prumada que sobe dentro do shaft de gás terá diâmetro variável conforme o Corte Esquemático prancha </w:t>
      </w:r>
      <w:r>
        <w:rPr>
          <w:rFonts w:cs="Arial" w:ascii="Arial" w:hAnsi="Arial"/>
          <w:highlight w:val="yellow"/>
          <w:lang w:val="pt-BR"/>
        </w:rPr>
        <w:t>({{ numero.prancha }})</w:t>
      </w:r>
      <w:r>
        <w:rPr>
          <w:rFonts w:cs="Arial" w:ascii="Arial" w:hAnsi="Arial"/>
          <w:lang w:val="pt-BR"/>
        </w:rPr>
        <w:t>. Cada shaft possui um regulador de pressão de 2º estágio com OPSO e os medidores das unidades correspondentes, conforme especificações acima.</w:t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Após os medidores, a tubulação segue embutida no contrapiso da circulação do pavimento, até a ramificação dos pontos de utilização onde será necessário instalar um regulador de pressão de 3º estágio – estabilizador, conforme especificado.</w:t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Não foi projetada passagem de tubulação em forro ou em espaços que possibilitem o acúmulo de gás eventualmente vazado;</w:t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Os pontos de utilização deverão apresentar ventilação permanente, conforme recomendação da NBR 13103;</w:t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As caixas dos reguladores de 3º estágio deverão estar sem obstruções, ou seja, de fácil acesso caso necessário seu acionamento em emergências. Recomenda-se inserir essa informação no manual do usuário;</w:t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Para o processo de curvatura e prensagem da tubulação seguir as recomendações do fabricante.</w:t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 xml:space="preserve">CONDIÇÕES GERAIS DE MONTAGEM DA REDE INTERNA DE DISTRIBUIÇÃO DE GÁS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A tubulação deve ser instalada em locais nos quais, caso venha a ocorrer vazamento de gás, não haja possibilidade de acúmulo.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rede de distribuição pode ser embutida em paredes ou muros, aparente (se instalada em elementos adequados) e enterrada.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É proibida a instalação da tubulação da rede interna de distribuição em: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Dutos em atividade – ventilação de ar condicionado, produtos residuais, exaustão, chaminés, etc;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Cisterna e reservatório de água;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Espaços fechados que possibilitem o acúmulo de gás eventualmente vazado, exemplo de forros e interior de blocos ou que dificultem inspeção e manutenção;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Poço vazio ou elevador;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Depósito de combustível inflamável;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Elementos estruturais – lajes, pilares e vigas;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Escadas enclausuradas, inclusive dutos de ventilação da antecâmara.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A tubulação da rede de distribuição interna, com relação ao sistema de proteção de descargas atmosféricas – SPDA, deve ser conforme a NBR 5419. É proibida a utilização de tubulações de gás como condutor ou aterramento elétrico.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tubulação da rede de distribuição interna aparente deve manter os afastamentos mínimos conforme tabela a seguir.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center"/>
        <w:rPr>
          <w:rFonts w:ascii="Arial" w:hAnsi="Arial" w:cs="Arial"/>
          <w:color w:val="000000"/>
          <w:lang w:val="pt-BR"/>
        </w:rPr>
      </w:pPr>
      <w:r>
        <w:rPr/>
        <w:drawing>
          <wp:inline distT="0" distB="0" distL="0" distR="0">
            <wp:extent cx="5291455" cy="3242945"/>
            <wp:effectExtent l="0" t="0" r="0" b="0"/>
            <wp:docPr id="6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5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360"/>
        <w:jc w:val="center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center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center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center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center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center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>A tubulação da rede de distribuição inerna embutida :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Em paredes construídas em alvenaria e nas pré-moldadas, sistemas “dry wall”. A tubulação de gás embutida deve ser envolta por revestimentos maciços e sem vazios, ou seja, com argamassa, cimento e areia, evitando-se o contato com materiais porosos, heterogêneos ou potecialmente corrosivos;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Quando embutidos em pisos, deve ser feita a proteção adequada para evitar que infiltrações de detergentes ou outros materiais corrosivos provoquem danos à tubulação;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Deve manter os afastamentos mínimos conforme a Tabela 02 acima.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tubulação da rede de distribuição interna enterrada: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Deve manter um afastamento de outras utilidades, tubulações e estruturas de no mínimo 0,30m a partir da sua face.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A profundidade deve ser no mínimo: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numPr>
          <w:ilvl w:val="0"/>
          <w:numId w:val="7"/>
        </w:numPr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0,30m da geratriz superior do tubo em locais não sujeitos a tráfego de veículos; 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0,50m da geratriz superior do tubo em locais sujeitos a tráfego de veículos e em zonas com possíveis escavações, como jardins.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Observação: caso não seja possível atender às profundidades determinadas, deve-se estabelecer um mecanismo de proteção adequado, tais como envelopamento em concreto.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  <w:t>O afastamento mínimo de cinco metros da entrada de energia elétrica e seus elementos – malhas de terra de para raios, subestações, postes, estruturas, etc deve ser obedecido.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  <w:t>Na impossibilidade de atender ao afastamento recomendado, medidas mitigatórias devem ser implantadas para garantir a atenuação da interferência eletromagnética geradas por essas malhas sobre a tubulação de gás.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  <w:t>Os suportes das tubulações devem ser adequados à área de contato devidamente protegidos contra corrosão e não podem ser apoiados, amarrados ou fixados em tubos existentes de condução de água, vapor ou outros, nem a instalações elétricas.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distância entre os suportes dos tubos deve ser tal qual não as submeta a esforços que possam provocar deformações.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Deve-se evitar a formação de pilhas galvânicas geradas a partir do contato de dois materiais metálicos de composições distintas, isolando-os através de um elemento plástico apropriado, evitando assim o contato direto entre tubulação e suporte.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rede de distribuição interna deve possuir válvulas de bloqueio manual que permitam a interrupção do suprimento de gás combustível à edificação, para manutenção de equipamentos de medição e regulagem, a cada unidade habitacional e para um específico aparelho a gás.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As válvulas devem ser identificadas e instaladas em local ventilado, de fácil acesso, protegidas de forma a evitar choques mecânicos e acionamento acidental.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>Os acoplamentos roscados devem: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Ter rosca cônica NPT – ABNT NBR 12912 ou macho cônica e fêmea paralela (BSP) e a elas deve ser aplicado um vedante atendendo às prescrições das alíneas f e g;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Os acoplamentos com rosca NPT deve ser conforme a ABNT NBR 12912;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As conexões com rosca NPT devem ser acopladas em tubos especificados pela ABNT NBR 5590; 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Os acoplamentos com rosca BSP devem ser conforme a ABNT NBR NM ISO 7-1;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As conexões com rosca BSP devem ser acopladas em tubos especificados ABNT NBR 5580;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Para complementar a vedação dos acoplados roscados, deve ser aplicado um vedante tal como a fita de PTFE, fio multifilamentos de poliamida com revestimento não secativo ou outros tipos de vedantes líquidos ou pastosos com características compatíveis para uso com GN ou GLP;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É proibida a utilização de qualquer tinta ou fibra vegetal na função vedante.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O local de regulagem e medição do gás deve: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Estar no interior ou exterior da edificação; 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Possibilitar a leitura, inspeções e manutenção;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Estar protegido de possível ação predatória de terceiros; 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Estar protegido contra choques mecânicos, tais como colisão de veículos e cargas em movimento;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Estar protegido contra corrosão e intempéries; 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Ser ventilado de forma a evitar o acúmulo de gás eventualmente vazado, levando-se em consideração a densidade relativa do ar;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Não apresentar interferência física ou possibilidade de vazamento em área de antecâmara e escadas de emergência;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 Não possui dispositivos que possam produzir chama ou calor de forma a afetar ou danificar os equipamentos;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Ser facilmente identificado de acordo com a unidade que atenderá.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 xml:space="preserve">IDENTIFICAÇÃO </w:t>
      </w:r>
    </w:p>
    <w:p>
      <w:pPr>
        <w:pStyle w:val="Normal"/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>Tubulação aparente: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rede de distribuição interna aparente deve ser identificada através de pintura da tubulação na cor amarela – código 5y8/12 do código Munsel ou 110 Pantone, com as seguintes resslavas: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Fachadas de prédios: Em função da necessidade de harmonia arquitetônica, a tubulação pode ser pintada da cor da fachada e, nesse caso, os tubos ou os suportes de fixação devem ser identificados com a palavra “GÁS” no máximo a cada dez metros ou em cada trecho aparente, o que primeiro ocorrer;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Interior de residências: Em função da necessidade de harmonia arquitetônica, a tubulação pode ser pintada da cor adequada e, nesse caso, os tubos ou os suportes de fixação devem ser identificados com a palavra “GÁS” no máximo a cada dez metros ou em cada trecho aparente, o que primeiro ocorrer; 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Garagens e áreas comuns de prédios: A tubulação deve ser pintada na cor amarela e os tubos ou suportes de fixação devem ser identificados com a palavra “GÁS” no máximo a cada dez metros ou em cada trecho aparente, o que primeiro ocorrer.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>Tubulação enterrada: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Uso de fita de sinalização enterrada, colocada acima da tubulação ou placas de concreto com identificação.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>ENSAIO DE ESTANQUEIDADE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O ensaio de estanqueidade deve ser realizado para detectar possíveis vazamentos e verificar a resistência da rede a pressão de operação.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Recomenda-se que o ensaio seja iniciado após uma criteriosa inspeção visual da rede de distribuição interna – amassamento de tubos, conservação da pintura, nível de oxidação, entre outros – e particularmente das juntas e conexões, para se detectar previamente qualquer tipo de defeito durante sua execução.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O ensaio deve ser realizado em duas etapas: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Após a montagem da rede, com ela ainda exposta, podendo ser feita por partes e em toda a sua extensão, sob pressão de no mínimo 1,5 vezes a pressão de trabalho máxima admitida, não menor que 20 Kpa;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Após a instalação de todos os equipamentos, na extensão total da rede para a liberação de abastecimento com o gás combustível, sob pressão de operação.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  <w:t xml:space="preserve">As duas etapas do ensaio devem ser realizadas com as comprimido ou inerte. 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  <w:t>Deve ser assegurado que todos os componentes, como válvulas, tubos e acessórios resistam às pressões de operação.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  <w:t>Deve ser emitido um laudo de ensaio ou documento equivalente após a sua finalização e antes de se realizar a purga.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legislação municipal de João Pessoa exige que as instalações de gás atendam às normas técnicas e estejam estanques, o que deve ser comprovado por testes de estanqueidade realizados por profissionais qualificados.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O laudo de estanqueidade é frequentemente um documento obrigatório para a emissão ou renovação do Auto de Vistoria do Corpo de Bombeiros (AVCB), que é outro documento essencial para a regularização de edificações, especialmente condomínios e estabelecimentos comerciais.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 </w:t>
      </w:r>
      <w:r>
        <w:rPr>
          <w:rFonts w:cs="Arial" w:ascii="Arial" w:hAnsi="Arial"/>
          <w:color w:val="000000"/>
          <w:lang w:val="pt-BR"/>
        </w:rPr>
        <w:t>Além disso, no processo de solicitação do Habite-se junto à Prefeitura de João Pessoa, a documentação da rede de gás (incluindo o laudo) se soma a outros documentos técnicos, como a Anotação de Responsabilidade Técnica (ART) pelas obras e instalações. 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 xml:space="preserve">INSTALAÇÃO DE APARELHOS DE GÁS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Os aparelhos de utilização e suas respectivas localizações devem obrigatoriamente obedecer às prescrições exigidas na norma de adequação de ambientes NBR 13103.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 xml:space="preserve">MANUTENÇÃO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instalação predial de gás deve ser inspecionada periodicamente com frequência definida pelo responsável pela manutenção. Recomenda-se que seja feito um teste de estanqueidade da rede a cada ano ou em caso de suspeita de vazamentos.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Os serviços de manutenção e reparo devem ser executados por pessoas capacitadas, o que inclui treinamento apropriado e conhecimento das exigências regulamentadas concernentes às instalações prediais de gás.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right"/>
        <w:rPr>
          <w:rFonts w:ascii="Arial" w:hAnsi="Arial" w:cs="Arial"/>
          <w:szCs w:val="18"/>
        </w:rPr>
      </w:pPr>
      <w:r>
        <w:rPr>
          <w:rFonts w:cs="Arial" w:ascii="Arial" w:hAnsi="Arial"/>
          <w:sz w:val="24"/>
          <w:szCs w:val="24"/>
        </w:rPr>
        <w:t>___________________________________</w:t>
      </w:r>
    </w:p>
    <w:p>
      <w:pPr>
        <w:pStyle w:val="Normal"/>
        <w:spacing w:before="240" w:after="0"/>
        <w:ind w:left="4248"/>
        <w:rPr>
          <w:rFonts w:ascii="Arial" w:hAnsi="Arial" w:cs="Arial"/>
          <w:sz w:val="16"/>
          <w:szCs w:val="16"/>
          <w:lang w:val="pt-BR"/>
        </w:rPr>
      </w:pPr>
      <w:r>
        <w:rPr>
          <w:rFonts w:cs="Arial" w:ascii="Arial" w:hAnsi="Arial"/>
          <w:sz w:val="16"/>
          <w:szCs w:val="16"/>
          <w:lang w:val="pt-BR"/>
        </w:rPr>
        <w:t xml:space="preserve">          </w:t>
      </w:r>
      <w:r>
        <w:rPr>
          <w:rFonts w:cs="Arial" w:ascii="Arial" w:hAnsi="Arial"/>
          <w:sz w:val="16"/>
          <w:szCs w:val="16"/>
          <w:lang w:val="pt-BR"/>
        </w:rPr>
        <w:t xml:space="preserve">Eng° Evandro César de Lima Ferreira </w:t>
      </w:r>
    </w:p>
    <w:p>
      <w:pPr>
        <w:pStyle w:val="Normal"/>
        <w:spacing w:before="240" w:after="0"/>
        <w:ind w:firstLine="708" w:left="3540"/>
        <w:rPr>
          <w:rFonts w:ascii="Arial" w:hAnsi="Arial" w:cs="Arial"/>
          <w:b/>
          <w:sz w:val="16"/>
          <w:szCs w:val="16"/>
          <w:lang w:val="pt-BR"/>
        </w:rPr>
      </w:pPr>
      <w:r>
        <w:rPr>
          <w:rFonts w:cs="Arial" w:ascii="Arial" w:hAnsi="Arial"/>
          <w:sz w:val="16"/>
          <w:szCs w:val="16"/>
          <w:lang w:val="pt-BR"/>
        </w:rPr>
        <w:t xml:space="preserve">          </w:t>
      </w:r>
      <w:r>
        <w:rPr>
          <w:rFonts w:cs="Arial" w:ascii="Arial" w:hAnsi="Arial"/>
          <w:sz w:val="16"/>
          <w:szCs w:val="16"/>
          <w:lang w:val="pt-BR"/>
        </w:rPr>
        <w:t>CREA-16.03.55.76.10-D-PB</w:t>
      </w:r>
      <w:r>
        <w:rPr>
          <w:rFonts w:cs="Arial" w:ascii="Arial" w:hAnsi="Arial"/>
          <w:b/>
          <w:sz w:val="16"/>
          <w:szCs w:val="16"/>
          <w:lang w:val="pt-BR"/>
        </w:rPr>
        <w:t>.</w:t>
      </w:r>
    </w:p>
    <w:p>
      <w:pPr>
        <w:pStyle w:val="Normal"/>
        <w:ind w:firstLine="360"/>
        <w:jc w:val="right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18" w:right="1134" w:gutter="0" w:header="567" w:top="1985" w:footer="397" w:bottom="144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19">
          <wp:simplePos x="0" y="0"/>
          <wp:positionH relativeFrom="margin">
            <wp:posOffset>-1066800</wp:posOffset>
          </wp:positionH>
          <wp:positionV relativeFrom="paragraph">
            <wp:posOffset>-223520</wp:posOffset>
          </wp:positionV>
          <wp:extent cx="7940040" cy="678180"/>
          <wp:effectExtent l="0" t="0" r="0" b="0"/>
          <wp:wrapNone/>
          <wp:docPr id="9" name="Imagem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40040" cy="678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19">
          <wp:simplePos x="0" y="0"/>
          <wp:positionH relativeFrom="margin">
            <wp:posOffset>-1066800</wp:posOffset>
          </wp:positionH>
          <wp:positionV relativeFrom="paragraph">
            <wp:posOffset>-223520</wp:posOffset>
          </wp:positionV>
          <wp:extent cx="7940040" cy="678180"/>
          <wp:effectExtent l="0" t="0" r="0" b="0"/>
          <wp:wrapNone/>
          <wp:docPr id="10" name="Imagem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40040" cy="678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1" allowOverlap="1" relativeHeight="32">
          <wp:simplePos x="0" y="0"/>
          <wp:positionH relativeFrom="column">
            <wp:posOffset>-895350</wp:posOffset>
          </wp:positionH>
          <wp:positionV relativeFrom="paragraph">
            <wp:posOffset>-4253230</wp:posOffset>
          </wp:positionV>
          <wp:extent cx="7553325" cy="5559425"/>
          <wp:effectExtent l="0" t="0" r="0" b="0"/>
          <wp:wrapNone/>
          <wp:docPr id="7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77" t="0" r="0" b="69168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5559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pt-BR"/>
      </w:rPr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1" allowOverlap="1" relativeHeight="32">
          <wp:simplePos x="0" y="0"/>
          <wp:positionH relativeFrom="column">
            <wp:posOffset>-895350</wp:posOffset>
          </wp:positionH>
          <wp:positionV relativeFrom="paragraph">
            <wp:posOffset>-4253230</wp:posOffset>
          </wp:positionV>
          <wp:extent cx="7553325" cy="5559425"/>
          <wp:effectExtent l="0" t="0" r="0" b="0"/>
          <wp:wrapNone/>
          <wp:docPr id="8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77" t="0" r="0" b="69168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5559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pt-BR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0)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decimal"/>
      <w:lvlText w:val="%1.%2)"/>
      <w:lvlJc w:val="left"/>
      <w:pPr>
        <w:tabs>
          <w:tab w:val="num" w:pos="0"/>
        </w:tabs>
        <w:ind w:left="1428" w:hanging="720"/>
      </w:pPr>
      <w:rPr/>
    </w:lvl>
    <w:lvl w:ilvl="2">
      <w:start w:val="1"/>
      <w:numFmt w:val="decimal"/>
      <w:lvlText w:val="%1.%2)%3."/>
      <w:lvlJc w:val="left"/>
      <w:pPr>
        <w:tabs>
          <w:tab w:val="num" w:pos="0"/>
        </w:tabs>
        <w:ind w:left="2496" w:hanging="1080"/>
      </w:pPr>
      <w:rPr/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3204" w:hanging="1080"/>
      </w:pPr>
      <w:rPr/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4272" w:hanging="1440"/>
      </w:pPr>
      <w:rPr/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5340" w:hanging="1800"/>
      </w:pPr>
      <w:rPr/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6048" w:hanging="1800"/>
      </w:pPr>
      <w:rPr/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7116" w:hanging="2160"/>
      </w:pPr>
      <w:rPr/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8184" w:hanging="252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2"/>
      <w:numFmt w:val="bullet"/>
      <w:lvlText w:val="-"/>
      <w:lvlJc w:val="left"/>
      <w:pPr>
        <w:tabs>
          <w:tab w:val="num" w:pos="0"/>
        </w:tabs>
        <w:ind w:left="1428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5">
    <w:lvl w:ilvl="0">
      <w:start w:val="2"/>
      <w:numFmt w:val="bullet"/>
      <w:lvlText w:val="-"/>
      <w:lvlJc w:val="left"/>
      <w:pPr>
        <w:tabs>
          <w:tab w:val="num" w:pos="0"/>
        </w:tabs>
        <w:ind w:left="1428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6">
    <w:lvl w:ilvl="0">
      <w:start w:val="2"/>
      <w:numFmt w:val="bullet"/>
      <w:lvlText w:val="-"/>
      <w:lvlJc w:val="left"/>
      <w:pPr>
        <w:tabs>
          <w:tab w:val="num" w:pos="0"/>
        </w:tabs>
        <w:ind w:left="1428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9"/>
  <w:defaultTabStop w:val="708"/>
  <w:autoHyphenation w:val="true"/>
  <w:compat>
    <w:doNotExpandShiftReturn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203a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Ttulo2Char"/>
    <w:qFormat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/>
    </w:rPr>
  </w:style>
  <w:style w:type="paragraph" w:styleId="Heading3">
    <w:name w:val="Heading 3"/>
    <w:basedOn w:val="Normal"/>
    <w:next w:val="Normal"/>
    <w:link w:val="Ttulo3Char"/>
    <w:qFormat/>
    <w:pPr>
      <w:keepNext w:val="true"/>
      <w:spacing w:before="240" w:after="60"/>
      <w:outlineLvl w:val="2"/>
    </w:pPr>
    <w:rPr>
      <w:rFonts w:ascii="Cambria" w:hAnsi="Cambria"/>
      <w:b/>
      <w:bCs/>
      <w:sz w:val="26"/>
      <w:szCs w:val="26"/>
      <w:lang w:val="x-none"/>
    </w:rPr>
  </w:style>
  <w:style w:type="paragraph" w:styleId="Heading5">
    <w:name w:val="Heading 5"/>
    <w:basedOn w:val="Normal"/>
    <w:next w:val="Normal"/>
    <w:link w:val="Ttulo5Char"/>
    <w:qFormat/>
    <w:rsid w:val="006b0e31"/>
    <w:pPr>
      <w:keepNext w:val="true"/>
      <w:spacing w:lineRule="auto" w:line="480"/>
      <w:ind w:left="284" w:right="708"/>
      <w:jc w:val="both"/>
      <w:outlineLvl w:val="4"/>
    </w:pPr>
    <w:rPr>
      <w:rFonts w:ascii="Arial" w:hAnsi="Arial"/>
      <w:b/>
      <w:sz w:val="22"/>
      <w:lang w:val="x-none" w:eastAsia="x-none"/>
    </w:rPr>
  </w:style>
  <w:style w:type="paragraph" w:styleId="Heading7">
    <w:name w:val="Heading 7"/>
    <w:basedOn w:val="Normal"/>
    <w:next w:val="Normal"/>
    <w:link w:val="Ttulo7Char"/>
    <w:unhideWhenUsed/>
    <w:qFormat/>
    <w:rsid w:val="006b0e31"/>
    <w:pPr>
      <w:spacing w:before="240" w:after="60"/>
      <w:outlineLvl w:val="6"/>
    </w:pPr>
    <w:rPr>
      <w:rFonts w:ascii="Calibri" w:hAnsi="Calibri"/>
      <w:sz w:val="24"/>
      <w:szCs w:val="24"/>
      <w:lang w:eastAsia="x-none"/>
    </w:rPr>
  </w:style>
  <w:style w:type="paragraph" w:styleId="Heading9">
    <w:name w:val="Heading 9"/>
    <w:basedOn w:val="Normal"/>
    <w:next w:val="Normal"/>
    <w:link w:val="Ttulo9Char"/>
    <w:unhideWhenUsed/>
    <w:qFormat/>
    <w:rsid w:val="006b0e31"/>
    <w:pPr>
      <w:spacing w:before="240" w:after="60"/>
      <w:outlineLvl w:val="8"/>
    </w:pPr>
    <w:rPr>
      <w:rFonts w:ascii="Calibri Light" w:hAnsi="Calibri Light"/>
      <w:sz w:val="22"/>
      <w:szCs w:val="22"/>
      <w:lang w:eastAsia="x-non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qFormat/>
    <w:rPr>
      <w:rFonts w:ascii="Arial" w:hAnsi="Arial" w:eastAsia="Times New Roman" w:cs="Arial"/>
      <w:b/>
      <w:bCs/>
      <w:kern w:val="2"/>
      <w:sz w:val="32"/>
      <w:szCs w:val="32"/>
      <w:lang w:val="en-US" w:eastAsia="pt-BR"/>
    </w:rPr>
  </w:style>
  <w:style w:type="character" w:styleId="Ttulo2Char" w:customStyle="1">
    <w:name w:val="Título 2 Char"/>
    <w:qFormat/>
    <w:rPr>
      <w:rFonts w:ascii="Cambria" w:hAnsi="Cambria" w:eastAsia="Times New Roman" w:cs="Times New Roman"/>
      <w:b/>
      <w:bCs/>
      <w:i/>
      <w:iCs/>
      <w:sz w:val="28"/>
      <w:szCs w:val="28"/>
      <w:lang w:eastAsia="pt-BR"/>
    </w:rPr>
  </w:style>
  <w:style w:type="character" w:styleId="Ttulo3Char" w:customStyle="1">
    <w:name w:val="Título 3 Char"/>
    <w:qFormat/>
    <w:rPr>
      <w:rFonts w:ascii="Cambria" w:hAnsi="Cambria" w:eastAsia="Times New Roman" w:cs="Times New Roman"/>
      <w:b/>
      <w:bCs/>
      <w:sz w:val="26"/>
      <w:szCs w:val="26"/>
      <w:lang w:eastAsia="pt-BR"/>
    </w:rPr>
  </w:style>
  <w:style w:type="character" w:styleId="Strong">
    <w:name w:val="Strong"/>
    <w:qFormat/>
    <w:rPr>
      <w:rFonts w:ascii="Arial" w:hAnsi="Arial"/>
      <w:b/>
      <w:bCs/>
      <w:sz w:val="24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rpodetextoChar" w:customStyle="1">
    <w:name w:val="Corpo de texto Char"/>
    <w:qFormat/>
    <w:rPr>
      <w:rFonts w:ascii="Arial" w:hAnsi="Arial" w:eastAsia="Times New Roman" w:cs="Times New Roman"/>
      <w:spacing w:val="-5"/>
      <w:sz w:val="20"/>
      <w:szCs w:val="20"/>
      <w:lang w:eastAsia="pt-BR"/>
    </w:rPr>
  </w:style>
  <w:style w:type="character" w:styleId="TtuloChar" w:customStyle="1">
    <w:name w:val="Título Char"/>
    <w:uiPriority w:val="10"/>
    <w:qFormat/>
    <w:rPr>
      <w:rFonts w:ascii="Cambria" w:hAnsi="Cambria" w:eastAsia="Times New Roman" w:cs="Times New Roman"/>
      <w:b/>
      <w:bCs/>
      <w:kern w:val="2"/>
      <w:sz w:val="32"/>
      <w:szCs w:val="32"/>
      <w:lang w:eastAsia="pt-BR"/>
    </w:rPr>
  </w:style>
  <w:style w:type="character" w:styleId="CabealhoChar" w:customStyle="1">
    <w:name w:val="Cabeçalho Char"/>
    <w:qFormat/>
    <w:rPr/>
  </w:style>
  <w:style w:type="character" w:styleId="RodapChar" w:customStyle="1">
    <w:name w:val="Rodapé Char"/>
    <w:qFormat/>
    <w:rPr/>
  </w:style>
  <w:style w:type="character" w:styleId="TextodebaloChar" w:customStyle="1">
    <w:name w:val="Texto de balão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RecuodecorpodetextoChar" w:customStyle="1">
    <w:name w:val="Recuo de corpo de texto Char"/>
    <w:uiPriority w:val="99"/>
    <w:semiHidden/>
    <w:qFormat/>
    <w:rPr>
      <w:rFonts w:eastAsia="Times New Roman"/>
      <w:lang w:val="en-US"/>
    </w:rPr>
  </w:style>
  <w:style w:type="character" w:styleId="font31" w:customStyle="1">
    <w:name w:val="font31"/>
    <w:qFormat/>
    <w:rPr>
      <w:rFonts w:ascii="Arial" w:hAnsi="Arial" w:cs="Arial"/>
      <w:i w:val="false"/>
      <w:iCs w:val="false"/>
      <w:color w:val="000000"/>
      <w:u w:val="none"/>
      <w:vertAlign w:val="superscript"/>
    </w:rPr>
  </w:style>
  <w:style w:type="character" w:styleId="font11" w:customStyle="1">
    <w:name w:val="font11"/>
    <w:qFormat/>
    <w:rPr>
      <w:rFonts w:ascii="Arial" w:hAnsi="Arial" w:cs="Arial"/>
      <w:i w:val="false"/>
      <w:iCs w:val="false"/>
      <w:color w:val="000000"/>
      <w:u w:val="none"/>
    </w:rPr>
  </w:style>
  <w:style w:type="character" w:styleId="Ttulo7Char" w:customStyle="1">
    <w:name w:val="Título 7 Char"/>
    <w:qFormat/>
    <w:rsid w:val="006b0e31"/>
    <w:rPr>
      <w:rFonts w:ascii="Calibri" w:hAnsi="Calibri" w:eastAsia="Times New Roman" w:cs="Times New Roman"/>
      <w:sz w:val="24"/>
      <w:szCs w:val="24"/>
      <w:lang w:val="en-US"/>
    </w:rPr>
  </w:style>
  <w:style w:type="character" w:styleId="Ttulo9Char" w:customStyle="1">
    <w:name w:val="Título 9 Char"/>
    <w:qFormat/>
    <w:rsid w:val="006b0e31"/>
    <w:rPr>
      <w:rFonts w:ascii="Calibri Light" w:hAnsi="Calibri Light" w:eastAsia="Times New Roman" w:cs="Times New Roman"/>
      <w:sz w:val="22"/>
      <w:szCs w:val="22"/>
      <w:lang w:val="en-US"/>
    </w:rPr>
  </w:style>
  <w:style w:type="character" w:styleId="Corpodetexto3Char" w:customStyle="1">
    <w:name w:val="Corpo de texto 3 Char"/>
    <w:link w:val="BodyText3"/>
    <w:qFormat/>
    <w:rsid w:val="006b0e31"/>
    <w:rPr>
      <w:rFonts w:eastAsia="Times New Roman"/>
      <w:sz w:val="16"/>
      <w:szCs w:val="16"/>
      <w:lang w:val="en-US"/>
    </w:rPr>
  </w:style>
  <w:style w:type="character" w:styleId="Ttulo5Char" w:customStyle="1">
    <w:name w:val="Título 5 Char"/>
    <w:qFormat/>
    <w:rsid w:val="006b0e31"/>
    <w:rPr>
      <w:rFonts w:ascii="Arial" w:hAnsi="Arial" w:eastAsia="Times New Roman"/>
      <w:b/>
      <w:sz w:val="22"/>
    </w:rPr>
  </w:style>
  <w:style w:type="character" w:styleId="PageNumber">
    <w:name w:val="Page Number"/>
    <w:basedOn w:val="DefaultParagraphFont"/>
    <w:qFormat/>
    <w:rsid w:val="006b0e31"/>
    <w:rPr/>
  </w:style>
  <w:style w:type="character" w:styleId="Recuodecorpodetexto3Char" w:customStyle="1">
    <w:name w:val="Recuo de corpo de texto 3 Char"/>
    <w:link w:val="BodyTextIndent3"/>
    <w:uiPriority w:val="99"/>
    <w:qFormat/>
    <w:rsid w:val="009577c5"/>
    <w:rPr>
      <w:rFonts w:eastAsia="Times New Roman"/>
      <w:sz w:val="16"/>
      <w:szCs w:val="16"/>
      <w:lang w:val="en-US"/>
    </w:rPr>
  </w:style>
  <w:style w:type="character" w:styleId="Caracteresdenotaderodap">
    <w:name w:val="Caracteres de nota de rodapé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qFormat/>
    <w:pPr>
      <w:spacing w:lineRule="atLeast" w:line="220" w:before="0" w:after="220"/>
      <w:jc w:val="both"/>
    </w:pPr>
    <w:rPr>
      <w:rFonts w:ascii="Arial" w:hAnsi="Arial"/>
      <w:spacing w:val="-5"/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qFormat/>
    <w:pPr/>
    <w:rPr>
      <w:rFonts w:ascii="Arial" w:hAnsi="Arial" w:eastAsia="SimHei" w:cs="Arial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right" w:pos="8495" w:leader="dot"/>
      </w:tabs>
      <w:spacing w:lineRule="auto" w:line="360"/>
    </w:pPr>
    <w:rPr>
      <w:rFonts w:ascii="Arial" w:hAnsi="Arial" w:cs="Arial"/>
      <w:b/>
      <w:sz w:val="24"/>
      <w:szCs w:val="24"/>
      <w:lang w:val="pt-BR" w:eastAsia="pt-BR"/>
    </w:rPr>
  </w:style>
  <w:style w:type="paragraph" w:styleId="Title">
    <w:name w:val="Title"/>
    <w:basedOn w:val="Normal"/>
    <w:next w:val="Normal"/>
    <w:link w:val="TtuloChar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kern w:val="2"/>
      <w:sz w:val="32"/>
      <w:szCs w:val="32"/>
      <w:lang w:val="x-none"/>
    </w:rPr>
  </w:style>
  <w:style w:type="paragraph" w:styleId="BodyText2">
    <w:name w:val="Body Text 2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nhideWhenUsed/>
    <w:qFormat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nhideWhenUsed/>
    <w:qFormat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OC3">
    <w:name w:val="TOC 3"/>
    <w:basedOn w:val="Normal"/>
    <w:next w:val="Normal"/>
    <w:uiPriority w:val="39"/>
    <w:qFormat/>
    <w:pPr>
      <w:ind w:left="480"/>
    </w:pPr>
    <w:rPr>
      <w:sz w:val="24"/>
      <w:szCs w:val="24"/>
      <w:lang w:val="pt-BR"/>
    </w:rPr>
  </w:style>
  <w:style w:type="paragraph" w:styleId="BalloonText">
    <w:name w:val="Balloon Text"/>
    <w:basedOn w:val="Normal"/>
    <w:link w:val="TextodebaloChar"/>
    <w:uiPriority w:val="99"/>
    <w:unhideWhenUsed/>
    <w:qFormat/>
    <w:pPr/>
    <w:rPr>
      <w:rFonts w:ascii="Tahoma" w:hAnsi="Tahoma" w:eastAsia="SimSun"/>
      <w:sz w:val="16"/>
      <w:szCs w:val="16"/>
      <w:lang w:val="x-none" w:eastAsia="x-none"/>
    </w:rPr>
  </w:style>
  <w:style w:type="paragraph" w:styleId="TOC1">
    <w:name w:val="TOC 1"/>
    <w:basedOn w:val="Normal"/>
    <w:next w:val="Normal"/>
    <w:uiPriority w:val="39"/>
    <w:pPr>
      <w:spacing w:lineRule="auto" w:line="360"/>
      <w:jc w:val="both"/>
    </w:pPr>
    <w:rPr>
      <w:rFonts w:ascii="Arial" w:hAnsi="Arial"/>
      <w:b/>
      <w:sz w:val="24"/>
      <w:lang w:val="pt-BR"/>
    </w:rPr>
  </w:style>
  <w:style w:type="paragraph" w:styleId="BodyTextIndent">
    <w:name w:val="Body Text Indent"/>
    <w:basedOn w:val="Normal"/>
    <w:link w:val="RecuodecorpodetextoChar"/>
    <w:uiPriority w:val="99"/>
    <w:unhideWhenUsed/>
    <w:pPr>
      <w:spacing w:before="0" w:after="120"/>
      <w:ind w:left="283"/>
    </w:pPr>
    <w:rPr>
      <w:lang w:eastAsia="x-none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qFormat/>
    <w:pPr>
      <w:keepLines/>
      <w:spacing w:lineRule="auto" w:line="276" w:before="480" w:after="0"/>
      <w:outlineLvl w:val="9"/>
    </w:pPr>
    <w:rPr>
      <w:rFonts w:ascii="Cambria" w:hAnsi="Cambria"/>
      <w:color w:val="365F91"/>
      <w:kern w:val="0"/>
      <w:sz w:val="28"/>
      <w:szCs w:val="28"/>
      <w:lang w:val="pt-BR" w:eastAsia="en-US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</w:pPr>
    <w:rPr>
      <w:rFonts w:ascii="Garamond" w:hAnsi="Garamond" w:eastAsia="SimSun" w:cs="Garamond"/>
      <w:color w:val="000000"/>
      <w:kern w:val="0"/>
      <w:sz w:val="24"/>
      <w:szCs w:val="24"/>
      <w:lang w:val="pt-BR" w:eastAsia="pt-BR" w:bidi="ar-SA"/>
    </w:rPr>
  </w:style>
  <w:style w:type="paragraph" w:styleId="ListParagraph">
    <w:name w:val="List Paragraph"/>
    <w:basedOn w:val="Normal"/>
    <w:uiPriority w:val="34"/>
    <w:qFormat/>
    <w:pPr>
      <w:ind w:left="708"/>
    </w:pPr>
    <w:rPr/>
  </w:style>
  <w:style w:type="paragraph" w:styleId="Sumrio" w:customStyle="1">
    <w:name w:val="Sumário"/>
    <w:basedOn w:val="Normal"/>
    <w:qFormat/>
    <w:pPr>
      <w:numPr>
        <w:ilvl w:val="0"/>
        <w:numId w:val="1"/>
      </w:numPr>
    </w:pPr>
    <w:rPr>
      <w:b/>
      <w:bCs/>
      <w:color w:val="000000"/>
      <w:sz w:val="24"/>
      <w:szCs w:val="24"/>
      <w:lang w:val="pt-BR"/>
    </w:rPr>
  </w:style>
  <w:style w:type="paragraph" w:styleId="sumrio1" w:customStyle="1">
    <w:name w:val="sumário 1"/>
    <w:basedOn w:val="Normal"/>
    <w:qFormat/>
    <w:pPr>
      <w:jc w:val="center"/>
    </w:pPr>
    <w:rPr>
      <w:b/>
      <w:bCs/>
      <w:color w:val="000000"/>
      <w:sz w:val="32"/>
      <w:szCs w:val="32"/>
      <w:lang w:val="pt-BR"/>
    </w:rPr>
  </w:style>
  <w:style w:type="paragraph" w:styleId="BodyText3">
    <w:name w:val="Body Text 3"/>
    <w:basedOn w:val="Normal"/>
    <w:link w:val="Corpodetexto3Char"/>
    <w:unhideWhenUsed/>
    <w:qFormat/>
    <w:rsid w:val="006b0e31"/>
    <w:pPr>
      <w:spacing w:before="0" w:after="120"/>
    </w:pPr>
    <w:rPr>
      <w:sz w:val="16"/>
      <w:szCs w:val="16"/>
      <w:lang w:eastAsia="x-none"/>
    </w:rPr>
  </w:style>
  <w:style w:type="paragraph" w:styleId="EstiloTtulo212ptNoNegritoCentralizado" w:customStyle="1">
    <w:name w:val="Estilo Título 2 + 12 pt Não Negrito Centralizado"/>
    <w:basedOn w:val="Heading2"/>
    <w:qFormat/>
    <w:rsid w:val="004045e4"/>
    <w:pPr>
      <w:spacing w:lineRule="auto" w:line="360" w:before="0" w:after="0"/>
    </w:pPr>
    <w:rPr>
      <w:rFonts w:ascii="Arial" w:hAnsi="Arial"/>
      <w:bCs w:val="false"/>
      <w:i w:val="false"/>
      <w:iCs w:val="false"/>
      <w:sz w:val="24"/>
      <w:szCs w:val="20"/>
      <w:lang w:val="pt-BR"/>
    </w:rPr>
  </w:style>
  <w:style w:type="paragraph" w:styleId="EstiloTtulo3Negritoesquerda063cmEspaamentoentrel" w:customStyle="1">
    <w:name w:val="Estilo Título 3 + Negrito À esquerda:  063 cm Espaçamento entre l..."/>
    <w:basedOn w:val="Heading3"/>
    <w:qFormat/>
    <w:rsid w:val="004045e4"/>
    <w:pPr>
      <w:spacing w:lineRule="auto" w:line="360" w:before="0" w:after="0"/>
      <w:ind w:left="360"/>
    </w:pPr>
    <w:rPr>
      <w:rFonts w:ascii="Arial" w:hAnsi="Arial"/>
      <w:b w:val="false"/>
      <w:sz w:val="24"/>
      <w:szCs w:val="20"/>
      <w:lang w:val="pt-BR"/>
    </w:rPr>
  </w:style>
  <w:style w:type="paragraph" w:styleId="EstiloTtulo3Deslocamento25cm" w:customStyle="1">
    <w:name w:val="Estilo Título 3 + Deslocamento:  25 cm"/>
    <w:basedOn w:val="Heading3"/>
    <w:qFormat/>
    <w:rsid w:val="004045e4"/>
    <w:pPr>
      <w:spacing w:lineRule="auto" w:line="360" w:before="0" w:after="0"/>
      <w:ind w:hanging="1418" w:left="1418"/>
    </w:pPr>
    <w:rPr>
      <w:rFonts w:ascii="Arial" w:hAnsi="Arial"/>
      <w:b w:val="false"/>
      <w:sz w:val="24"/>
      <w:szCs w:val="20"/>
      <w:lang w:val="pt-BR"/>
    </w:rPr>
  </w:style>
  <w:style w:type="paragraph" w:styleId="BodyTextIndent3">
    <w:name w:val="Body Text Indent 3"/>
    <w:basedOn w:val="Normal"/>
    <w:link w:val="Recuodecorpodetexto3Char"/>
    <w:uiPriority w:val="99"/>
    <w:unhideWhenUsed/>
    <w:qFormat/>
    <w:rsid w:val="009577c5"/>
    <w:pPr>
      <w:spacing w:before="0" w:after="120"/>
      <w:ind w:left="283"/>
    </w:pPr>
    <w:rPr>
      <w:sz w:val="16"/>
      <w:szCs w:val="16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4439163-63E8-4C27-A1FB-D6970176C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  <Pages>13</Pages>
  <Words>2943</Words>
  <Characters>16517</Characters>
  <CharactersWithSpaces>19350</CharactersWithSpaces>
  <Paragraphs>206</Paragraphs>
  <Company>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2026-04-09T20:56:00Z</dcterms:created>
  <dc:creator>Usuário do Windows</dc:creator>
  <dc:description/>
  <dc:language>pt-BR</dc:language>
  <cp:lastModifiedBy/>
  <cp:lastPrinted>2018-03-27T11:11:00Z</cp:lastPrinted>
  <dcterms:modified xsi:type="dcterms:W3CDTF">2026-04-10T10:17:04Z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971CCD125BDA49E9A651827BC1421132</vt:lpwstr>
  </property>
  <property fmtid="{D5CDD505-2E9C-101B-9397-08002B2CF9AE}" pid="3" name="KSOProductBuildVer">
    <vt:lpwstr>1046-12.2.0.13306</vt:lpwstr>
  </property>
</Properties>
</file>