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629A" w:rsidRDefault="00987B65" w:rsidP="00987B65">
      <w:pPr>
        <w:spacing w:line="360" w:lineRule="auto"/>
        <w:jc w:val="center"/>
        <w:rPr>
          <w:rFonts w:ascii="Arial" w:hAnsi="Arial" w:cs="Arial"/>
          <w:b/>
          <w:sz w:val="28"/>
          <w:szCs w:val="28"/>
          <w:lang w:val="es-MX"/>
        </w:rPr>
      </w:pPr>
      <w:r>
        <w:rPr>
          <w:rFonts w:ascii="Arial" w:hAnsi="Arial" w:cs="Arial"/>
          <w:b/>
          <w:sz w:val="28"/>
          <w:szCs w:val="28"/>
          <w:lang w:val="es-MX"/>
        </w:rPr>
        <w:t>QUEJA</w:t>
      </w:r>
    </w:p>
    <w:tbl>
      <w:tblPr>
        <w:tblStyle w:val="Tablaconcuadrcula"/>
        <w:tblW w:w="0" w:type="auto"/>
        <w:tblLook w:val="04A0" w:firstRow="1" w:lastRow="0" w:firstColumn="1" w:lastColumn="0" w:noHBand="0" w:noVBand="1"/>
      </w:tblPr>
      <w:tblGrid>
        <w:gridCol w:w="1980"/>
        <w:gridCol w:w="6848"/>
      </w:tblGrid>
      <w:tr w:rsidR="00987B65" w:rsidRPr="00447A28" w:rsidTr="00987B65">
        <w:tc>
          <w:tcPr>
            <w:tcW w:w="1980" w:type="dxa"/>
            <w:vAlign w:val="center"/>
          </w:tcPr>
          <w:p w:rsidR="00987B65" w:rsidRPr="00987B65" w:rsidRDefault="00987B65" w:rsidP="00987B65">
            <w:pPr>
              <w:spacing w:line="360" w:lineRule="auto"/>
              <w:jc w:val="both"/>
              <w:rPr>
                <w:rFonts w:ascii="Arial" w:hAnsi="Arial" w:cs="Arial"/>
                <w:b/>
                <w:sz w:val="24"/>
                <w:szCs w:val="24"/>
                <w:lang w:val="es-MX"/>
              </w:rPr>
            </w:pPr>
            <w:r>
              <w:rPr>
                <w:rFonts w:ascii="Arial" w:hAnsi="Arial" w:cs="Arial"/>
                <w:b/>
                <w:sz w:val="24"/>
                <w:szCs w:val="24"/>
                <w:lang w:val="es-MX"/>
              </w:rPr>
              <w:t>DE:</w:t>
            </w:r>
          </w:p>
        </w:tc>
        <w:tc>
          <w:tcPr>
            <w:tcW w:w="6848" w:type="dxa"/>
            <w:vAlign w:val="center"/>
          </w:tcPr>
          <w:p w:rsidR="00447A28" w:rsidRDefault="00BB5B34" w:rsidP="00BB5B34">
            <w:pPr>
              <w:spacing w:line="360" w:lineRule="auto"/>
              <w:jc w:val="both"/>
              <w:rPr>
                <w:rFonts w:ascii="Arial" w:hAnsi="Arial" w:cs="Arial"/>
                <w:sz w:val="24"/>
                <w:szCs w:val="24"/>
                <w:lang w:val="es-MX"/>
              </w:rPr>
            </w:pPr>
            <w:r>
              <w:rPr>
                <w:rFonts w:ascii="Arial" w:hAnsi="Arial" w:cs="Arial"/>
                <w:sz w:val="24"/>
                <w:szCs w:val="24"/>
                <w:lang w:val="es-MX"/>
              </w:rPr>
              <w:t xml:space="preserve">Jose David Giron Martínez </w:t>
            </w:r>
            <w:r w:rsidR="00447A28">
              <w:rPr>
                <w:rFonts w:ascii="Arial" w:hAnsi="Arial" w:cs="Arial"/>
                <w:sz w:val="24"/>
                <w:szCs w:val="24"/>
                <w:lang w:val="es-MX"/>
              </w:rPr>
              <w:t>C.C:</w:t>
            </w:r>
            <w:r>
              <w:rPr>
                <w:rFonts w:ascii="Arial" w:hAnsi="Arial" w:cs="Arial"/>
                <w:sz w:val="24"/>
                <w:szCs w:val="24"/>
                <w:lang w:val="es-MX"/>
              </w:rPr>
              <w:t xml:space="preserve"> 1.143.231.494</w:t>
            </w:r>
            <w:r w:rsidR="00447A28">
              <w:rPr>
                <w:rFonts w:ascii="Arial" w:hAnsi="Arial" w:cs="Arial"/>
                <w:sz w:val="24"/>
                <w:szCs w:val="24"/>
                <w:lang w:val="es-MX"/>
              </w:rPr>
              <w:t xml:space="preserve"> </w:t>
            </w:r>
          </w:p>
        </w:tc>
      </w:tr>
      <w:tr w:rsidR="00987B65" w:rsidRPr="00447A28" w:rsidTr="00987B65">
        <w:tc>
          <w:tcPr>
            <w:tcW w:w="1980" w:type="dxa"/>
            <w:vAlign w:val="center"/>
          </w:tcPr>
          <w:p w:rsidR="00987B65" w:rsidRPr="00987B65" w:rsidRDefault="00987B65" w:rsidP="00987B65">
            <w:pPr>
              <w:spacing w:line="360" w:lineRule="auto"/>
              <w:jc w:val="both"/>
              <w:rPr>
                <w:rFonts w:ascii="Arial" w:hAnsi="Arial" w:cs="Arial"/>
                <w:b/>
                <w:sz w:val="24"/>
                <w:szCs w:val="24"/>
                <w:lang w:val="es-MX"/>
              </w:rPr>
            </w:pPr>
            <w:r>
              <w:rPr>
                <w:rFonts w:ascii="Arial" w:hAnsi="Arial" w:cs="Arial"/>
                <w:b/>
                <w:sz w:val="24"/>
                <w:szCs w:val="24"/>
                <w:lang w:val="es-MX"/>
              </w:rPr>
              <w:t>PARA:</w:t>
            </w:r>
          </w:p>
        </w:tc>
        <w:tc>
          <w:tcPr>
            <w:tcW w:w="6848" w:type="dxa"/>
            <w:vAlign w:val="center"/>
          </w:tcPr>
          <w:p w:rsidR="00987B65" w:rsidRDefault="00987B65" w:rsidP="00F023C8">
            <w:pPr>
              <w:spacing w:line="360" w:lineRule="auto"/>
              <w:jc w:val="both"/>
              <w:rPr>
                <w:rFonts w:ascii="Arial" w:hAnsi="Arial" w:cs="Arial"/>
                <w:sz w:val="24"/>
                <w:szCs w:val="24"/>
                <w:lang w:val="es-MX"/>
              </w:rPr>
            </w:pPr>
            <w:r>
              <w:rPr>
                <w:rFonts w:ascii="Arial" w:hAnsi="Arial" w:cs="Arial"/>
                <w:sz w:val="24"/>
                <w:szCs w:val="24"/>
                <w:lang w:val="es-MX"/>
              </w:rPr>
              <w:t xml:space="preserve">Departamento </w:t>
            </w:r>
            <w:r w:rsidR="00AF5EBA">
              <w:rPr>
                <w:rFonts w:ascii="Arial" w:hAnsi="Arial" w:cs="Arial"/>
                <w:sz w:val="24"/>
                <w:szCs w:val="24"/>
                <w:lang w:val="es-MX"/>
              </w:rPr>
              <w:t>Gestión</w:t>
            </w:r>
            <w:r>
              <w:rPr>
                <w:rFonts w:ascii="Arial" w:hAnsi="Arial" w:cs="Arial"/>
                <w:sz w:val="24"/>
                <w:szCs w:val="24"/>
                <w:lang w:val="es-MX"/>
              </w:rPr>
              <w:t xml:space="preserve"> Financiera</w:t>
            </w:r>
          </w:p>
        </w:tc>
      </w:tr>
      <w:tr w:rsidR="00987B65" w:rsidRPr="00447A28" w:rsidTr="00987B65">
        <w:tc>
          <w:tcPr>
            <w:tcW w:w="1980" w:type="dxa"/>
            <w:vAlign w:val="center"/>
          </w:tcPr>
          <w:p w:rsidR="00987B65" w:rsidRPr="00987B65" w:rsidRDefault="00987B65" w:rsidP="00987B65">
            <w:pPr>
              <w:spacing w:line="360" w:lineRule="auto"/>
              <w:jc w:val="both"/>
              <w:rPr>
                <w:rFonts w:ascii="Arial" w:hAnsi="Arial" w:cs="Arial"/>
                <w:b/>
                <w:sz w:val="24"/>
                <w:szCs w:val="24"/>
                <w:lang w:val="es-MX"/>
              </w:rPr>
            </w:pPr>
            <w:r>
              <w:rPr>
                <w:rFonts w:ascii="Arial" w:hAnsi="Arial" w:cs="Arial"/>
                <w:b/>
                <w:sz w:val="24"/>
                <w:szCs w:val="24"/>
                <w:lang w:val="es-MX"/>
              </w:rPr>
              <w:t>ASUNTO:</w:t>
            </w:r>
          </w:p>
        </w:tc>
        <w:tc>
          <w:tcPr>
            <w:tcW w:w="6848" w:type="dxa"/>
            <w:vAlign w:val="center"/>
          </w:tcPr>
          <w:p w:rsidR="00987B65" w:rsidRDefault="00987B65" w:rsidP="00BB5B34">
            <w:pPr>
              <w:spacing w:line="360" w:lineRule="auto"/>
              <w:jc w:val="both"/>
              <w:rPr>
                <w:rFonts w:ascii="Arial" w:hAnsi="Arial" w:cs="Arial"/>
                <w:sz w:val="24"/>
                <w:szCs w:val="24"/>
                <w:lang w:val="es-MX"/>
              </w:rPr>
            </w:pPr>
            <w:r>
              <w:rPr>
                <w:rFonts w:ascii="Arial" w:hAnsi="Arial" w:cs="Arial"/>
                <w:sz w:val="24"/>
                <w:szCs w:val="24"/>
                <w:lang w:val="es-MX"/>
              </w:rPr>
              <w:t xml:space="preserve">Inconformidad con los tiempos para realizar los pagos de las cuotas del contrato de prestación de servicios </w:t>
            </w:r>
            <w:r w:rsidR="00915B65">
              <w:rPr>
                <w:rFonts w:ascii="Arial" w:hAnsi="Arial" w:cs="Arial"/>
                <w:sz w:val="24"/>
                <w:szCs w:val="24"/>
                <w:lang w:val="es-MX"/>
              </w:rPr>
              <w:t>CPS</w:t>
            </w:r>
            <w:r w:rsidR="00BB5B34" w:rsidRPr="00BB5B34">
              <w:rPr>
                <w:rFonts w:ascii="Arial" w:hAnsi="Arial" w:cs="Arial"/>
                <w:sz w:val="24"/>
                <w:szCs w:val="24"/>
                <w:lang w:val="es-MX"/>
              </w:rPr>
              <w:t>000303</w:t>
            </w:r>
          </w:p>
        </w:tc>
      </w:tr>
    </w:tbl>
    <w:p w:rsidR="00987B65" w:rsidRDefault="00987B65" w:rsidP="00987B65">
      <w:pPr>
        <w:spacing w:line="360" w:lineRule="auto"/>
        <w:jc w:val="both"/>
        <w:rPr>
          <w:rFonts w:ascii="Arial" w:hAnsi="Arial" w:cs="Arial"/>
          <w:sz w:val="24"/>
          <w:szCs w:val="24"/>
          <w:lang w:val="es-MX"/>
        </w:rPr>
      </w:pPr>
    </w:p>
    <w:p w:rsidR="00987B65" w:rsidRDefault="00987B65" w:rsidP="00987B65">
      <w:pPr>
        <w:spacing w:line="360" w:lineRule="auto"/>
        <w:jc w:val="both"/>
        <w:rPr>
          <w:rFonts w:ascii="Arial" w:hAnsi="Arial" w:cs="Arial"/>
          <w:b/>
          <w:sz w:val="24"/>
          <w:szCs w:val="24"/>
          <w:lang w:val="es-MX"/>
        </w:rPr>
      </w:pPr>
      <w:r>
        <w:rPr>
          <w:rFonts w:ascii="Arial" w:hAnsi="Arial" w:cs="Arial"/>
          <w:b/>
          <w:sz w:val="24"/>
          <w:szCs w:val="24"/>
          <w:lang w:val="es-MX"/>
        </w:rPr>
        <w:t>Cordial saludo.</w:t>
      </w:r>
    </w:p>
    <w:p w:rsidR="00987B65" w:rsidRDefault="00987B65" w:rsidP="00AF5EBA">
      <w:pPr>
        <w:spacing w:line="360" w:lineRule="auto"/>
        <w:jc w:val="both"/>
        <w:rPr>
          <w:rFonts w:ascii="Arial" w:hAnsi="Arial" w:cs="Arial"/>
          <w:sz w:val="24"/>
          <w:szCs w:val="24"/>
          <w:lang w:val="es-MX"/>
        </w:rPr>
      </w:pPr>
      <w:r>
        <w:rPr>
          <w:rFonts w:ascii="Arial" w:hAnsi="Arial" w:cs="Arial"/>
          <w:sz w:val="24"/>
          <w:szCs w:val="24"/>
          <w:lang w:val="es-MX"/>
        </w:rPr>
        <w:t xml:space="preserve">En aras de generar mejoras </w:t>
      </w:r>
      <w:r w:rsidR="0005433E">
        <w:rPr>
          <w:rFonts w:ascii="Arial" w:hAnsi="Arial" w:cs="Arial"/>
          <w:sz w:val="24"/>
          <w:szCs w:val="24"/>
          <w:lang w:val="es-MX"/>
        </w:rPr>
        <w:t xml:space="preserve">en los procesos, </w:t>
      </w:r>
      <w:r w:rsidR="00AF5EBA">
        <w:rPr>
          <w:rFonts w:ascii="Arial" w:hAnsi="Arial" w:cs="Arial"/>
          <w:sz w:val="24"/>
          <w:szCs w:val="24"/>
          <w:lang w:val="es-MX"/>
        </w:rPr>
        <w:t>se informa la</w:t>
      </w:r>
      <w:r w:rsidR="0005433E">
        <w:rPr>
          <w:rFonts w:ascii="Arial" w:hAnsi="Arial" w:cs="Arial"/>
          <w:sz w:val="24"/>
          <w:szCs w:val="24"/>
          <w:lang w:val="es-MX"/>
        </w:rPr>
        <w:t xml:space="preserve"> </w:t>
      </w:r>
      <w:r>
        <w:rPr>
          <w:rFonts w:ascii="Arial" w:hAnsi="Arial" w:cs="Arial"/>
          <w:sz w:val="24"/>
          <w:szCs w:val="24"/>
          <w:lang w:val="es-MX"/>
        </w:rPr>
        <w:t xml:space="preserve">inconformidad </w:t>
      </w:r>
      <w:r w:rsidR="00AF5EBA">
        <w:rPr>
          <w:rFonts w:ascii="Arial" w:hAnsi="Arial" w:cs="Arial"/>
          <w:sz w:val="24"/>
          <w:szCs w:val="24"/>
          <w:lang w:val="es-MX"/>
        </w:rPr>
        <w:t>referente a</w:t>
      </w:r>
      <w:r>
        <w:rPr>
          <w:rFonts w:ascii="Arial" w:hAnsi="Arial" w:cs="Arial"/>
          <w:sz w:val="24"/>
          <w:szCs w:val="24"/>
          <w:lang w:val="es-MX"/>
        </w:rPr>
        <w:t xml:space="preserve"> los tiempos presentados para realizar los pagos de las cuotas del </w:t>
      </w:r>
      <w:r w:rsidR="00BB5B34">
        <w:rPr>
          <w:rFonts w:ascii="Arial" w:hAnsi="Arial" w:cs="Arial"/>
          <w:sz w:val="24"/>
          <w:szCs w:val="24"/>
          <w:lang w:val="es-MX"/>
        </w:rPr>
        <w:t>CPS</w:t>
      </w:r>
      <w:r w:rsidR="00BB5B34" w:rsidRPr="00BB5B34">
        <w:rPr>
          <w:rFonts w:ascii="Arial" w:hAnsi="Arial" w:cs="Arial"/>
          <w:sz w:val="24"/>
          <w:szCs w:val="24"/>
          <w:lang w:val="es-MX"/>
        </w:rPr>
        <w:t>000303</w:t>
      </w:r>
      <w:r>
        <w:rPr>
          <w:rFonts w:ascii="Arial" w:hAnsi="Arial" w:cs="Arial"/>
          <w:sz w:val="24"/>
          <w:szCs w:val="24"/>
          <w:lang w:val="es-MX"/>
        </w:rPr>
        <w:t xml:space="preserve">, </w:t>
      </w:r>
      <w:r w:rsidR="0005433E">
        <w:rPr>
          <w:rFonts w:ascii="Arial" w:hAnsi="Arial" w:cs="Arial"/>
          <w:sz w:val="24"/>
          <w:szCs w:val="24"/>
          <w:lang w:val="es-MX"/>
        </w:rPr>
        <w:t xml:space="preserve">teniendo en cuenta </w:t>
      </w:r>
      <w:r w:rsidR="00AF5EBA">
        <w:rPr>
          <w:rFonts w:ascii="Arial" w:hAnsi="Arial" w:cs="Arial"/>
          <w:sz w:val="24"/>
          <w:szCs w:val="24"/>
          <w:lang w:val="es-MX"/>
        </w:rPr>
        <w:t xml:space="preserve">que la </w:t>
      </w:r>
      <w:r w:rsidR="00AF5EBA" w:rsidRPr="00AF5EBA">
        <w:rPr>
          <w:rFonts w:ascii="Arial" w:hAnsi="Arial" w:cs="Arial"/>
          <w:sz w:val="24"/>
          <w:szCs w:val="24"/>
          <w:lang w:val="es-MX"/>
        </w:rPr>
        <w:t>Circular Informativa</w:t>
      </w:r>
      <w:r w:rsidR="00AF5EBA">
        <w:rPr>
          <w:rFonts w:ascii="Arial" w:hAnsi="Arial" w:cs="Arial"/>
          <w:b/>
          <w:sz w:val="24"/>
          <w:szCs w:val="24"/>
          <w:lang w:val="es-MX"/>
        </w:rPr>
        <w:t xml:space="preserve"> </w:t>
      </w:r>
      <w:r w:rsidR="00AF5EBA">
        <w:rPr>
          <w:rFonts w:ascii="Arial" w:hAnsi="Arial" w:cs="Arial"/>
          <w:sz w:val="24"/>
          <w:szCs w:val="24"/>
          <w:lang w:val="es-MX"/>
        </w:rPr>
        <w:t xml:space="preserve">con numero de radicado </w:t>
      </w:r>
      <w:r w:rsidR="00AF5EBA" w:rsidRPr="00AF5EBA">
        <w:rPr>
          <w:rFonts w:ascii="Arial" w:hAnsi="Arial" w:cs="Arial"/>
          <w:sz w:val="24"/>
          <w:szCs w:val="24"/>
          <w:lang w:val="es-MX"/>
        </w:rPr>
        <w:t>20216010006853</w:t>
      </w:r>
      <w:r w:rsidR="00AF5EBA">
        <w:rPr>
          <w:rFonts w:ascii="Arial" w:hAnsi="Arial" w:cs="Arial"/>
          <w:b/>
          <w:sz w:val="24"/>
          <w:szCs w:val="24"/>
          <w:lang w:val="es-MX"/>
        </w:rPr>
        <w:t xml:space="preserve"> </w:t>
      </w:r>
      <w:r w:rsidR="00AF5EBA">
        <w:rPr>
          <w:rFonts w:ascii="Arial" w:hAnsi="Arial" w:cs="Arial"/>
          <w:sz w:val="24"/>
          <w:szCs w:val="24"/>
          <w:lang w:val="es-MX"/>
        </w:rPr>
        <w:t>presentada por el Departamento de Gestión Financiera indica que: “</w:t>
      </w:r>
      <w:r w:rsidR="00AF5EBA" w:rsidRPr="00AF5EBA">
        <w:rPr>
          <w:rFonts w:ascii="Arial" w:hAnsi="Arial" w:cs="Arial"/>
          <w:i/>
          <w:sz w:val="24"/>
          <w:szCs w:val="24"/>
          <w:lang w:val="es-MX"/>
        </w:rPr>
        <w:t>solo se atenderán inquietudes o peticiones de aquellos pagos que demuestren tener más de siete (7) días hábiles desde su radicación por parte del  Departamento de Gestión Talento Humano o Departamento de Gestión de Bienes y Suministros en esta dependencia</w:t>
      </w:r>
      <w:r w:rsidR="00AF5EBA">
        <w:rPr>
          <w:rFonts w:ascii="Arial" w:hAnsi="Arial" w:cs="Arial"/>
          <w:sz w:val="24"/>
          <w:szCs w:val="24"/>
          <w:lang w:val="es-MX"/>
        </w:rPr>
        <w:t>”. Por consiguiente, se inf</w:t>
      </w:r>
      <w:r w:rsidR="00715836">
        <w:rPr>
          <w:rFonts w:ascii="Arial" w:hAnsi="Arial" w:cs="Arial"/>
          <w:sz w:val="24"/>
          <w:szCs w:val="24"/>
          <w:lang w:val="es-MX"/>
        </w:rPr>
        <w:t>orma que el día</w:t>
      </w:r>
      <w:r w:rsidR="00042F99">
        <w:rPr>
          <w:rFonts w:ascii="Arial" w:hAnsi="Arial" w:cs="Arial"/>
          <w:sz w:val="24"/>
          <w:szCs w:val="24"/>
          <w:lang w:val="es-MX"/>
        </w:rPr>
        <w:t xml:space="preserve"> </w:t>
      </w:r>
      <w:r w:rsidR="00BB5B34">
        <w:rPr>
          <w:rFonts w:ascii="Arial" w:hAnsi="Arial" w:cs="Arial"/>
          <w:sz w:val="24"/>
          <w:szCs w:val="24"/>
          <w:lang w:val="es-MX"/>
        </w:rPr>
        <w:t>0</w:t>
      </w:r>
      <w:r w:rsidR="00F023C8">
        <w:rPr>
          <w:rFonts w:ascii="Arial" w:hAnsi="Arial" w:cs="Arial"/>
          <w:sz w:val="24"/>
          <w:szCs w:val="24"/>
          <w:lang w:val="es-MX"/>
        </w:rPr>
        <w:t>5</w:t>
      </w:r>
      <w:r w:rsidR="00AF5EBA">
        <w:rPr>
          <w:rFonts w:ascii="Arial" w:hAnsi="Arial" w:cs="Arial"/>
          <w:sz w:val="24"/>
          <w:szCs w:val="24"/>
          <w:lang w:val="es-MX"/>
        </w:rPr>
        <w:t xml:space="preserve"> de </w:t>
      </w:r>
      <w:r w:rsidR="00F023C8">
        <w:rPr>
          <w:rFonts w:ascii="Arial" w:hAnsi="Arial" w:cs="Arial"/>
          <w:sz w:val="24"/>
          <w:szCs w:val="24"/>
          <w:lang w:val="es-MX"/>
        </w:rPr>
        <w:t>noviembre</w:t>
      </w:r>
      <w:r w:rsidR="00AF5EBA">
        <w:rPr>
          <w:rFonts w:ascii="Arial" w:hAnsi="Arial" w:cs="Arial"/>
          <w:sz w:val="24"/>
          <w:szCs w:val="24"/>
          <w:lang w:val="es-MX"/>
        </w:rPr>
        <w:t xml:space="preserve"> del presente año se realizó la radicación de la </w:t>
      </w:r>
      <w:r w:rsidR="00BB5B34">
        <w:rPr>
          <w:rFonts w:ascii="Arial" w:hAnsi="Arial" w:cs="Arial"/>
          <w:sz w:val="24"/>
          <w:szCs w:val="24"/>
          <w:lang w:val="es-MX"/>
        </w:rPr>
        <w:t>0</w:t>
      </w:r>
      <w:r w:rsidR="00F023C8">
        <w:rPr>
          <w:rFonts w:ascii="Arial" w:hAnsi="Arial" w:cs="Arial"/>
          <w:sz w:val="24"/>
          <w:szCs w:val="24"/>
          <w:lang w:val="es-MX"/>
        </w:rPr>
        <w:t xml:space="preserve">8 </w:t>
      </w:r>
      <w:r w:rsidR="00AF5EBA">
        <w:rPr>
          <w:rFonts w:ascii="Arial" w:hAnsi="Arial" w:cs="Arial"/>
          <w:sz w:val="24"/>
          <w:szCs w:val="24"/>
          <w:lang w:val="es-MX"/>
        </w:rPr>
        <w:t xml:space="preserve">cuota de pago del CPS en mención ante el Departamento de Gestión de Talento Humano </w:t>
      </w:r>
      <w:r w:rsidR="0025327B">
        <w:rPr>
          <w:rFonts w:ascii="Arial" w:hAnsi="Arial" w:cs="Arial"/>
          <w:sz w:val="24"/>
          <w:szCs w:val="24"/>
          <w:lang w:val="es-MX"/>
        </w:rPr>
        <w:t>(ver anexos)</w:t>
      </w:r>
      <w:r w:rsidR="00BB5B34">
        <w:rPr>
          <w:rFonts w:ascii="Arial" w:hAnsi="Arial" w:cs="Arial"/>
          <w:sz w:val="24"/>
          <w:szCs w:val="24"/>
          <w:lang w:val="es-MX"/>
        </w:rPr>
        <w:t xml:space="preserve">, los contratistas de Talento Humano radicaron en el Departamento de Gestión Financiera, la cuenta de cobro desde el día </w:t>
      </w:r>
      <w:r w:rsidR="00F023C8">
        <w:rPr>
          <w:rFonts w:ascii="Arial" w:hAnsi="Arial" w:cs="Arial"/>
          <w:color w:val="222222"/>
          <w:shd w:val="clear" w:color="auto" w:fill="FFFFFF"/>
        </w:rPr>
        <w:t>16 </w:t>
      </w:r>
      <w:r w:rsidR="00BB5B34">
        <w:rPr>
          <w:rFonts w:ascii="Arial" w:hAnsi="Arial" w:cs="Arial"/>
          <w:sz w:val="24"/>
          <w:szCs w:val="24"/>
          <w:lang w:val="es-MX"/>
        </w:rPr>
        <w:t xml:space="preserve">de </w:t>
      </w:r>
      <w:r w:rsidR="00F023C8">
        <w:rPr>
          <w:rFonts w:ascii="Arial" w:hAnsi="Arial" w:cs="Arial"/>
          <w:sz w:val="24"/>
          <w:szCs w:val="24"/>
          <w:lang w:val="es-MX"/>
        </w:rPr>
        <w:t>noviembre</w:t>
      </w:r>
      <w:r w:rsidR="00BB5B34">
        <w:rPr>
          <w:rFonts w:ascii="Arial" w:hAnsi="Arial" w:cs="Arial"/>
          <w:sz w:val="24"/>
          <w:szCs w:val="24"/>
          <w:lang w:val="es-MX"/>
        </w:rPr>
        <w:t xml:space="preserve"> (ver Anexo) y a la fecha no se ha recibido dicho pago. </w:t>
      </w:r>
    </w:p>
    <w:p w:rsidR="00AF5EBA" w:rsidRDefault="0025327B" w:rsidP="00AF5EBA">
      <w:pPr>
        <w:spacing w:line="360" w:lineRule="auto"/>
        <w:jc w:val="both"/>
        <w:rPr>
          <w:rFonts w:ascii="Arial" w:hAnsi="Arial" w:cs="Arial"/>
          <w:sz w:val="24"/>
          <w:szCs w:val="24"/>
          <w:lang w:val="es-MX"/>
        </w:rPr>
      </w:pPr>
      <w:r>
        <w:rPr>
          <w:rFonts w:ascii="Arial" w:hAnsi="Arial" w:cs="Arial"/>
          <w:sz w:val="24"/>
          <w:szCs w:val="24"/>
          <w:lang w:val="es-MX"/>
        </w:rPr>
        <w:t xml:space="preserve">Se recuerda que es obligación por parte de contratista cumplir con sus obligaciones laborales, pero también la obligación que tiene La Universidad en cumplir con los tiempos estipulados, por esto, se necesita que revisen sus procesos para determinar donde se está presentado la reiterada demora (todos los meses) </w:t>
      </w:r>
      <w:r w:rsidR="000B43FF">
        <w:rPr>
          <w:rFonts w:ascii="Arial" w:hAnsi="Arial" w:cs="Arial"/>
          <w:sz w:val="24"/>
          <w:szCs w:val="24"/>
          <w:lang w:val="es-MX"/>
        </w:rPr>
        <w:t>con la finalidad de tomar</w:t>
      </w:r>
      <w:r>
        <w:rPr>
          <w:rFonts w:ascii="Arial" w:hAnsi="Arial" w:cs="Arial"/>
          <w:sz w:val="24"/>
          <w:szCs w:val="24"/>
          <w:lang w:val="es-MX"/>
        </w:rPr>
        <w:t xml:space="preserve"> las correspondientes acciones de mejora </w:t>
      </w:r>
      <w:r w:rsidR="0001318A">
        <w:rPr>
          <w:rFonts w:ascii="Arial" w:hAnsi="Arial" w:cs="Arial"/>
          <w:sz w:val="24"/>
          <w:szCs w:val="24"/>
          <w:lang w:val="es-MX"/>
        </w:rPr>
        <w:t>y</w:t>
      </w:r>
      <w:r>
        <w:rPr>
          <w:rFonts w:ascii="Arial" w:hAnsi="Arial" w:cs="Arial"/>
          <w:sz w:val="24"/>
          <w:szCs w:val="24"/>
          <w:lang w:val="es-MX"/>
        </w:rPr>
        <w:t xml:space="preserve"> que no se vuelva a presentar.</w:t>
      </w:r>
      <w:r w:rsidR="00715836">
        <w:rPr>
          <w:rFonts w:ascii="Arial" w:hAnsi="Arial" w:cs="Arial"/>
          <w:sz w:val="24"/>
          <w:szCs w:val="24"/>
          <w:lang w:val="es-MX"/>
        </w:rPr>
        <w:t xml:space="preserve"> Los procesos en ambas dependencias son demasiado demorados y perjudican los tiempos para el pago oportuno. </w:t>
      </w:r>
    </w:p>
    <w:p w:rsidR="0025327B" w:rsidRDefault="0025327B" w:rsidP="00AF5EBA">
      <w:pPr>
        <w:spacing w:line="360" w:lineRule="auto"/>
        <w:jc w:val="both"/>
        <w:rPr>
          <w:rFonts w:ascii="Arial" w:hAnsi="Arial" w:cs="Arial"/>
          <w:sz w:val="24"/>
          <w:szCs w:val="24"/>
          <w:lang w:val="es-MX"/>
        </w:rPr>
      </w:pPr>
    </w:p>
    <w:p w:rsidR="0025327B" w:rsidRDefault="0025327B" w:rsidP="00AF5EBA">
      <w:pPr>
        <w:spacing w:line="360" w:lineRule="auto"/>
        <w:jc w:val="both"/>
        <w:rPr>
          <w:rFonts w:ascii="Arial" w:hAnsi="Arial" w:cs="Arial"/>
          <w:sz w:val="24"/>
          <w:szCs w:val="24"/>
          <w:lang w:val="es-MX"/>
        </w:rPr>
      </w:pPr>
    </w:p>
    <w:p w:rsidR="0025327B" w:rsidRDefault="0025327B" w:rsidP="00AF5EBA">
      <w:pPr>
        <w:spacing w:line="360" w:lineRule="auto"/>
        <w:jc w:val="both"/>
        <w:rPr>
          <w:rFonts w:ascii="Arial" w:hAnsi="Arial" w:cs="Arial"/>
          <w:sz w:val="24"/>
          <w:szCs w:val="24"/>
          <w:lang w:val="es-MX"/>
        </w:rPr>
      </w:pPr>
    </w:p>
    <w:p w:rsidR="0025327B" w:rsidRDefault="006A2344" w:rsidP="006A2344">
      <w:pPr>
        <w:spacing w:line="360" w:lineRule="auto"/>
        <w:jc w:val="center"/>
        <w:rPr>
          <w:rFonts w:ascii="Arial" w:hAnsi="Arial" w:cs="Arial"/>
          <w:b/>
          <w:sz w:val="28"/>
          <w:szCs w:val="28"/>
          <w:lang w:val="es-MX"/>
        </w:rPr>
      </w:pPr>
      <w:r>
        <w:rPr>
          <w:rFonts w:ascii="Arial" w:hAnsi="Arial" w:cs="Arial"/>
          <w:b/>
          <w:sz w:val="28"/>
          <w:szCs w:val="28"/>
          <w:lang w:val="es-MX"/>
        </w:rPr>
        <w:t>ANEXOS</w:t>
      </w:r>
    </w:p>
    <w:p w:rsidR="00715836" w:rsidRDefault="00715836" w:rsidP="006A2344">
      <w:pPr>
        <w:spacing w:line="360" w:lineRule="auto"/>
        <w:jc w:val="center"/>
        <w:rPr>
          <w:rFonts w:ascii="Arial" w:hAnsi="Arial" w:cs="Arial"/>
          <w:sz w:val="24"/>
          <w:szCs w:val="24"/>
          <w:lang w:val="es-MX"/>
        </w:rPr>
      </w:pPr>
    </w:p>
    <w:p w:rsidR="00BB5B34" w:rsidRDefault="00BB5B34" w:rsidP="006A2344">
      <w:pPr>
        <w:spacing w:line="360" w:lineRule="auto"/>
        <w:jc w:val="center"/>
        <w:rPr>
          <w:rFonts w:ascii="Arial" w:hAnsi="Arial" w:cs="Arial"/>
          <w:sz w:val="24"/>
          <w:szCs w:val="24"/>
          <w:lang w:val="es-MX"/>
        </w:rPr>
      </w:pPr>
    </w:p>
    <w:p w:rsidR="00BB5B34" w:rsidRDefault="00F023C8" w:rsidP="006A2344">
      <w:pPr>
        <w:spacing w:line="360" w:lineRule="auto"/>
        <w:jc w:val="center"/>
        <w:rPr>
          <w:rFonts w:ascii="Arial" w:hAnsi="Arial" w:cs="Arial"/>
          <w:sz w:val="24"/>
          <w:szCs w:val="24"/>
          <w:lang w:val="es-MX"/>
        </w:rPr>
      </w:pPr>
      <w:r>
        <w:rPr>
          <w:noProof/>
          <w:lang w:val="es-CO" w:eastAsia="es-CO"/>
        </w:rPr>
        <w:drawing>
          <wp:inline distT="0" distB="0" distL="0" distR="0" wp14:anchorId="51E13C10" wp14:editId="5F73DA78">
            <wp:extent cx="5612130" cy="296862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2968625"/>
                    </a:xfrm>
                    <a:prstGeom prst="rect">
                      <a:avLst/>
                    </a:prstGeom>
                  </pic:spPr>
                </pic:pic>
              </a:graphicData>
            </a:graphic>
          </wp:inline>
        </w:drawing>
      </w:r>
      <w:bookmarkStart w:id="0" w:name="_GoBack"/>
      <w:bookmarkEnd w:id="0"/>
    </w:p>
    <w:p w:rsidR="0025327B" w:rsidRPr="0025327B" w:rsidRDefault="0025327B" w:rsidP="0025327B">
      <w:pPr>
        <w:spacing w:line="360" w:lineRule="auto"/>
        <w:jc w:val="center"/>
        <w:rPr>
          <w:rFonts w:ascii="Arial" w:hAnsi="Arial" w:cs="Arial"/>
          <w:b/>
          <w:sz w:val="28"/>
          <w:szCs w:val="28"/>
          <w:lang w:val="es-MX"/>
        </w:rPr>
      </w:pPr>
    </w:p>
    <w:sectPr w:rsidR="0025327B" w:rsidRPr="002532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B65"/>
    <w:rsid w:val="0001318A"/>
    <w:rsid w:val="00042F99"/>
    <w:rsid w:val="0005433E"/>
    <w:rsid w:val="000B43FF"/>
    <w:rsid w:val="0025327B"/>
    <w:rsid w:val="0043629A"/>
    <w:rsid w:val="00447A28"/>
    <w:rsid w:val="006A2344"/>
    <w:rsid w:val="00715836"/>
    <w:rsid w:val="00915B65"/>
    <w:rsid w:val="00923A2E"/>
    <w:rsid w:val="00987B65"/>
    <w:rsid w:val="009C23FA"/>
    <w:rsid w:val="00AF5EBA"/>
    <w:rsid w:val="00BB5B34"/>
    <w:rsid w:val="00CF459C"/>
    <w:rsid w:val="00D944A3"/>
    <w:rsid w:val="00DF4DDA"/>
    <w:rsid w:val="00F02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30E9"/>
  <w15:chartTrackingRefBased/>
  <w15:docId w15:val="{9D97B55A-E4AC-4DAB-B38A-27CB3F7E8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87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267</Words>
  <Characters>1472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Ands</dc:creator>
  <cp:keywords/>
  <dc:description/>
  <cp:lastModifiedBy>Jose Giron</cp:lastModifiedBy>
  <cp:revision>4</cp:revision>
  <cp:lastPrinted>2021-05-21T21:09:00Z</cp:lastPrinted>
  <dcterms:created xsi:type="dcterms:W3CDTF">2021-08-25T21:06:00Z</dcterms:created>
  <dcterms:modified xsi:type="dcterms:W3CDTF">2021-12-02T02:05:00Z</dcterms:modified>
</cp:coreProperties>
</file>