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Phoebe George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2022-10-24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Et consequuntur aspe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Tenetur voluptatum n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2022-10-13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education,experience,eligibility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education,experience,eligibility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