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76978" w:rsidRPr="00676978" w:rsidTr="00676978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="00676978" w:rsidRPr="00676978" w:rsidRDefault="00676978" w:rsidP="00676978">
            <w:pPr>
              <w:spacing w:after="24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FGV</w:t>
            </w:r>
            <w:bookmarkStart w:id="0" w:name="_GoBack"/>
            <w:bookmarkEnd w:id="0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666666"/>
                <w:sz w:val="18"/>
                <w:szCs w:val="18"/>
                <w:lang w:eastAsia="pt-BR"/>
              </w:rPr>
              <w:drawing>
                <wp:inline distT="0" distB="0" distL="0" distR="0">
                  <wp:extent cx="6350" cy="76200"/>
                  <wp:effectExtent l="0" t="0" r="0" b="0"/>
                  <wp:docPr id="2" name="Imagem 2" descr="http://www.fgv.br/fgvmgm/Imagem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gv.br/fgvmgm/Imagem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666666"/>
                <w:sz w:val="18"/>
                <w:szCs w:val="18"/>
                <w:lang w:eastAsia="pt-BR"/>
              </w:rPr>
              <w:drawing>
                <wp:inline distT="0" distB="0" distL="0" distR="0">
                  <wp:extent cx="2209800" cy="184150"/>
                  <wp:effectExtent l="0" t="0" r="0" b="6350"/>
                  <wp:docPr id="1" name="Imagem 1" descr="http://www.fgv.br/fgvmgm/Imagem/tit_det_cur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fgv.br/fgvmgm/Imagem/tit_det_curs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1C2F67"/>
                <w:sz w:val="26"/>
                <w:szCs w:val="26"/>
                <w:lang w:eastAsia="pt-BR"/>
              </w:rPr>
              <w:t>MBA em Gestão Empresarial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Um dos cursos de maior sucesso é o MBA em Gestão Empresarial que tem como objetivos proporcionar capacitação técnica e aprofundada na Gestão de Empresas, e desenvolver visão estratégica e de mercado. Para tanto, o curso oferece instrumentais que desenvolvam eficiência do profissional na tomada de decisões, ampliando sua capacidade de analisar, estruturar e sintetizar as informações relacionadas à área de administração.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O curso busca, ainda, desenvolver as habilidades pessoais em comunicação, planejamento e liderança.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 </w:t>
            </w:r>
            <w:hyperlink r:id="rId7" w:anchor="publico" w:history="1">
              <w:r w:rsidRPr="00676978">
                <w:rPr>
                  <w:rFonts w:ascii="Verdana" w:eastAsia="Times New Roman" w:hAnsi="Verdana" w:cs="Times New Roman"/>
                  <w:color w:val="1C2F67"/>
                  <w:sz w:val="18"/>
                  <w:szCs w:val="18"/>
                  <w:lang w:eastAsia="pt-BR"/>
                </w:rPr>
                <w:t>Público-alvo</w:t>
              </w:r>
            </w:hyperlink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 </w:t>
            </w:r>
            <w:hyperlink r:id="rId8" w:anchor="carga" w:history="1">
              <w:r w:rsidRPr="00676978">
                <w:rPr>
                  <w:rFonts w:ascii="Verdana" w:eastAsia="Times New Roman" w:hAnsi="Verdana" w:cs="Times New Roman"/>
                  <w:color w:val="1C2F67"/>
                  <w:sz w:val="18"/>
                  <w:szCs w:val="18"/>
                  <w:lang w:eastAsia="pt-BR"/>
                </w:rPr>
                <w:t>Carga horária</w:t>
              </w:r>
            </w:hyperlink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 </w:t>
            </w:r>
            <w:hyperlink r:id="rId9" w:anchor="metodologia" w:history="1">
              <w:r w:rsidRPr="00676978">
                <w:rPr>
                  <w:rFonts w:ascii="Verdana" w:eastAsia="Times New Roman" w:hAnsi="Verdana" w:cs="Times New Roman"/>
                  <w:color w:val="1C2F67"/>
                  <w:sz w:val="18"/>
                  <w:szCs w:val="18"/>
                  <w:lang w:eastAsia="pt-BR"/>
                </w:rPr>
                <w:t>Metodologia</w:t>
              </w:r>
            </w:hyperlink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 </w:t>
            </w:r>
            <w:hyperlink r:id="rId10" w:anchor="avaliacao" w:history="1">
              <w:r w:rsidRPr="00676978">
                <w:rPr>
                  <w:rFonts w:ascii="Verdana" w:eastAsia="Times New Roman" w:hAnsi="Verdana" w:cs="Times New Roman"/>
                  <w:color w:val="1C2F67"/>
                  <w:sz w:val="18"/>
                  <w:szCs w:val="18"/>
                  <w:lang w:eastAsia="pt-BR"/>
                </w:rPr>
                <w:t>Avaliação da Aprendizagem</w:t>
              </w:r>
            </w:hyperlink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 </w:t>
            </w:r>
            <w:hyperlink r:id="rId11" w:anchor="certificado" w:history="1">
              <w:r w:rsidRPr="00676978">
                <w:rPr>
                  <w:rFonts w:ascii="Verdana" w:eastAsia="Times New Roman" w:hAnsi="Verdana" w:cs="Times New Roman"/>
                  <w:color w:val="1C2F67"/>
                  <w:sz w:val="18"/>
                  <w:szCs w:val="18"/>
                  <w:lang w:eastAsia="pt-BR"/>
                </w:rPr>
                <w:t>Certificado</w:t>
              </w:r>
            </w:hyperlink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 </w:t>
            </w:r>
            <w:hyperlink r:id="rId12" w:anchor="programa" w:history="1">
              <w:r w:rsidRPr="00676978">
                <w:rPr>
                  <w:rFonts w:ascii="Verdana" w:eastAsia="Times New Roman" w:hAnsi="Verdana" w:cs="Times New Roman"/>
                  <w:color w:val="1C2F67"/>
                  <w:sz w:val="18"/>
                  <w:szCs w:val="18"/>
                  <w:lang w:eastAsia="pt-BR"/>
                </w:rPr>
                <w:t>Programa</w:t>
              </w:r>
            </w:hyperlink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 </w:t>
            </w:r>
            <w:hyperlink r:id="rId13" w:history="1">
              <w:r w:rsidRPr="00676978">
                <w:rPr>
                  <w:rFonts w:ascii="Verdana" w:eastAsia="Times New Roman" w:hAnsi="Verdana" w:cs="Times New Roman"/>
                  <w:color w:val="1C2F67"/>
                  <w:sz w:val="18"/>
                  <w:szCs w:val="18"/>
                  <w:lang w:eastAsia="pt-BR"/>
                </w:rPr>
                <w:t>Ementas das disciplinas obrigatórias</w:t>
              </w:r>
            </w:hyperlink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bookmarkStart w:id="1" w:name="publico"/>
            <w:bookmarkEnd w:id="1"/>
            <w:r w:rsidRPr="00676978">
              <w:rPr>
                <w:rFonts w:ascii="Verdana" w:eastAsia="Times New Roman" w:hAnsi="Verdana" w:cs="Times New Roman"/>
                <w:b/>
                <w:bCs/>
                <w:color w:val="AAAAAA"/>
                <w:lang w:eastAsia="pt-BR"/>
              </w:rPr>
              <w:t>Público-alvo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Profissionais que sentem necessidade de reciclagem ou que atingiram em suas carreiras posições que os obrigam a alcançar novos níveis de formação acadêmica. Destina-se também àqueles que se preparam para cargos executivos em suas empresas e que, além da experiência adquirida na prática, buscam conhecimentos mais aprofundados em economia, gerência, finanças e administração de pessoas.</w:t>
            </w:r>
            <w:proofErr w:type="gramStart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proofErr w:type="gramEnd"/>
          </w:p>
          <w:p w:rsidR="00676978" w:rsidRPr="00676978" w:rsidRDefault="00676978" w:rsidP="0067697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676978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pt-BR"/>
              </w:rPr>
              <w:t>| </w:t>
            </w:r>
            <w:hyperlink r:id="rId14" w:anchor="topo" w:history="1">
              <w:r w:rsidRPr="00676978">
                <w:rPr>
                  <w:rFonts w:ascii="Verdana" w:eastAsia="Times New Roman" w:hAnsi="Verdana" w:cs="Times New Roman"/>
                  <w:color w:val="333333"/>
                  <w:sz w:val="14"/>
                  <w:szCs w:val="14"/>
                  <w:lang w:eastAsia="pt-BR"/>
                </w:rPr>
                <w:t>Volta ao topo</w:t>
              </w:r>
            </w:hyperlink>
            <w:r w:rsidRPr="00676978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pt-BR"/>
              </w:rPr>
              <w:t> |</w:t>
            </w:r>
          </w:p>
          <w:p w:rsidR="00676978" w:rsidRPr="00676978" w:rsidRDefault="00676978" w:rsidP="00676978">
            <w:pPr>
              <w:spacing w:after="24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bookmarkStart w:id="2" w:name="carga"/>
            <w:bookmarkEnd w:id="2"/>
            <w:r w:rsidRPr="00676978">
              <w:rPr>
                <w:rFonts w:ascii="Verdana" w:eastAsia="Times New Roman" w:hAnsi="Verdana" w:cs="Times New Roman"/>
                <w:b/>
                <w:bCs/>
                <w:color w:val="AAAAAA"/>
                <w:lang w:eastAsia="pt-BR"/>
              </w:rPr>
              <w:t>Carga horária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432 horas.</w:t>
            </w:r>
            <w:proofErr w:type="gramStart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proofErr w:type="gramEnd"/>
          </w:p>
          <w:p w:rsidR="00676978" w:rsidRPr="00676978" w:rsidRDefault="00676978" w:rsidP="0067697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676978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pt-BR"/>
              </w:rPr>
              <w:t>| </w:t>
            </w:r>
            <w:hyperlink r:id="rId15" w:anchor="topo" w:history="1">
              <w:r w:rsidRPr="00676978">
                <w:rPr>
                  <w:rFonts w:ascii="Verdana" w:eastAsia="Times New Roman" w:hAnsi="Verdana" w:cs="Times New Roman"/>
                  <w:color w:val="333333"/>
                  <w:sz w:val="14"/>
                  <w:szCs w:val="14"/>
                  <w:lang w:eastAsia="pt-BR"/>
                </w:rPr>
                <w:t>Volta ao topo</w:t>
              </w:r>
            </w:hyperlink>
            <w:r w:rsidRPr="00676978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pt-BR"/>
              </w:rPr>
              <w:t> |</w:t>
            </w:r>
          </w:p>
          <w:p w:rsidR="00676978" w:rsidRPr="00676978" w:rsidRDefault="00676978" w:rsidP="00676978">
            <w:pPr>
              <w:spacing w:after="24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bookmarkStart w:id="3" w:name="metodologia"/>
            <w:bookmarkEnd w:id="3"/>
            <w:r w:rsidRPr="00676978">
              <w:rPr>
                <w:rFonts w:ascii="Verdana" w:eastAsia="Times New Roman" w:hAnsi="Verdana" w:cs="Times New Roman"/>
                <w:b/>
                <w:bCs/>
                <w:color w:val="AAAAAA"/>
                <w:lang w:eastAsia="pt-BR"/>
              </w:rPr>
              <w:t>Metodologia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 Aulas expositivas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 Estudos de casos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 Exercícios orientados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 Estudo dirigido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 Trabalhos em grupo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• Relatos de experiências dos participantes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</w:p>
          <w:p w:rsidR="00676978" w:rsidRPr="00676978" w:rsidRDefault="00676978" w:rsidP="0067697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676978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pt-BR"/>
              </w:rPr>
              <w:t>| </w:t>
            </w:r>
            <w:hyperlink r:id="rId16" w:anchor="topo" w:history="1">
              <w:r w:rsidRPr="00676978">
                <w:rPr>
                  <w:rFonts w:ascii="Verdana" w:eastAsia="Times New Roman" w:hAnsi="Verdana" w:cs="Times New Roman"/>
                  <w:color w:val="333333"/>
                  <w:sz w:val="14"/>
                  <w:szCs w:val="14"/>
                  <w:lang w:eastAsia="pt-BR"/>
                </w:rPr>
                <w:t>Volta ao topo</w:t>
              </w:r>
            </w:hyperlink>
            <w:r w:rsidRPr="00676978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pt-BR"/>
              </w:rPr>
              <w:t> |</w:t>
            </w:r>
          </w:p>
          <w:p w:rsidR="00676978" w:rsidRPr="00676978" w:rsidRDefault="00676978" w:rsidP="00676978">
            <w:pPr>
              <w:spacing w:after="24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bookmarkStart w:id="4" w:name="avaliacao"/>
            <w:bookmarkEnd w:id="4"/>
            <w:r w:rsidRPr="00676978">
              <w:rPr>
                <w:rFonts w:ascii="Verdana" w:eastAsia="Times New Roman" w:hAnsi="Verdana" w:cs="Times New Roman"/>
                <w:b/>
                <w:bCs/>
                <w:color w:val="AAAAAA"/>
                <w:lang w:eastAsia="pt-BR"/>
              </w:rPr>
              <w:t>Avaliação da Aprendizagem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 xml:space="preserve">Ao matricular-se no curso o aluno estará aceitando as normas estabelecidas pelo Regulamento do FGV Management. Cada disciplina do curso terá sua avaliação própria. Caso o aluno seja reprovado em uma disciplina, por insuficiência de nota ou de presença, terá de </w:t>
            </w:r>
            <w:proofErr w:type="spellStart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repetí-la</w:t>
            </w:r>
            <w:proofErr w:type="spellEnd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 xml:space="preserve"> em </w:t>
            </w:r>
            <w:proofErr w:type="gramStart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um outro</w:t>
            </w:r>
            <w:proofErr w:type="gramEnd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 xml:space="preserve"> curso que venha a ser programado ou, alternativamente, fazê-la via Internet. Até duas disciplinas do curso podem ser substituídas pelas oferecidas pelo FGV Online que sejam julgadas </w:t>
            </w:r>
            <w:proofErr w:type="spellStart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eqüivalentes</w:t>
            </w:r>
            <w:proofErr w:type="spellEnd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 xml:space="preserve"> pela Central de Qualidade. 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proofErr w:type="gramStart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(</w:t>
            </w:r>
            <w:proofErr w:type="gramEnd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ver </w:t>
            </w:r>
            <w:hyperlink r:id="rId17" w:tgtFrame="FGVOnline" w:history="1">
              <w:r w:rsidRPr="00676978">
                <w:rPr>
                  <w:rFonts w:ascii="Verdana" w:eastAsia="Times New Roman" w:hAnsi="Verdana" w:cs="Times New Roman"/>
                  <w:color w:val="1C2F67"/>
                  <w:sz w:val="18"/>
                  <w:szCs w:val="18"/>
                  <w:lang w:eastAsia="pt-BR"/>
                </w:rPr>
                <w:t>www.fgv.br/fgvonline</w:t>
              </w:r>
            </w:hyperlink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).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</w:p>
          <w:p w:rsidR="00676978" w:rsidRPr="00676978" w:rsidRDefault="00676978" w:rsidP="0067697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676978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pt-BR"/>
              </w:rPr>
              <w:t>| </w:t>
            </w:r>
            <w:hyperlink r:id="rId18" w:anchor="topo" w:history="1">
              <w:r w:rsidRPr="00676978">
                <w:rPr>
                  <w:rFonts w:ascii="Verdana" w:eastAsia="Times New Roman" w:hAnsi="Verdana" w:cs="Times New Roman"/>
                  <w:color w:val="333333"/>
                  <w:sz w:val="14"/>
                  <w:szCs w:val="14"/>
                  <w:lang w:eastAsia="pt-BR"/>
                </w:rPr>
                <w:t>Volta ao topo</w:t>
              </w:r>
            </w:hyperlink>
            <w:r w:rsidRPr="00676978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pt-BR"/>
              </w:rPr>
              <w:t> |</w:t>
            </w:r>
          </w:p>
          <w:p w:rsidR="00676978" w:rsidRPr="00676978" w:rsidRDefault="00676978" w:rsidP="00676978">
            <w:pPr>
              <w:spacing w:after="24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bookmarkStart w:id="5" w:name="certificado"/>
            <w:bookmarkEnd w:id="5"/>
            <w:r w:rsidRPr="00676978">
              <w:rPr>
                <w:rFonts w:ascii="Verdana" w:eastAsia="Times New Roman" w:hAnsi="Verdana" w:cs="Times New Roman"/>
                <w:b/>
                <w:bCs/>
                <w:color w:val="AAAAAA"/>
                <w:lang w:eastAsia="pt-BR"/>
              </w:rPr>
              <w:t>Certificado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 xml:space="preserve">Ao longo do curso o aluno deverá fazer um Trabalho de Conclusão de Curso, conforme as novas exigências da legislação educacional, Resolução CNE/CES/MEC no </w:t>
            </w:r>
            <w:proofErr w:type="gramStart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>1</w:t>
            </w:r>
            <w:proofErr w:type="gramEnd"/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t xml:space="preserve"> de 3 de Abril de 2001.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Atendidos todos os requisitos do curso, o aluno terá direito ao certificado MBA em Gestão Empresarial, curso de pós-graduação lato sensu, em nível de especialização, emitido pela FGV.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</w:r>
          </w:p>
          <w:p w:rsidR="00676978" w:rsidRPr="00676978" w:rsidRDefault="00676978" w:rsidP="0067697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r w:rsidRPr="00676978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pt-BR"/>
              </w:rPr>
              <w:t>| </w:t>
            </w:r>
            <w:hyperlink r:id="rId19" w:anchor="topo" w:history="1">
              <w:r w:rsidRPr="00676978">
                <w:rPr>
                  <w:rFonts w:ascii="Verdana" w:eastAsia="Times New Roman" w:hAnsi="Verdana" w:cs="Times New Roman"/>
                  <w:color w:val="333333"/>
                  <w:sz w:val="14"/>
                  <w:szCs w:val="14"/>
                  <w:lang w:eastAsia="pt-BR"/>
                </w:rPr>
                <w:t>Volta ao topo</w:t>
              </w:r>
            </w:hyperlink>
            <w:r w:rsidRPr="00676978">
              <w:rPr>
                <w:rFonts w:ascii="Verdana" w:eastAsia="Times New Roman" w:hAnsi="Verdana" w:cs="Times New Roman"/>
                <w:color w:val="333333"/>
                <w:sz w:val="14"/>
                <w:szCs w:val="14"/>
                <w:lang w:eastAsia="pt-BR"/>
              </w:rPr>
              <w:t> |</w:t>
            </w:r>
          </w:p>
          <w:p w:rsidR="00676978" w:rsidRPr="00676978" w:rsidRDefault="00676978" w:rsidP="00676978">
            <w:pPr>
              <w:spacing w:after="24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  <w:bookmarkStart w:id="6" w:name="programa"/>
            <w:bookmarkEnd w:id="6"/>
            <w:r w:rsidRPr="00676978">
              <w:rPr>
                <w:rFonts w:ascii="Verdana" w:eastAsia="Times New Roman" w:hAnsi="Verdana" w:cs="Times New Roman"/>
                <w:b/>
                <w:bCs/>
                <w:color w:val="AAAAAA"/>
                <w:lang w:eastAsia="pt-BR"/>
              </w:rPr>
              <w:t>Programa</w:t>
            </w:r>
            <w:r w:rsidRPr="00676978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  <w:br/>
              <w:t>O programa é composto de dez disciplinas obrigatórias, num total de 240 horas-aula, oferecidas em todos os cursos do MBA em Gestão Empresarial do FGV Management. As disciplinas complementares, num total mínimo de 120 horas-aula, serão definidas pelo Coordenador Acadêmico de acordo com as características e necessidades regionais.</w:t>
            </w:r>
          </w:p>
          <w:tbl>
            <w:tblPr>
              <w:tblW w:w="5000" w:type="pct"/>
              <w:jc w:val="center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354"/>
              <w:gridCol w:w="672"/>
            </w:tblGrid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8"/>
                      <w:szCs w:val="18"/>
                      <w:lang w:eastAsia="pt-BR"/>
                    </w:rPr>
                    <w:t>Parte Comum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8"/>
                      <w:szCs w:val="18"/>
                      <w:lang w:eastAsia="pt-BR"/>
                    </w:rPr>
                    <w:t>Horas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1. Aspectos Comportamentais da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Pessoas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2. Contabilidade para Executivos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3.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DimensÃµes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Funcionais da </w:t>
                  </w:r>
                  <w:proofErr w:type="spell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Pessoas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4. Economia Aplicada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5.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EstratÃ©gia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Empresas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6.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FinanÃ§as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Corporativas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7. Fundamentos de Marketing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8.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Marketing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9.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Qualidade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10.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MatemÃ¡tica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Financeira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8"/>
                      <w:szCs w:val="18"/>
                      <w:lang w:eastAsia="pt-BR"/>
                    </w:rPr>
                    <w:t>Parte Complementar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8"/>
                      <w:szCs w:val="18"/>
                      <w:lang w:eastAsia="pt-BR"/>
                    </w:rPr>
                    <w:t>Horas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A relação abaixo serve como exemplo das diversas disciplinas que podem vir a ser programadas no MBA em Gestão Empresarial. O aluno deverá verificar na instituição onde </w:t>
                  </w:r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pretende</w:t>
                  </w:r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fazer o curso, quais dessas disciplinas estarão, de fato, sendo oferecidas e quais as suas ementas e cargas horárias.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AplicaÃ§Ãµes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</w:t>
                  </w:r>
                  <w:proofErr w:type="spell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EstatÃ</w:t>
                  </w: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softHyphen/>
                    <w:t>stica</w:t>
                  </w:r>
                  <w:proofErr w:type="spellEnd"/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2. Arquitetura Organizacional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29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3.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CompetÃªncia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Interpessoal e </w:t>
                  </w:r>
                  <w:proofErr w:type="spell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MudanÃ§a</w:t>
                  </w:r>
                  <w:proofErr w:type="spell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Organizacional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4. Comportamento do Consumidor e Pesquisa de Mercado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5. Contabilidade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AvanÃ§ada</w:t>
                  </w:r>
                  <w:proofErr w:type="spellEnd"/>
                  <w:proofErr w:type="gramEnd"/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lastRenderedPageBreak/>
                    <w:t>6. Direito do Consumidor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7. Empreendedorismo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8.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FormaÃ§Ã£o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e Gerenciamento de </w:t>
                  </w:r>
                  <w:proofErr w:type="spell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PreÃ§os</w:t>
                  </w:r>
                  <w:proofErr w:type="spellEnd"/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9. Fundamentos do Direito Empresarial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29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10.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Pessoas - Aspectos Funcionais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11.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</w:t>
                  </w:r>
                  <w:proofErr w:type="spell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ProduÃ§Ã£o</w:t>
                  </w:r>
                  <w:proofErr w:type="spellEnd"/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29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12.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Projetos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29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13.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Riscos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14.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Vendas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15.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EstratÃ©gica</w:t>
                  </w:r>
                  <w:proofErr w:type="spell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da </w:t>
                  </w:r>
                  <w:proofErr w:type="spell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InformaÃ§Ã£o</w:t>
                  </w:r>
                  <w:proofErr w:type="spellEnd"/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16.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EstratÃ©gica</w:t>
                  </w:r>
                  <w:proofErr w:type="spell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de Custos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17.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GestÃ£o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Integrada de Custos e </w:t>
                  </w:r>
                  <w:proofErr w:type="spell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OrÃ§amento</w:t>
                  </w:r>
                  <w:proofErr w:type="spellEnd"/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18.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GovernanÃ§a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Corporativa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19.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InovaÃ§Ã£o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nas </w:t>
                  </w:r>
                  <w:proofErr w:type="spell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OrganizaÃ§Ãµes</w:t>
                  </w:r>
                  <w:proofErr w:type="spellEnd"/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20. Jogo de </w:t>
                  </w:r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NegÃ³</w:t>
                  </w:r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cios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29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21.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LogÃ</w:t>
                  </w: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softHyphen/>
                    <w:t>stica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Empresarial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22. Marketing de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ServiÃ§os</w:t>
                  </w:r>
                  <w:proofErr w:type="spellEnd"/>
                  <w:proofErr w:type="gramEnd"/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23. Metodologia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CientÃ</w:t>
                  </w: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softHyphen/>
                    <w:t>fica</w:t>
                  </w:r>
                  <w:proofErr w:type="spellEnd"/>
                  <w:proofErr w:type="gramEnd"/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24.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NegociaÃ§Ã£o</w:t>
                  </w:r>
                  <w:proofErr w:type="spellEnd"/>
                  <w:proofErr w:type="gramEnd"/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29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25. </w:t>
                  </w:r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NegÃ³</w:t>
                  </w:r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cios </w:t>
                  </w:r>
                  <w:proofErr w:type="spell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Internaiconais</w:t>
                  </w:r>
                  <w:proofErr w:type="spellEnd"/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26.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OrÃ§amento</w:t>
                  </w:r>
                  <w:proofErr w:type="spellEnd"/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 e Controle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29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27. Pesquisa Operacional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28. Planejamento </w:t>
                  </w:r>
                  <w:proofErr w:type="spellStart"/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TributÃ¡rio</w:t>
                  </w:r>
                  <w:proofErr w:type="spellEnd"/>
                  <w:proofErr w:type="gramEnd"/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 xml:space="preserve">29. Projeto Integrado de </w:t>
                  </w:r>
                  <w:proofErr w:type="gramStart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NegÃ³</w:t>
                  </w:r>
                  <w:proofErr w:type="gramEnd"/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cios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29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30. Qualidade de Vida no Trabalho</w:t>
                  </w:r>
                </w:p>
              </w:tc>
              <w:tc>
                <w:tcPr>
                  <w:tcW w:w="100" w:type="pct"/>
                  <w:shd w:val="clear" w:color="auto" w:fill="FFFFFF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  <w:tr w:rsidR="00676978" w:rsidRPr="00676978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2F2F2"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31. Responsabilidade Socioambiental</w:t>
                  </w:r>
                </w:p>
              </w:tc>
              <w:tc>
                <w:tcPr>
                  <w:tcW w:w="100" w:type="pct"/>
                  <w:shd w:val="clear" w:color="auto" w:fill="F2F2F2"/>
                  <w:noWrap/>
                  <w:hideMark/>
                </w:tcPr>
                <w:p w:rsidR="00676978" w:rsidRPr="00676978" w:rsidRDefault="00676978" w:rsidP="0067697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</w:pPr>
                  <w:r w:rsidRPr="00676978">
                    <w:rPr>
                      <w:rFonts w:ascii="Verdana" w:eastAsia="Times New Roman" w:hAnsi="Verdana" w:cs="Times New Roman"/>
                      <w:color w:val="666666"/>
                      <w:sz w:val="18"/>
                      <w:szCs w:val="18"/>
                      <w:lang w:eastAsia="pt-BR"/>
                    </w:rPr>
                    <w:t>24</w:t>
                  </w:r>
                </w:p>
              </w:tc>
            </w:tr>
          </w:tbl>
          <w:p w:rsidR="00676978" w:rsidRPr="00676978" w:rsidRDefault="00676978" w:rsidP="00676978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pt-BR"/>
              </w:rPr>
            </w:pPr>
          </w:p>
        </w:tc>
      </w:tr>
    </w:tbl>
    <w:p w:rsidR="000F71A0" w:rsidRDefault="00676978"/>
    <w:sectPr w:rsidR="000F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978"/>
    <w:rsid w:val="00676978"/>
    <w:rsid w:val="00A24E06"/>
    <w:rsid w:val="00E0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">
    <w:name w:val="titulo"/>
    <w:basedOn w:val="Fontepargpadro"/>
    <w:rsid w:val="00676978"/>
  </w:style>
  <w:style w:type="character" w:customStyle="1" w:styleId="apple-converted-space">
    <w:name w:val="apple-converted-space"/>
    <w:basedOn w:val="Fontepargpadro"/>
    <w:rsid w:val="00676978"/>
  </w:style>
  <w:style w:type="character" w:styleId="Hyperlink">
    <w:name w:val="Hyperlink"/>
    <w:basedOn w:val="Fontepargpadro"/>
    <w:uiPriority w:val="99"/>
    <w:semiHidden/>
    <w:unhideWhenUsed/>
    <w:rsid w:val="00676978"/>
    <w:rPr>
      <w:color w:val="0000FF"/>
      <w:u w:val="single"/>
    </w:rPr>
  </w:style>
  <w:style w:type="character" w:customStyle="1" w:styleId="subtitulo">
    <w:name w:val="subtitulo"/>
    <w:basedOn w:val="Fontepargpadro"/>
    <w:rsid w:val="00676978"/>
  </w:style>
  <w:style w:type="character" w:customStyle="1" w:styleId="rodape">
    <w:name w:val="rodape"/>
    <w:basedOn w:val="Fontepargpadro"/>
    <w:rsid w:val="00676978"/>
  </w:style>
  <w:style w:type="paragraph" w:styleId="Textodebalo">
    <w:name w:val="Balloon Text"/>
    <w:basedOn w:val="Normal"/>
    <w:link w:val="TextodebaloChar"/>
    <w:uiPriority w:val="99"/>
    <w:semiHidden/>
    <w:unhideWhenUsed/>
    <w:rsid w:val="0067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">
    <w:name w:val="titulo"/>
    <w:basedOn w:val="Fontepargpadro"/>
    <w:rsid w:val="00676978"/>
  </w:style>
  <w:style w:type="character" w:customStyle="1" w:styleId="apple-converted-space">
    <w:name w:val="apple-converted-space"/>
    <w:basedOn w:val="Fontepargpadro"/>
    <w:rsid w:val="00676978"/>
  </w:style>
  <w:style w:type="character" w:styleId="Hyperlink">
    <w:name w:val="Hyperlink"/>
    <w:basedOn w:val="Fontepargpadro"/>
    <w:uiPriority w:val="99"/>
    <w:semiHidden/>
    <w:unhideWhenUsed/>
    <w:rsid w:val="00676978"/>
    <w:rPr>
      <w:color w:val="0000FF"/>
      <w:u w:val="single"/>
    </w:rPr>
  </w:style>
  <w:style w:type="character" w:customStyle="1" w:styleId="subtitulo">
    <w:name w:val="subtitulo"/>
    <w:basedOn w:val="Fontepargpadro"/>
    <w:rsid w:val="00676978"/>
  </w:style>
  <w:style w:type="character" w:customStyle="1" w:styleId="rodape">
    <w:name w:val="rodape"/>
    <w:basedOn w:val="Fontepargpadro"/>
    <w:rsid w:val="00676978"/>
  </w:style>
  <w:style w:type="paragraph" w:styleId="Textodebalo">
    <w:name w:val="Balloon Text"/>
    <w:basedOn w:val="Normal"/>
    <w:link w:val="TextodebaloChar"/>
    <w:uiPriority w:val="99"/>
    <w:semiHidden/>
    <w:unhideWhenUsed/>
    <w:rsid w:val="0067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gv.br/fgvmgm/cursos/dsp_maisproc_0002.asp" TargetMode="External"/><Relationship Id="rId13" Type="http://schemas.openxmlformats.org/officeDocument/2006/relationships/hyperlink" Target="http://www.fgv.br/fgvmgm/cursos/dsp_maisproc_0002_ementas.asp" TargetMode="External"/><Relationship Id="rId18" Type="http://schemas.openxmlformats.org/officeDocument/2006/relationships/hyperlink" Target="http://www.fgv.br/fgvmgm/cursos/dsp_maisproc_0002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fgv.br/fgvmgm/cursos/dsp_maisproc_0002.asp" TargetMode="External"/><Relationship Id="rId12" Type="http://schemas.openxmlformats.org/officeDocument/2006/relationships/hyperlink" Target="http://www.fgv.br/fgvmgm/cursos/dsp_maisproc_0002.asp" TargetMode="External"/><Relationship Id="rId17" Type="http://schemas.openxmlformats.org/officeDocument/2006/relationships/hyperlink" Target="http://www.fgv.br/fgvonlin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fgv.br/fgvmgm/cursos/dsp_maisproc_0002.as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fgv.br/fgvmgm/cursos/dsp_maisproc_0002.asp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fgv.br/fgvmgm/cursos/dsp_maisproc_0002.asp" TargetMode="External"/><Relationship Id="rId10" Type="http://schemas.openxmlformats.org/officeDocument/2006/relationships/hyperlink" Target="http://www.fgv.br/fgvmgm/cursos/dsp_maisproc_0002.asp" TargetMode="External"/><Relationship Id="rId19" Type="http://schemas.openxmlformats.org/officeDocument/2006/relationships/hyperlink" Target="http://www.fgv.br/fgvmgm/cursos/dsp_maisproc_0002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gv.br/fgvmgm/cursos/dsp_maisproc_0002.asp" TargetMode="External"/><Relationship Id="rId14" Type="http://schemas.openxmlformats.org/officeDocument/2006/relationships/hyperlink" Target="http://www.fgv.br/fgvmgm/cursos/dsp_maisproc_0002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</cp:revision>
  <dcterms:created xsi:type="dcterms:W3CDTF">2012-08-14T15:18:00Z</dcterms:created>
  <dcterms:modified xsi:type="dcterms:W3CDTF">2012-08-14T15:19:00Z</dcterms:modified>
</cp:coreProperties>
</file>