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Customer Supply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Contract ID</w:t>
            </w:r>
          </w:p>
        </w:tc>
        <w:tc>
          <w:tcPr>
            <w:tcW w:type="dxa" w:w="5040"/>
          </w:tcPr>
          <w:p>
            <w:r>
              <w:t>APEX-2024-11</w:t>
            </w:r>
          </w:p>
        </w:tc>
      </w:tr>
      <w:tr>
        <w:tc>
          <w:tcPr>
            <w:tcW w:type="dxa" w:w="5040"/>
          </w:tcPr>
          <w:p>
            <w:r>
              <w:t>Parties</w:t>
            </w:r>
          </w:p>
        </w:tc>
        <w:tc>
          <w:tcPr>
            <w:tcW w:type="dxa" w:w="5040"/>
          </w:tcPr>
          <w:p>
            <w:r>
              <w:t>Meridian Industrial Group (Pty) Ltd and Apex Retail Holdings Ltd</w:t>
            </w:r>
          </w:p>
        </w:tc>
      </w:tr>
      <w:tr>
        <w:tc>
          <w:tcPr>
            <w:tcW w:type="dxa" w:w="5040"/>
          </w:tcPr>
          <w:p>
            <w:r>
              <w:t>Effective</w:t>
            </w:r>
          </w:p>
        </w:tc>
        <w:tc>
          <w:tcPr>
            <w:tcW w:type="dxa" w:w="5040"/>
          </w:tcPr>
          <w:p>
            <w:r>
              <w:t>01 December 2024</w:t>
            </w:r>
          </w:p>
        </w:tc>
      </w:tr>
      <w:tr>
        <w:tc>
          <w:tcPr>
            <w:tcW w:type="dxa" w:w="5040"/>
          </w:tcPr>
          <w:p>
            <w:r>
              <w:t>Expiry</w:t>
            </w:r>
          </w:p>
        </w:tc>
        <w:tc>
          <w:tcPr>
            <w:tcW w:type="dxa" w:w="5040"/>
          </w:tcPr>
          <w:p>
            <w:r>
              <w:t>30 November 2027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CONFIDENTIAL</w:t>
            </w:r>
          </w:p>
        </w:tc>
      </w:tr>
    </w:tbl>
    <w:p>
      <w:pPr>
        <w:pStyle w:val="Heading1"/>
      </w:pPr>
      <w:r>
        <w:t>Purpose</w:t>
      </w:r>
    </w:p>
    <w:p>
      <w:r>
        <w:t>Meridian will supply industrial pumps and related services to Apex Retail Holdings Ltd.</w:t>
      </w:r>
    </w:p>
    <w:p>
      <w:pPr>
        <w:pStyle w:val="Heading1"/>
      </w:pPr>
      <w:r>
        <w:t>Commercial terms</w:t>
      </w:r>
    </w:p>
    <w:p>
      <w:r>
        <w:t>Payment is due within 30 days of invoice. Apex receives a 2.5% product discount. Total credit exposure must remain within the approved credit limit unless the CFO approves an exception.</w:t>
      </w:r>
    </w:p>
    <w:p>
      <w:pPr>
        <w:pStyle w:val="Heading1"/>
      </w:pPr>
      <w:r>
        <w:t>Delivery</w:t>
      </w:r>
    </w:p>
    <w:p>
      <w:r>
        <w:t>Meridian must record delivered quantities against each sales order. Short deliveries must be disclosed within one business day.</w:t>
      </w:r>
    </w:p>
    <w:p>
      <w:pPr>
        <w:pStyle w:val="Heading1"/>
      </w:pPr>
      <w:r>
        <w:t>Disputes</w:t>
      </w:r>
    </w:p>
    <w:p>
      <w:r>
        <w:t>Invoice disputes do not suspend payment of undisputed amounts.</w:t>
      </w:r>
    </w:p>
    <w:p>
      <w:pPr>
        <w:pStyle w:val="Heading1"/>
      </w:pPr>
      <w:r>
        <w:t>Appendix A — contacts</w:t>
      </w:r>
    </w:p>
    <w:p>
      <w:r>
        <w:t>Meridian: Aisha Naidoo (EMP-006). Apex: fictional procurement contact Sibusiso Radebe.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14_customer_contract_APEX-2024-11.docx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