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23B3A"/>
          <w:sz w:val="20"/>
        </w:rPr>
        <w:t>MERIDIAN INDUSTRIAL GROUP</w:t>
      </w:r>
    </w:p>
    <w:p>
      <w:pPr>
        <w:jc w:val="center"/>
      </w:pPr>
      <w:r>
        <w:rPr>
          <w:b/>
          <w:color w:val="123B3A"/>
          <w:sz w:val="44"/>
        </w:rPr>
        <w:t>Supplier Framework Agreement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Agreement ID</w:t>
            </w:r>
          </w:p>
        </w:tc>
        <w:tc>
          <w:tcPr>
            <w:tcW w:type="dxa" w:w="5040"/>
          </w:tcPr>
          <w:p>
            <w:r>
              <w:t>USW-2025-03</w:t>
            </w:r>
          </w:p>
        </w:tc>
      </w:tr>
      <w:tr>
        <w:tc>
          <w:tcPr>
            <w:tcW w:type="dxa" w:w="5040"/>
          </w:tcPr>
          <w:p>
            <w:r>
              <w:t>Parties</w:t>
            </w:r>
          </w:p>
        </w:tc>
        <w:tc>
          <w:tcPr>
            <w:tcW w:type="dxa" w:w="5040"/>
          </w:tcPr>
          <w:p>
            <w:r>
              <w:t>Meridian Industrial Group (Pty) Ltd and Ubuntu Steelworks (Pty) Ltd</w:t>
            </w:r>
          </w:p>
        </w:tc>
      </w:tr>
      <w:tr>
        <w:tc>
          <w:tcPr>
            <w:tcW w:type="dxa" w:w="5040"/>
          </w:tcPr>
          <w:p>
            <w:r>
              <w:t>Effective</w:t>
            </w:r>
          </w:p>
        </w:tc>
        <w:tc>
          <w:tcPr>
            <w:tcW w:type="dxa" w:w="5040"/>
          </w:tcPr>
          <w:p>
            <w:r>
              <w:t>01 March 2025</w:t>
            </w:r>
          </w:p>
        </w:tc>
      </w:tr>
      <w:tr>
        <w:tc>
          <w:tcPr>
            <w:tcW w:type="dxa" w:w="5040"/>
          </w:tcPr>
          <w:p>
            <w:r>
              <w:t>Expiry</w:t>
            </w:r>
          </w:p>
        </w:tc>
        <w:tc>
          <w:tcPr>
            <w:tcW w:type="dxa" w:w="5040"/>
          </w:tcPr>
          <w:p>
            <w:r>
              <w:t>28 February 2027</w:t>
            </w:r>
          </w:p>
        </w:tc>
      </w:tr>
      <w:tr>
        <w:tc>
          <w:tcPr>
            <w:tcW w:type="dxa" w:w="5040"/>
          </w:tcPr>
          <w:p>
            <w:r>
              <w:t>Status</w:t>
            </w:r>
          </w:p>
        </w:tc>
        <w:tc>
          <w:tcPr>
            <w:tcW w:type="dxa" w:w="5040"/>
          </w:tcPr>
          <w:p>
            <w:r>
              <w:t>ACTIVE</w:t>
            </w:r>
          </w:p>
        </w:tc>
      </w:tr>
    </w:tbl>
    <w:p>
      <w:pPr>
        <w:pStyle w:val="Heading1"/>
      </w:pPr>
      <w:r>
        <w:t>Supply</w:t>
      </w:r>
    </w:p>
    <w:p>
      <w:r>
        <w:t>Ubuntu Steelworks supplies fabricated pump housings and steel assemblies.</w:t>
      </w:r>
    </w:p>
    <w:p>
      <w:pPr>
        <w:pStyle w:val="Heading1"/>
      </w:pPr>
      <w:r>
        <w:t>Pricing</w:t>
      </w:r>
    </w:p>
    <w:p>
      <w:r>
        <w:t>Prices in an accepted purchase order are binding. Freight requires a separate written approval.</w:t>
      </w:r>
    </w:p>
    <w:p>
      <w:pPr>
        <w:pStyle w:val="Heading1"/>
      </w:pPr>
      <w:r>
        <w:t>Approval clause 8.4</w:t>
      </w:r>
    </w:p>
    <w:p>
      <w:r>
        <w:t>For this agreement, a Meridian Procurement Manager may approve individual orders up to ZAR 300,000.</w:t>
      </w:r>
    </w:p>
    <w:p>
      <w:pPr>
        <w:pStyle w:val="Heading1"/>
      </w:pPr>
      <w:r>
        <w:t>Conflict notice</w:t>
      </w:r>
    </w:p>
    <w:p>
      <w:r>
        <w:t>If this agreement conflicts with a later mandatory internal control, Meridian's internal approval workflow must still be followed.</w:t>
      </w:r>
    </w:p>
    <w:p>
      <w:pPr>
        <w:pStyle w:val="Heading1"/>
      </w:pPr>
      <w:r>
        <w:t>Audit</w:t>
      </w:r>
    </w:p>
    <w:p>
      <w:r>
        <w:t>Supplier invoices must quote a valid PO and goods-received note.</w:t>
      </w:r>
    </w:p>
    <w:sectPr w:rsidR="00FC693F" w:rsidRPr="0006063C" w:rsidSect="00034616">
      <w:footerReference w:type="default" r:id="rId9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Fictional synthetic data • 15_supplier_agreement_USW-2025-03.docx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