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Mutual Non-Disclosure Agreement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NDA</w:t>
            </w:r>
          </w:p>
        </w:tc>
        <w:tc>
          <w:tcPr>
            <w:tcW w:type="dxa" w:w="5040"/>
          </w:tcPr>
          <w:p>
            <w:r>
              <w:t>NDA-2026-014</w:t>
            </w:r>
          </w:p>
        </w:tc>
      </w:tr>
      <w:tr>
        <w:tc>
          <w:tcPr>
            <w:tcW w:type="dxa" w:w="5040"/>
          </w:tcPr>
          <w:p>
            <w:r>
              <w:t>Parties</w:t>
            </w:r>
          </w:p>
        </w:tc>
        <w:tc>
          <w:tcPr>
            <w:tcW w:type="dxa" w:w="5040"/>
          </w:tcPr>
          <w:p>
            <w:r>
              <w:t>Meridian Industrial Group (Pty) Ltd and Nimbus Cloud Africa (Pty) Ltd</w:t>
            </w:r>
          </w:p>
        </w:tc>
      </w:tr>
      <w:tr>
        <w:tc>
          <w:tcPr>
            <w:tcW w:type="dxa" w:w="5040"/>
          </w:tcPr>
          <w:p>
            <w:r>
              <w:t>Effective</w:t>
            </w:r>
          </w:p>
        </w:tc>
        <w:tc>
          <w:tcPr>
            <w:tcW w:type="dxa" w:w="5040"/>
          </w:tcPr>
          <w:p>
            <w:r>
              <w:t>15 May 2026</w:t>
            </w:r>
          </w:p>
        </w:tc>
      </w:tr>
      <w:tr>
        <w:tc>
          <w:tcPr>
            <w:tcW w:type="dxa" w:w="5040"/>
          </w:tcPr>
          <w:p>
            <w:r>
              <w:t>Expiry</w:t>
            </w:r>
          </w:p>
        </w:tc>
        <w:tc>
          <w:tcPr>
            <w:tcW w:type="dxa" w:w="5040"/>
          </w:tcPr>
          <w:p>
            <w:r>
              <w:t>14 May 2029</w:t>
            </w:r>
          </w:p>
        </w:tc>
      </w:tr>
    </w:tbl>
    <w:p>
      <w:pPr>
        <w:pStyle w:val="Heading1"/>
      </w:pPr>
      <w:r>
        <w:t>Confidential information</w:t>
      </w:r>
    </w:p>
    <w:p>
      <w:r>
        <w:t>Architecture, customer records, pricing, security reports and Project Atlas materials.</w:t>
      </w:r>
    </w:p>
    <w:p>
      <w:pPr>
        <w:pStyle w:val="Heading1"/>
      </w:pPr>
      <w:r>
        <w:t>Purpose</w:t>
      </w:r>
    </w:p>
    <w:p>
      <w:r>
        <w:t>Evaluation of cloud hosting for Project Atlas.</w:t>
      </w:r>
    </w:p>
    <w:p>
      <w:pPr>
        <w:pStyle w:val="Heading1"/>
      </w:pPr>
      <w:r>
        <w:t>Exclusions</w:t>
      </w:r>
    </w:p>
    <w:p>
      <w:r>
        <w:t>Information independently developed, lawfully public, or received without restriction.</w:t>
      </w:r>
    </w:p>
    <w:p>
      <w:pPr>
        <w:pStyle w:val="Heading1"/>
      </w:pPr>
      <w:r>
        <w:t>Security</w:t>
      </w:r>
    </w:p>
    <w:p>
      <w:r>
        <w:t>Access must use named accounts and multi-factor authentication.</w:t>
      </w:r>
    </w:p>
    <w:p>
      <w:pPr>
        <w:pStyle w:val="Heading1"/>
      </w:pPr>
      <w:r>
        <w:t>Return</w:t>
      </w:r>
    </w:p>
    <w:p>
      <w:r>
        <w:t>Confidential material must be returned or deleted within 20 business days after request.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18_non_disclosure_agreement_NDA-2026-014.docx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