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3A"/>
          <w:sz w:val="20"/>
        </w:rPr>
        <w:t>MERIDIAN INDUSTRIAL GROUP</w:t>
      </w:r>
    </w:p>
    <w:p>
      <w:pPr>
        <w:jc w:val="center"/>
      </w:pPr>
      <w:r>
        <w:rPr>
          <w:b/>
          <w:color w:val="123B3A"/>
          <w:sz w:val="44"/>
        </w:rPr>
        <w:t>Employment Agreement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Agreement</w:t>
            </w:r>
          </w:p>
        </w:tc>
        <w:tc>
          <w:tcPr>
            <w:tcW w:type="dxa" w:w="5040"/>
          </w:tcPr>
          <w:p>
            <w:r>
              <w:t>EMP-AGR-004</w:t>
            </w:r>
          </w:p>
        </w:tc>
      </w:tr>
      <w:tr>
        <w:tc>
          <w:tcPr>
            <w:tcW w:type="dxa" w:w="5040"/>
          </w:tcPr>
          <w:p>
            <w:r>
              <w:t>Employee</w:t>
            </w:r>
          </w:p>
        </w:tc>
        <w:tc>
          <w:tcPr>
            <w:tcW w:type="dxa" w:w="5040"/>
          </w:tcPr>
          <w:p>
            <w:r>
              <w:t>Liam Jacobs (EMP-004)</w:t>
            </w:r>
          </w:p>
        </w:tc>
      </w:tr>
      <w:tr>
        <w:tc>
          <w:tcPr>
            <w:tcW w:type="dxa" w:w="5040"/>
          </w:tcPr>
          <w:p>
            <w:r>
              <w:t>Employer</w:t>
            </w:r>
          </w:p>
        </w:tc>
        <w:tc>
          <w:tcPr>
            <w:tcW w:type="dxa" w:w="5040"/>
          </w:tcPr>
          <w:p>
            <w:r>
              <w:t>Meridian Industrial Group (Pty) Ltd</w:t>
            </w:r>
          </w:p>
        </w:tc>
      </w:tr>
      <w:tr>
        <w:tc>
          <w:tcPr>
            <w:tcW w:type="dxa" w:w="5040"/>
          </w:tcPr>
          <w:p>
            <w:r>
              <w:t>Start date</w:t>
            </w:r>
          </w:p>
        </w:tc>
        <w:tc>
          <w:tcPr>
            <w:tcW w:type="dxa" w:w="5040"/>
          </w:tcPr>
          <w:p>
            <w:r>
              <w:t>01 February 2023</w:t>
            </w:r>
          </w:p>
        </w:tc>
      </w:tr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Procurement Manager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Procurement</w:t>
            </w:r>
          </w:p>
        </w:tc>
      </w:tr>
    </w:tbl>
    <w:p>
      <w:pPr>
        <w:pStyle w:val="Heading1"/>
      </w:pPr>
      <w:r>
        <w:t>Reporting line</w:t>
      </w:r>
    </w:p>
    <w:p>
      <w:r>
        <w:t>The employee reports to Thandi Ndlovu, Chief Operating Officer (EMP-003).</w:t>
      </w:r>
    </w:p>
    <w:p>
      <w:pPr>
        <w:pStyle w:val="Heading1"/>
      </w:pPr>
      <w:r>
        <w:t>Authority</w:t>
      </w:r>
    </w:p>
    <w:p>
      <w:r>
        <w:t>Spending authority is governed by the current Delegation of Authority matrix and may change by board resolution.</w:t>
      </w:r>
    </w:p>
    <w:p>
      <w:pPr>
        <w:pStyle w:val="Heading1"/>
      </w:pPr>
      <w:r>
        <w:t>Confidentiality</w:t>
      </w:r>
    </w:p>
    <w:p>
      <w:r>
        <w:t>Commercial, employee and supplier data must be protected under policy SEC-POL-002.</w:t>
      </w:r>
    </w:p>
    <w:p>
      <w:pPr>
        <w:pStyle w:val="Heading1"/>
      </w:pPr>
      <w:r>
        <w:t>Notice</w:t>
      </w:r>
    </w:p>
    <w:p>
      <w:r>
        <w:t>Either party may terminate with the fictional notice period stated in Schedule 1.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synthetic data • 16_employment_agreement_EMP-004.docx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