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3A"/>
          <w:sz w:val="20"/>
        </w:rPr>
        <w:t>MERIDIAN INDUSTRIAL GROUP</w:t>
      </w:r>
    </w:p>
    <w:p>
      <w:pPr>
        <w:jc w:val="center"/>
      </w:pPr>
      <w:r>
        <w:rPr>
          <w:b/>
          <w:color w:val="123B3A"/>
          <w:sz w:val="44"/>
        </w:rPr>
        <w:t>Internal Approval Policy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Policy</w:t>
            </w:r>
          </w:p>
        </w:tc>
        <w:tc>
          <w:tcPr>
            <w:tcW w:type="dxa" w:w="5040"/>
          </w:tcPr>
          <w:p>
            <w:r>
              <w:t>APP-POL-001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3.2</w:t>
            </w:r>
          </w:p>
        </w:tc>
      </w:tr>
      <w:tr>
        <w:tc>
          <w:tcPr>
            <w:tcW w:type="dxa" w:w="5040"/>
          </w:tcPr>
          <w:p>
            <w:r>
              <w:t>Effective</w:t>
            </w:r>
          </w:p>
        </w:tc>
        <w:tc>
          <w:tcPr>
            <w:tcW w:type="dxa" w:w="5040"/>
          </w:tcPr>
          <w:p>
            <w:r>
              <w:t>01 January 2026</w:t>
            </w:r>
          </w:p>
        </w:tc>
      </w:tr>
      <w:tr>
        <w:tc>
          <w:tcPr>
            <w:tcW w:type="dxa" w:w="5040"/>
          </w:tcPr>
          <w:p>
            <w:r>
              <w:t>Owner</w:t>
            </w:r>
          </w:p>
        </w:tc>
        <w:tc>
          <w:tcPr>
            <w:tcW w:type="dxa" w:w="5040"/>
          </w:tcPr>
          <w:p>
            <w:r>
              <w:t>Finance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CURRENT</w:t>
            </w:r>
          </w:p>
        </w:tc>
      </w:tr>
    </w:tbl>
    <w:p>
      <w:pPr>
        <w:pStyle w:val="Heading1"/>
      </w:pPr>
      <w:r>
        <w:t>1. Purpose</w:t>
      </w:r>
    </w:p>
    <w:p>
      <w:r>
        <w:t>Defines evidence and approval controls for commitments, payments and expenses.</w:t>
      </w:r>
    </w:p>
    <w:p>
      <w:pPr>
        <w:pStyle w:val="Heading1"/>
      </w:pPr>
      <w:r>
        <w:t>2. Thresholds</w:t>
      </w:r>
    </w:p>
    <w:p>
      <w:r>
        <w:t>Up to ZAR 25,000: department manager. ZAR 25,001–150,000: functional manager. ZAR 150,001–500,000: CFO. Above ZAR 500,000: CEO plus CFO.</w:t>
      </w:r>
    </w:p>
    <w:p>
      <w:pPr>
        <w:pStyle w:val="Heading1"/>
      </w:pPr>
      <w:r>
        <w:t>3. Separation of duties</w:t>
      </w:r>
    </w:p>
    <w:p>
      <w:r>
        <w:t>A requester may not be the sole approver or payment releaser.</w:t>
      </w:r>
    </w:p>
    <w:p>
      <w:pPr>
        <w:pStyle w:val="Heading1"/>
      </w:pPr>
      <w:r>
        <w:t>4. Exceptions</w:t>
      </w:r>
    </w:p>
    <w:p>
      <w:r>
        <w:t>Emergency approval may be retrospective within two business days only where life, safety or production continuity is at immediate risk.</w:t>
      </w:r>
    </w:p>
    <w:p>
      <w:pPr>
        <w:pStyle w:val="Heading1"/>
      </w:pPr>
      <w:r>
        <w:t>5. Evidence</w:t>
      </w:r>
    </w:p>
    <w:p>
      <w:r>
        <w:t>Approval identity, timestamp and source record must be retained for seven years.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Fictional synthetic data • 25_internal_approval_policy.docx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