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B3A"/>
          <w:sz w:val="20"/>
        </w:rPr>
        <w:t>MERIDIAN INDUSTRIAL GROUP</w:t>
      </w:r>
    </w:p>
    <w:p>
      <w:pPr>
        <w:jc w:val="center"/>
      </w:pPr>
      <w:r>
        <w:rPr>
          <w:b/>
          <w:color w:val="123B3A"/>
          <w:sz w:val="44"/>
        </w:rPr>
        <w:t>Credit &amp; Collections Policy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Policy</w:t>
            </w:r>
          </w:p>
        </w:tc>
        <w:tc>
          <w:tcPr>
            <w:tcW w:type="dxa" w:w="5040"/>
          </w:tcPr>
          <w:p>
            <w:r>
              <w:t>CRD-POL-003</w:t>
            </w:r>
          </w:p>
        </w:tc>
      </w:tr>
      <w:tr>
        <w:tc>
          <w:tcPr>
            <w:tcW w:type="dxa" w:w="5040"/>
          </w:tcPr>
          <w:p>
            <w:r>
              <w:t>Version</w:t>
            </w:r>
          </w:p>
        </w:tc>
        <w:tc>
          <w:tcPr>
            <w:tcW w:type="dxa" w:w="5040"/>
          </w:tcPr>
          <w:p>
            <w:r>
              <w:t>2.1</w:t>
            </w:r>
          </w:p>
        </w:tc>
      </w:tr>
      <w:tr>
        <w:tc>
          <w:tcPr>
            <w:tcW w:type="dxa" w:w="5040"/>
          </w:tcPr>
          <w:p>
            <w:r>
              <w:t>Effective</w:t>
            </w:r>
          </w:p>
        </w:tc>
        <w:tc>
          <w:tcPr>
            <w:tcW w:type="dxa" w:w="5040"/>
          </w:tcPr>
          <w:p>
            <w:r>
              <w:t>01 February 2026</w:t>
            </w:r>
          </w:p>
        </w:tc>
      </w:tr>
      <w:tr>
        <w:tc>
          <w:tcPr>
            <w:tcW w:type="dxa" w:w="5040"/>
          </w:tcPr>
          <w:p>
            <w:r>
              <w:t>Owner</w:t>
            </w:r>
          </w:p>
        </w:tc>
        <w:tc>
          <w:tcPr>
            <w:tcW w:type="dxa" w:w="5040"/>
          </w:tcPr>
          <w:p>
            <w:r>
              <w:t>Finance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CURRENT</w:t>
            </w:r>
          </w:p>
        </w:tc>
      </w:tr>
    </w:tbl>
    <w:p>
      <w:pPr>
        <w:pStyle w:val="Heading1"/>
      </w:pPr>
      <w:r>
        <w:t>Credit limits</w:t>
      </w:r>
    </w:p>
    <w:p>
      <w:r>
        <w:t>Orders that would take exposure above a customer's approved credit limit must be placed on hold.</w:t>
      </w:r>
    </w:p>
    <w:p>
      <w:pPr>
        <w:pStyle w:val="Heading1"/>
      </w:pPr>
      <w:r>
        <w:t>Override</w:t>
      </w:r>
    </w:p>
    <w:p>
      <w:r>
        <w:t>Only the CFO may approve a credit-limit override, in writing, before dispatch.</w:t>
      </w:r>
    </w:p>
    <w:p>
      <w:pPr>
        <w:pStyle w:val="Heading1"/>
      </w:pPr>
      <w:r>
        <w:t>Collections</w:t>
      </w:r>
    </w:p>
    <w:p>
      <w:r>
        <w:t>Invoices past due by more than 15 days require a documented customer contact.</w:t>
      </w:r>
    </w:p>
    <w:p>
      <w:pPr>
        <w:pStyle w:val="Heading1"/>
      </w:pPr>
      <w:r>
        <w:t>Allocation</w:t>
      </w:r>
    </w:p>
    <w:p>
      <w:r>
        <w:t>Partial payments reduce the oldest undisputed invoice unless a remittance specifies another invoice.</w:t>
      </w:r>
    </w:p>
    <w:p>
      <w:pPr>
        <w:pStyle w:val="Heading1"/>
      </w:pPr>
      <w:r>
        <w:t>Observed exception</w:t>
      </w:r>
    </w:p>
    <w:p>
      <w:r>
        <w:t>Apex Retail Holdings Ltd has exposure of ZAR 612,480 against a ZAR 500,000 limit; no CFO override is recorded.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Fictional synthetic data • 27_credit_collections_policy.docx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