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Path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 (X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0.210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0.043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[0.127, 0.293]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 (X×Z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0.166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[0.133, 0.198]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 (X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0.038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0.053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[-0.067, 0.143]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 (X×Z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-0.263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[-0.305, -0.222]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 (X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[-0.050,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 (X×Z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[0.007, 0.040]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 (M₁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-0.151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[-0.176, -0.125]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 (M₂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[0.088, 0.127]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Bootstrap B = 2,000.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[-0.050,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[-0.007,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-0.045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[-0.080, -0.010]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at mean credit dose (Z = 0). Indirect = a × b.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 = 2,000.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[-0.016, 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-0.064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[-0.078, -0.050]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(EmoDiss)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[-0.031, -0.019]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0.041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[0.024, 0.058]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[-0.007,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[-0.043, -0.023]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(QualEngag)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[-0.035, -0.022]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effects at −1 SD, mean, +1 SD of credit dose. IMM = a₁z × b (rate of change in indirect per unit Z).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 = 2,000.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