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PART I: SAMPLE AND DATA QUALITY</w:t>
      </w:r>
    </w:p>
    <w:p>
      <w:pPr>
        <w:spacing w:before="120" w:after="0"/>
      </w:pPr>
      <w:r>
        <w:rPr>
          <w:rFonts w:ascii="Times New Roman" w:hAnsi="Times New Roman"/>
          <w:b/>
          <w:sz w:val="24"/>
        </w:rPr>
        <w:t>Table 1</w:t>
      </w:r>
    </w:p>
    <w:p>
      <w:pPr>
        <w:spacing w:before="0" w:after="120"/>
      </w:pPr>
      <w:r>
        <w:rPr>
          <w:rFonts w:ascii="Times New Roman" w:hAnsi="Times New Roman"/>
          <w:i/>
          <w:sz w:val="24"/>
        </w:rPr>
        <w:t>Sample Flow and Analytic Sample Size by Treatment Group and Cohort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/>
          <w:bottom w:val="single" w:sz="4" w:color="000000"/>
          <w:insideH w:val="nil"/>
          <w:insideV w:val="nil"/>
          <w:left w:val="nil"/>
          <w:right w:val="nil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880"/>
          </w:tcPr>
          <w:p>
            <w:r/>
          </w:p>
        </w:tc>
        <w:tc>
          <w:tcPr>
            <w:tcW w:type="dxa" w:w="4860"/>
            <w:gridSpan w:val="3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Dual Credit Status</w:t>
            </w:r>
          </w:p>
        </w:tc>
        <w:tc>
          <w:tcPr>
            <w:tcW w:type="dxa" w:w="1620"/>
          </w:tcPr>
          <w:p>
            <w:r/>
          </w:p>
        </w:tc>
      </w:tr>
      <w:tr>
        <w:tc>
          <w:tcPr>
            <w:tcW w:type="dxa" w:w="2880"/>
            <w:vAlign w:val="center"/>
            <w:tcBorders>
              <w:bottom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Selection Stage</w:t>
            </w:r>
          </w:p>
        </w:tc>
        <w:tc>
          <w:tcPr>
            <w:tcW w:type="dxa" w:w="162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FASt (≥12)</w:t>
            </w:r>
          </w:p>
        </w:tc>
        <w:tc>
          <w:tcPr>
            <w:tcW w:type="dxa" w:w="162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Lite_DC (1–11)</w:t>
            </w:r>
          </w:p>
        </w:tc>
        <w:tc>
          <w:tcPr>
            <w:tcW w:type="dxa" w:w="162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No_Cred (0)</w:t>
            </w:r>
          </w:p>
        </w:tc>
        <w:tc>
          <w:tcPr>
            <w:tcW w:type="dxa" w:w="162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Total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Final analytic sample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1,321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5,000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i/>
                <w:sz w:val="20"/>
              </w:rPr>
              <w:t xml:space="preserve">  Cohort 0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648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0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0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2,446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i/>
                <w:sz w:val="20"/>
              </w:rPr>
              <w:t xml:space="preserve">  Cohort 1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673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0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0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2,554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Weighted ESS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3,851</w:t>
            </w:r>
          </w:p>
        </w:tc>
      </w:tr>
    </w:tbl>
    <w:p>
      <w:pPr>
        <w:spacing w:before="120" w:after="0"/>
      </w:pPr>
      <w:r>
        <w:rPr>
          <w:rFonts w:ascii="Times New Roman" w:hAnsi="Times New Roman"/>
          <w:i/>
          <w:sz w:val="18"/>
        </w:rPr>
        <w:t xml:space="preserve">Note. </w:t>
      </w:r>
      <w:r>
        <w:rPr>
          <w:rFonts w:ascii="Times New Roman" w:hAnsi="Times New Roman"/>
          <w:sz w:val="18"/>
        </w:rPr>
        <w:t>FASt = ≥12 transferable dual credit units at matriculation; Lite_DC = 1–11 credits; No_Cred = 0 credits. Cohort 2022-23 = fall 2022 first-time freshmen; Cohort 2023-24 = fall 2023. ESS = effective sample size after propensity score overlap weighting.</w:t>
      </w:r>
    </w:p>
    <w:p>
      <w:pPr>
        <w:spacing w:before="120" w:after="0"/>
      </w:pPr>
      <w:r>
        <w:rPr>
          <w:rFonts w:ascii="Times New Roman" w:hAnsi="Times New Roman"/>
          <w:b/>
          <w:sz w:val="24"/>
        </w:rPr>
        <w:t>Table 2</w:t>
      </w:r>
    </w:p>
    <w:p>
      <w:pPr>
        <w:spacing w:before="0" w:after="120"/>
      </w:pPr>
      <w:r>
        <w:rPr>
          <w:rFonts w:ascii="Times New Roman" w:hAnsi="Times New Roman"/>
          <w:i/>
          <w:sz w:val="24"/>
        </w:rPr>
        <w:t>Descriptive Statistics for Study Variables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/>
          <w:bottom w:val="single" w:sz="4" w:color="000000"/>
          <w:insideH w:val="nil"/>
          <w:insideV w:val="nil"/>
          <w:left w:val="nil"/>
          <w:right w:val="nil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880"/>
          </w:tcPr>
          <w:p>
            <w:r/>
          </w:p>
        </w:tc>
        <w:tc>
          <w:tcPr>
            <w:tcW w:type="dxa" w:w="1296"/>
          </w:tcPr>
          <w:p>
            <w:r/>
          </w:p>
        </w:tc>
        <w:tc>
          <w:tcPr>
            <w:tcW w:type="dxa" w:w="2592"/>
            <w:gridSpan w:val="2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Central Tendency</w:t>
            </w:r>
          </w:p>
        </w:tc>
        <w:tc>
          <w:tcPr>
            <w:tcW w:type="dxa" w:w="2592"/>
            <w:gridSpan w:val="2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Range</w:t>
            </w:r>
          </w:p>
        </w:tc>
      </w:tr>
      <w:tr>
        <w:tc>
          <w:tcPr>
            <w:tcW w:type="dxa" w:w="2880"/>
            <w:vAlign w:val="center"/>
            <w:tcBorders>
              <w:bottom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Variable</w:t>
            </w:r>
          </w:p>
        </w:tc>
        <w:tc>
          <w:tcPr>
            <w:tcW w:type="dxa" w:w="129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n</w:t>
            </w:r>
          </w:p>
        </w:tc>
        <w:tc>
          <w:tcPr>
            <w:tcW w:type="dxa" w:w="129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M</w:t>
            </w:r>
          </w:p>
        </w:tc>
        <w:tc>
          <w:tcPr>
            <w:tcW w:type="dxa" w:w="129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SD</w:t>
            </w:r>
          </w:p>
        </w:tc>
        <w:tc>
          <w:tcPr>
            <w:tcW w:type="dxa" w:w="129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Min</w:t>
            </w:r>
          </w:p>
        </w:tc>
        <w:tc>
          <w:tcPr>
            <w:tcW w:type="dxa" w:w="129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Max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FASt Status (≥12 credits)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5,000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0.26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0.44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Dual Credit Units Earned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5,000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0.08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1.52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-1.20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6.80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HS GPA (centered)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5,000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0.97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-1.53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1.47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Parent Education (centered)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5,000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0.98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-1.04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1.96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Pell Grant Recipient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5,000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0.53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0.50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AP/IB/College-Level Courses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5,000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0.25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0.43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Precalculus or Higher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5,000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0.34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0.47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HS Challenge (centered)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5,000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1.22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-3.49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2.51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Difficulty: Academic Work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4,719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3.81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1.09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6.00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Difficulty: Loneliness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4,641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3.79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1.06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6.00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Difficulty: Mental Health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4,679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3.79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1.04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6.00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Difficulty: Exhaustion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4,718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3.81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1.07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6.00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Difficulty: Sleep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4,664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3.81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1.08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6.00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Difficulty: Finances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4,709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3.80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1.15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6.00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Quality: Student Interactions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4,792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4.85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1.09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7.00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Quality: Advisor Interactions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4,780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4.86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1.06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7.00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Quality: Faculty Interactions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4,778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4.85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1.06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7.00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Quality: Staff Interactions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4,800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4.86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1.08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7.00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Quality: Admin Interactions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4,783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4.86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1.10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7.00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Belonging: Feel Valued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5,000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2.71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0.78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4.00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Belonging: Can Be Myself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5,000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2.71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0.79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4.00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Belonging: Sense of Community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5,000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2.71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0.77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4.00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Gain: Critical Thinking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5,000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2.95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0.67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4.00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Gain: Analyzing Problems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5,000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2.95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0.72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4.00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Gain: Working with Others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5,000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2.95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0.70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4.00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Gain: Personal Values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5,000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2.94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0.73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4.00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Gain: Problem Solving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5,000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2.94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0.68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4.00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Support: Physical Wellness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5,000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2.71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0.77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4.00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Support: Non-Academic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5,000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2.73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0.80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4.00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Support: Activities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5,000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2.71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0.80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4.00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Support: Academics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5,000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2.73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0.74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4.00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Support: Diverse Interactions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5,000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2.72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0.78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4.00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Overall Experience Rating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5,000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2.90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0.67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4.00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Would Choose Same Institution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5,000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2.90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0.66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4.00</w:t>
            </w:r>
          </w:p>
        </w:tc>
      </w:tr>
      <w:tr>
        <w:tc>
          <w:tcPr>
            <w:tcW w:type="dxa" w:w="2880"/>
            <w:tcBorders>
              <w:top w:val="single" w:sz="4" w:color="00000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Total N</w:t>
            </w:r>
          </w:p>
        </w:tc>
        <w:tc>
          <w:tcPr>
            <w:tcW w:type="dxa" w:w="1296"/>
            <w:tcBorders>
              <w:top w:val="single" w:sz="4" w:color="00000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5,000</w:t>
            </w:r>
          </w:p>
        </w:tc>
        <w:tc>
          <w:tcPr>
            <w:tcW w:type="dxa" w:w="1296"/>
            <w:tcBorders>
              <w:top w:val="single" w:sz="4" w:color="00000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296"/>
            <w:tcBorders>
              <w:top w:val="single" w:sz="4" w:color="00000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296"/>
            <w:tcBorders>
              <w:top w:val="single" w:sz="4" w:color="00000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296"/>
            <w:tcBorders>
              <w:top w:val="single" w:sz="4" w:color="00000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</w:tbl>
    <w:p>
      <w:pPr>
        <w:spacing w:before="120" w:after="0"/>
      </w:pPr>
      <w:r>
        <w:rPr>
          <w:rFonts w:ascii="Times New Roman" w:hAnsi="Times New Roman"/>
          <w:i/>
          <w:sz w:val="18"/>
        </w:rPr>
        <w:t xml:space="preserve">Note. </w:t>
      </w:r>
      <w:r>
        <w:rPr>
          <w:rFonts w:ascii="Times New Roman" w:hAnsi="Times New Roman"/>
          <w:sz w:val="18"/>
        </w:rPr>
        <w:t>n = sample size; M = mean; SD = standard deviation. FASt = ≥12 transferable credits; Lite_DC = 1–11 credits; No_Cred = 0 credits.</w:t>
      </w:r>
    </w:p>
    <w:p>
      <w:pPr>
        <w:spacing w:before="120" w:after="0"/>
      </w:pPr>
      <w:r>
        <w:rPr>
          <w:rFonts w:ascii="Times New Roman" w:hAnsi="Times New Roman"/>
          <w:b/>
          <w:sz w:val="24"/>
        </w:rPr>
        <w:t>Table 3</w:t>
      </w:r>
    </w:p>
    <w:p>
      <w:pPr>
        <w:spacing w:before="0" w:after="120"/>
      </w:pPr>
      <w:r>
        <w:rPr>
          <w:rFonts w:ascii="Times New Roman" w:hAnsi="Times New Roman"/>
          <w:i/>
          <w:sz w:val="24"/>
        </w:rPr>
        <w:t>Missing Data Rates by Variable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/>
          <w:bottom w:val="single" w:sz="4" w:color="000000"/>
          <w:insideH w:val="nil"/>
          <w:insideV w:val="nil"/>
          <w:left w:val="nil"/>
          <w:right w:val="nil"/>
        </w:tblBorders>
      </w:tblPr>
      <w:tblGrid>
        <w:gridCol w:w="4680"/>
        <w:gridCol w:w="4680"/>
      </w:tblGrid>
      <w:tr>
        <w:tc>
          <w:tcPr>
            <w:tcW w:type="dxa" w:w="2880"/>
            <w:vAlign w:val="center"/>
            <w:tcBorders>
              <w:bottom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Variable</w:t>
            </w:r>
          </w:p>
        </w:tc>
        <w:tc>
          <w:tcPr>
            <w:tcW w:type="dxa" w:w="648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Missing 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FASt Status (≥12 credits)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Dual Credit Units Earned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HS GPA (centered)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Parent Education (centered)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Pell Grant Recipient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AP/IB/College-Level Courses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Precalculus or Higher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HS Challenge (centered)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Difficulty: Academic Work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5.6%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Difficulty: Loneliness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7.2%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Difficulty: Mental Health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6.4%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Difficulty: Exhaustion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5.6%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Difficulty: Sleep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6.7%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Difficulty: Finances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5.8%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Quality: Student Interactions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4.2%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Quality: Advisor Interactions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4.4%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Quality: Faculty Interactions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4.4%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Quality: Staff Interactions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4.0%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Quality: Admin Interactions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4.3%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Belonging: Feel Valued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Belonging: Can Be Myself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Belonging: Sense of Community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Gain: Critical Thinking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Gain: Analyzing Problems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Gain: Working with Others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Gain: Personal Values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Gain: Problem Solving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Support: Physical Wellness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Support: Non-Academic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Support: Activities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Support: Academics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Support: Diverse Interactions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Overall Experience Rating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Would Choose Same Institution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0.0%</w:t>
            </w:r>
          </w:p>
        </w:tc>
      </w:tr>
    </w:tbl>
    <w:p>
      <w:pPr>
        <w:spacing w:before="120" w:after="0"/>
      </w:pPr>
      <w:r>
        <w:rPr>
          <w:rFonts w:ascii="Times New Roman" w:hAnsi="Times New Roman"/>
          <w:i/>
          <w:sz w:val="18"/>
        </w:rPr>
        <w:t xml:space="preserve">Note. </w:t>
      </w:r>
      <w:r>
        <w:rPr>
          <w:rFonts w:ascii="Times New Roman" w:hAnsi="Times New Roman"/>
          <w:sz w:val="18"/>
        </w:rPr>
        <w:t>Missing data assumed MAR (missing at random) and handled via FIML (full information maximum likelihood) in lavaan. Percentages reflect proportion of cases with missing values on each variable.</w:t>
      </w:r>
    </w:p>
    <w:p>
      <w:r>
        <w:br w:type="page"/>
      </w:r>
    </w:p>
    <w:p>
      <w:r>
        <w:rPr>
          <w:b/>
        </w:rPr>
        <w:t>PART II: PROPENSITY SCORE WEIGHTING DIAGNOSTICS</w:t>
      </w:r>
    </w:p>
    <w:p>
      <w:pPr>
        <w:spacing w:before="120" w:after="0"/>
      </w:pPr>
      <w:r>
        <w:rPr>
          <w:rFonts w:ascii="Times New Roman" w:hAnsi="Times New Roman"/>
          <w:b/>
          <w:sz w:val="24"/>
        </w:rPr>
        <w:t>Table 4</w:t>
      </w:r>
    </w:p>
    <w:p>
      <w:pPr>
        <w:spacing w:before="0" w:after="120"/>
      </w:pPr>
      <w:r>
        <w:rPr>
          <w:rFonts w:ascii="Times New Roman" w:hAnsi="Times New Roman"/>
          <w:i/>
          <w:sz w:val="24"/>
        </w:rPr>
        <w:t>Propensity Score Model: Logistic Regression Predicting FASt Status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/>
          <w:bottom w:val="single" w:sz="4" w:color="000000"/>
          <w:insideH w:val="nil"/>
          <w:insideV w:val="nil"/>
          <w:left w:val="nil"/>
          <w:right w:val="nil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880"/>
          </w:tcPr>
          <w:p>
            <w:r/>
          </w:p>
        </w:tc>
        <w:tc>
          <w:tcPr>
            <w:tcW w:type="dxa" w:w="4320"/>
            <w:gridSpan w:val="2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Estimate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880"/>
            <w:vAlign w:val="center"/>
            <w:tcBorders>
              <w:bottom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Covariate</w:t>
            </w:r>
          </w:p>
        </w:tc>
        <w:tc>
          <w:tcPr>
            <w:tcW w:type="dxa" w:w="216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B</w:t>
            </w:r>
          </w:p>
        </w:tc>
        <w:tc>
          <w:tcPr>
            <w:tcW w:type="dxa" w:w="216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SE</w:t>
            </w:r>
          </w:p>
        </w:tc>
        <w:tc>
          <w:tcPr>
            <w:tcW w:type="dxa" w:w="216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OR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Intercept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-1.035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0.032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0.355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HS GPA (centered)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0.100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0.033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1.106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Parent Education (centered)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0.045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0.033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1.047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hapcl_c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0.270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0.073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1.311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hprecalc13_c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0.218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0.067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1.244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HS Challenge (centered)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0.033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0.027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1.033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cSFcareer_c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-0.000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0.039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hacadpr13_c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0.008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0.004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1.008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tcare_c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-0.006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0.006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0.994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StemMaj_c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0.008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0.075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1.008</w:t>
            </w:r>
          </w:p>
        </w:tc>
      </w:tr>
    </w:tbl>
    <w:p>
      <w:pPr>
        <w:spacing w:before="120" w:after="0"/>
      </w:pPr>
      <w:r>
        <w:rPr>
          <w:rFonts w:ascii="Times New Roman" w:hAnsi="Times New Roman"/>
          <w:i/>
          <w:sz w:val="18"/>
        </w:rPr>
        <w:t xml:space="preserve">Note. </w:t>
      </w:r>
      <w:r>
        <w:rPr>
          <w:rFonts w:ascii="Times New Roman" w:hAnsi="Times New Roman"/>
          <w:sz w:val="18"/>
        </w:rPr>
        <w:t>Treatment: FASt = 1 (≥12 credits), non-FASt = 0 (Lite_DC + No_Cred). B = unstandardized coefficient; SE = standard error; OR = odds ratio. All continuous predictors mean-centered. Model used for computing overlap (ATO) weights.</w:t>
      </w:r>
    </w:p>
    <w:p>
      <w:pPr>
        <w:spacing w:before="120" w:after="0"/>
      </w:pPr>
      <w:r>
        <w:rPr>
          <w:rFonts w:ascii="Times New Roman" w:hAnsi="Times New Roman"/>
          <w:b/>
          <w:sz w:val="24"/>
        </w:rPr>
        <w:t>Table 5</w:t>
      </w:r>
    </w:p>
    <w:p>
      <w:pPr>
        <w:spacing w:before="0" w:after="120"/>
      </w:pPr>
      <w:r>
        <w:rPr>
          <w:rFonts w:ascii="Times New Roman" w:hAnsi="Times New Roman"/>
          <w:i/>
          <w:sz w:val="24"/>
        </w:rPr>
        <w:t>Covariate Balance Before and After Propensity Score Weighting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/>
          <w:bottom w:val="single" w:sz="4" w:color="000000"/>
          <w:insideH w:val="nil"/>
          <w:insideV w:val="nil"/>
          <w:left w:val="nil"/>
          <w:right w:val="nil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880"/>
          </w:tcPr>
          <w:p>
            <w:r/>
          </w:p>
        </w:tc>
        <w:tc>
          <w:tcPr>
            <w:tcW w:type="dxa" w:w="3240"/>
            <w:gridSpan w:val="2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Pre-weighting</w:t>
            </w:r>
          </w:p>
        </w:tc>
        <w:tc>
          <w:tcPr>
            <w:tcW w:type="dxa" w:w="3240"/>
            <w:gridSpan w:val="2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Post-weighting</w:t>
            </w:r>
          </w:p>
        </w:tc>
      </w:tr>
      <w:tr>
        <w:tc>
          <w:tcPr>
            <w:tcW w:type="dxa" w:w="2880"/>
            <w:vAlign w:val="center"/>
            <w:tcBorders>
              <w:bottom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Covariate</w:t>
            </w:r>
          </w:p>
        </w:tc>
        <w:tc>
          <w:tcPr>
            <w:tcW w:type="dxa" w:w="162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SMD</w:t>
            </w:r>
          </w:p>
        </w:tc>
        <w:tc>
          <w:tcPr>
            <w:tcW w:type="dxa" w:w="162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VR</w:t>
            </w:r>
          </w:p>
        </w:tc>
        <w:tc>
          <w:tcPr>
            <w:tcW w:type="dxa" w:w="162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SMD</w:t>
            </w:r>
          </w:p>
        </w:tc>
        <w:tc>
          <w:tcPr>
            <w:tcW w:type="dxa" w:w="162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VR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HS GPA (centered)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0.112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0.980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0.000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0.982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Parent Education (centered)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0.042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1.022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0.000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0.997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hapcl_c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0.129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1.152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0.000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hprecalc13_c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0.116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1.072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0.000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HS Challenge (centered)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0.041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0.958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0.000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0.962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cSFcareer_c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0.002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0.997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0.000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0.990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hacadpr13_c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0.066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1.005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0.000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0.935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tcare_c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-0.041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0.972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0.000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1.078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StemMaj_c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0.000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1.000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0.000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1.000</w:t>
            </w:r>
          </w:p>
        </w:tc>
      </w:tr>
      <w:tr>
        <w:tc>
          <w:tcPr>
            <w:tcW w:type="dxa" w:w="2880"/>
            <w:tcBorders>
              <w:top w:val="single" w:sz="4" w:color="00000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Mean |SMD|</w:t>
            </w:r>
          </w:p>
        </w:tc>
        <w:tc>
          <w:tcPr>
            <w:tcW w:type="dxa" w:w="1620"/>
            <w:tcBorders>
              <w:top w:val="single" w:sz="4" w:color="00000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0.061</w:t>
            </w:r>
          </w:p>
        </w:tc>
        <w:tc>
          <w:tcPr>
            <w:tcW w:type="dxa" w:w="1620"/>
            <w:tcBorders>
              <w:top w:val="single" w:sz="4" w:color="00000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tcBorders>
              <w:top w:val="single" w:sz="4" w:color="00000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0.000</w:t>
            </w:r>
          </w:p>
        </w:tc>
        <w:tc>
          <w:tcPr>
            <w:tcW w:type="dxa" w:w="1620"/>
            <w:tcBorders>
              <w:top w:val="single" w:sz="4" w:color="00000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Max |SMD|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0.129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0.000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</w:tr>
    </w:tbl>
    <w:p>
      <w:pPr>
        <w:spacing w:before="120" w:after="0"/>
      </w:pPr>
      <w:r>
        <w:rPr>
          <w:rFonts w:ascii="Times New Roman" w:hAnsi="Times New Roman"/>
          <w:i/>
          <w:sz w:val="18"/>
        </w:rPr>
        <w:t xml:space="preserve">Note. </w:t>
      </w:r>
      <w:r>
        <w:rPr>
          <w:rFonts w:ascii="Times New Roman" w:hAnsi="Times New Roman"/>
          <w:sz w:val="18"/>
        </w:rPr>
        <w:t>SMD = standardized mean difference (FASt − non-FASt). VR = variance ratio (FASt / non-FASt). Non-FASt = Lite_DC + No_Cred combined. Balance achieved when |SMD| &lt; 0.10 and VR between 0.80–1.25.</w:t>
      </w:r>
    </w:p>
    <w:p>
      <w:pPr>
        <w:spacing w:before="120" w:after="0"/>
      </w:pPr>
      <w:r>
        <w:rPr>
          <w:rFonts w:ascii="Times New Roman" w:hAnsi="Times New Roman"/>
          <w:b/>
          <w:sz w:val="24"/>
        </w:rPr>
        <w:t>Table 6</w:t>
      </w:r>
    </w:p>
    <w:p>
      <w:pPr>
        <w:spacing w:before="0" w:after="120"/>
      </w:pPr>
      <w:r>
        <w:rPr>
          <w:rFonts w:ascii="Times New Roman" w:hAnsi="Times New Roman"/>
          <w:i/>
          <w:sz w:val="24"/>
        </w:rPr>
        <w:t>Propensity Score Overlap Weight Diagnostics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/>
          <w:bottom w:val="single" w:sz="4" w:color="000000"/>
          <w:insideH w:val="nil"/>
          <w:insideV w:val="nil"/>
          <w:left w:val="nil"/>
          <w:right w:val="nil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2880"/>
          </w:tcPr>
          <w:p>
            <w:r/>
          </w:p>
        </w:tc>
        <w:tc>
          <w:tcPr>
            <w:tcW w:type="dxa" w:w="926"/>
          </w:tcPr>
          <w:p>
            <w:r/>
          </w:p>
        </w:tc>
        <w:tc>
          <w:tcPr>
            <w:tcW w:type="dxa" w:w="4630"/>
            <w:gridSpan w:val="5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Weight Distribution</w:t>
            </w:r>
          </w:p>
        </w:tc>
        <w:tc>
          <w:tcPr>
            <w:tcW w:type="dxa" w:w="926"/>
          </w:tcPr>
          <w:p>
            <w:r/>
          </w:p>
        </w:tc>
      </w:tr>
      <w:tr>
        <w:tc>
          <w:tcPr>
            <w:tcW w:type="dxa" w:w="2880"/>
            <w:vAlign w:val="center"/>
            <w:tcBorders>
              <w:bottom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Group</w:t>
            </w:r>
          </w:p>
        </w:tc>
        <w:tc>
          <w:tcPr>
            <w:tcW w:type="dxa" w:w="92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n</w:t>
            </w:r>
          </w:p>
        </w:tc>
        <w:tc>
          <w:tcPr>
            <w:tcW w:type="dxa" w:w="92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Min</w:t>
            </w:r>
          </w:p>
        </w:tc>
        <w:tc>
          <w:tcPr>
            <w:tcW w:type="dxa" w:w="92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P5</w:t>
            </w:r>
          </w:p>
        </w:tc>
        <w:tc>
          <w:tcPr>
            <w:tcW w:type="dxa" w:w="92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Mdn</w:t>
            </w:r>
          </w:p>
        </w:tc>
        <w:tc>
          <w:tcPr>
            <w:tcW w:type="dxa" w:w="92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P95</w:t>
            </w:r>
          </w:p>
        </w:tc>
        <w:tc>
          <w:tcPr>
            <w:tcW w:type="dxa" w:w="92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Max</w:t>
            </w:r>
          </w:p>
        </w:tc>
        <w:tc>
          <w:tcPr>
            <w:tcW w:type="dxa" w:w="92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ESS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Total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5,000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0.439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0.539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0.720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2.001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2.128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3851.8</w:t>
            </w:r>
          </w:p>
        </w:tc>
      </w:tr>
    </w:tbl>
    <w:p>
      <w:pPr>
        <w:spacing w:before="120" w:after="0"/>
      </w:pPr>
      <w:r>
        <w:rPr>
          <w:rFonts w:ascii="Times New Roman" w:hAnsi="Times New Roman"/>
          <w:i/>
          <w:sz w:val="18"/>
        </w:rPr>
        <w:t xml:space="preserve">Note. </w:t>
      </w:r>
      <w:r>
        <w:rPr>
          <w:rFonts w:ascii="Times New Roman" w:hAnsi="Times New Roman"/>
          <w:sz w:val="18"/>
        </w:rPr>
        <w:t>FASt = ≥12 credits; Non-FASt = Lite_DC (1–11) + No_Cred (0). Overlap weights: w = 1 − PS for treated, w = PS for control. ESS = effective sample size = (Σw)²/Σw². P5/P95 = 5th/95th percentiles; Mdn = median.</w:t>
      </w:r>
    </w:p>
    <w:p>
      <w:r>
        <w:br w:type="page"/>
      </w:r>
    </w:p>
    <w:p>
      <w:r>
        <w:rPr>
          <w:b/>
        </w:rPr>
        <w:t>PART III: MEASUREMENT MODEL</w:t>
      </w:r>
    </w:p>
    <w:p>
      <w:pPr>
        <w:spacing w:before="120" w:after="0"/>
      </w:pPr>
      <w:r>
        <w:rPr>
          <w:rFonts w:ascii="Times New Roman" w:hAnsi="Times New Roman"/>
          <w:b/>
          <w:sz w:val="24"/>
        </w:rPr>
        <w:t>Table 7</w:t>
      </w:r>
    </w:p>
    <w:p>
      <w:pPr>
        <w:spacing w:before="0" w:after="120"/>
      </w:pPr>
      <w:r>
        <w:rPr>
          <w:rFonts w:ascii="Times New Roman" w:hAnsi="Times New Roman"/>
          <w:i/>
          <w:sz w:val="24"/>
        </w:rPr>
        <w:t>Confirmatory Factor Analysis: Standardized Factor Loadings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/>
          <w:bottom w:val="single" w:sz="4" w:color="000000"/>
          <w:insideH w:val="nil"/>
          <w:insideV w:val="nil"/>
          <w:left w:val="nil"/>
          <w:right w:val="nil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880"/>
          </w:tcPr>
          <w:p>
            <w:r/>
          </w:p>
        </w:tc>
        <w:tc>
          <w:tcPr>
            <w:tcW w:type="dxa" w:w="3240"/>
            <w:gridSpan w:val="2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Loading</w:t>
            </w:r>
          </w:p>
        </w:tc>
        <w:tc>
          <w:tcPr>
            <w:tcW w:type="dxa" w:w="3240"/>
            <w:gridSpan w:val="2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Reliability</w:t>
            </w:r>
          </w:p>
        </w:tc>
      </w:tr>
      <w:tr>
        <w:tc>
          <w:tcPr>
            <w:tcW w:type="dxa" w:w="2880"/>
            <w:vAlign w:val="center"/>
            <w:tcBorders>
              <w:bottom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Item/Factor</w:t>
            </w:r>
          </w:p>
        </w:tc>
        <w:tc>
          <w:tcPr>
            <w:tcW w:type="dxa" w:w="162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λ</w:t>
            </w:r>
          </w:p>
        </w:tc>
        <w:tc>
          <w:tcPr>
            <w:tcW w:type="dxa" w:w="162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SE</w:t>
            </w:r>
          </w:p>
        </w:tc>
        <w:tc>
          <w:tcPr>
            <w:tcW w:type="dxa" w:w="162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ω</w:t>
            </w:r>
          </w:p>
        </w:tc>
        <w:tc>
          <w:tcPr>
            <w:tcW w:type="dxa" w:w="162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AVE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Emotional Distress (EmoDiss)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Difficulty: Academic Work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Difficulty: Loneliness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Difficulty: Mental Health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Difficulty: Exhaustion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Difficulty: Sleep Problems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Difficulty: Financial Concerns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Factor ω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Quality of Engagement (QualEngag)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Quality: Student Interactions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Quality: Advisor Interactions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Quality: Faculty Interactions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Quality: Staff Interactions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Quality: Admin Interactions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 xml:space="preserve">  Factor ω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</w:tbl>
    <w:p>
      <w:pPr>
        <w:spacing w:before="120" w:after="0"/>
      </w:pPr>
      <w:r>
        <w:rPr>
          <w:rFonts w:ascii="Times New Roman" w:hAnsi="Times New Roman"/>
          <w:i/>
          <w:sz w:val="18"/>
        </w:rPr>
        <w:t xml:space="preserve">Note. </w:t>
      </w:r>
      <w:r>
        <w:rPr>
          <w:rFonts w:ascii="Times New Roman" w:hAnsi="Times New Roman"/>
          <w:sz w:val="18"/>
        </w:rPr>
        <w:t>λ = standardized factor loading; SE = standard error. ω = McDonald's omega reliability; AVE = average variance extracted. All loadings p &lt; .001. Marker-variable identification used.</w:t>
      </w:r>
    </w:p>
    <w:p>
      <w:pPr>
        <w:spacing w:before="120" w:after="0"/>
      </w:pPr>
      <w:r>
        <w:rPr>
          <w:rFonts w:ascii="Times New Roman" w:hAnsi="Times New Roman"/>
          <w:b/>
          <w:sz w:val="24"/>
        </w:rPr>
        <w:t>Table 8</w:t>
      </w:r>
    </w:p>
    <w:p>
      <w:pPr>
        <w:spacing w:before="0" w:after="120"/>
      </w:pPr>
      <w:r>
        <w:rPr>
          <w:rFonts w:ascii="Times New Roman" w:hAnsi="Times New Roman"/>
          <w:i/>
          <w:sz w:val="24"/>
        </w:rPr>
        <w:t>Measurement Invariance Tests Across Treatment Groups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/>
          <w:bottom w:val="single" w:sz="4" w:color="000000"/>
          <w:insideH w:val="nil"/>
          <w:insideV w:val="nil"/>
          <w:left w:val="nil"/>
          <w:right w:val="nil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2880"/>
          </w:tcPr>
          <w:p>
            <w:r/>
          </w:p>
        </w:tc>
        <w:tc>
          <w:tcPr>
            <w:tcW w:type="dxa" w:w="3704"/>
            <w:gridSpan w:val="4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Absolute Fit</w:t>
            </w:r>
          </w:p>
        </w:tc>
        <w:tc>
          <w:tcPr>
            <w:tcW w:type="dxa" w:w="1852"/>
            <w:gridSpan w:val="2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Δ Comparison</w:t>
            </w:r>
          </w:p>
        </w:tc>
        <w:tc>
          <w:tcPr>
            <w:tcW w:type="dxa" w:w="926"/>
          </w:tcPr>
          <w:p>
            <w:r/>
          </w:p>
        </w:tc>
      </w:tr>
      <w:tr>
        <w:tc>
          <w:tcPr>
            <w:tcW w:type="dxa" w:w="2880"/>
            <w:vAlign w:val="center"/>
            <w:tcBorders>
              <w:bottom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Model</w:t>
            </w:r>
          </w:p>
        </w:tc>
        <w:tc>
          <w:tcPr>
            <w:tcW w:type="dxa" w:w="92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χ²</w:t>
            </w:r>
          </w:p>
        </w:tc>
        <w:tc>
          <w:tcPr>
            <w:tcW w:type="dxa" w:w="92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df</w:t>
            </w:r>
          </w:p>
        </w:tc>
        <w:tc>
          <w:tcPr>
            <w:tcW w:type="dxa" w:w="92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CFI</w:t>
            </w:r>
          </w:p>
        </w:tc>
        <w:tc>
          <w:tcPr>
            <w:tcW w:type="dxa" w:w="92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RMSEA</w:t>
            </w:r>
          </w:p>
        </w:tc>
        <w:tc>
          <w:tcPr>
            <w:tcW w:type="dxa" w:w="92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ΔCFI</w:t>
            </w:r>
          </w:p>
        </w:tc>
        <w:tc>
          <w:tcPr>
            <w:tcW w:type="dxa" w:w="92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ΔRMSEA</w:t>
            </w:r>
          </w:p>
        </w:tc>
        <w:tc>
          <w:tcPr>
            <w:tcW w:type="dxa" w:w="92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Decision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Configural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Metric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Scalar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92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</w:tr>
    </w:tbl>
    <w:p>
      <w:pPr>
        <w:spacing w:before="120" w:after="0"/>
      </w:pPr>
      <w:r>
        <w:rPr>
          <w:rFonts w:ascii="Times New Roman" w:hAnsi="Times New Roman"/>
          <w:i/>
          <w:sz w:val="18"/>
        </w:rPr>
        <w:t xml:space="preserve">Note. </w:t>
      </w:r>
      <w:r>
        <w:rPr>
          <w:rFonts w:ascii="Times New Roman" w:hAnsi="Times New Roman"/>
          <w:sz w:val="18"/>
        </w:rPr>
        <w:t>Invariance tested for EmoDiss, QualEngag, and DevAdj factors. ΔCFI &gt; −.010 and ΔRMSEA &lt; .015 indicate acceptable invariance. Scalar invariance required for latent mean comparisons.</w:t>
      </w:r>
    </w:p>
    <w:p>
      <w:pPr>
        <w:spacing w:before="120" w:after="0"/>
      </w:pPr>
      <w:r>
        <w:rPr>
          <w:rFonts w:ascii="Times New Roman" w:hAnsi="Times New Roman"/>
          <w:b/>
          <w:sz w:val="24"/>
        </w:rPr>
        <w:t>Table 9</w:t>
      </w:r>
    </w:p>
    <w:p>
      <w:pPr>
        <w:spacing w:before="0" w:after="120"/>
      </w:pPr>
      <w:r>
        <w:rPr>
          <w:rFonts w:ascii="Times New Roman" w:hAnsi="Times New Roman"/>
          <w:i/>
          <w:sz w:val="24"/>
        </w:rPr>
        <w:t>Structural Equation Model Fit Indices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/>
          <w:bottom w:val="single" w:sz="4" w:color="000000"/>
          <w:insideH w:val="nil"/>
          <w:insideV w:val="nil"/>
          <w:left w:val="nil"/>
          <w:right w:val="nil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2880"/>
          </w:tcPr>
          <w:p>
            <w:r/>
          </w:p>
        </w:tc>
        <w:tc>
          <w:tcPr>
            <w:tcW w:type="dxa" w:w="2160"/>
            <w:gridSpan w:val="2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Chi-Square</w:t>
            </w:r>
          </w:p>
        </w:tc>
        <w:tc>
          <w:tcPr>
            <w:tcW w:type="dxa" w:w="2160"/>
            <w:gridSpan w:val="2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Incremental Fit</w:t>
            </w:r>
          </w:p>
        </w:tc>
        <w:tc>
          <w:tcPr>
            <w:tcW w:type="dxa" w:w="2160"/>
            <w:gridSpan w:val="2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Absolute Fit</w:t>
            </w:r>
          </w:p>
        </w:tc>
      </w:tr>
      <w:tr>
        <w:tc>
          <w:tcPr>
            <w:tcW w:type="dxa" w:w="2880"/>
            <w:vAlign w:val="center"/>
            <w:tcBorders>
              <w:bottom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Model</w:t>
            </w:r>
          </w:p>
        </w:tc>
        <w:tc>
          <w:tcPr>
            <w:tcW w:type="dxa" w:w="108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χ²</w:t>
            </w:r>
          </w:p>
        </w:tc>
        <w:tc>
          <w:tcPr>
            <w:tcW w:type="dxa" w:w="108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df</w:t>
            </w:r>
          </w:p>
        </w:tc>
        <w:tc>
          <w:tcPr>
            <w:tcW w:type="dxa" w:w="108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CFI</w:t>
            </w:r>
          </w:p>
        </w:tc>
        <w:tc>
          <w:tcPr>
            <w:tcW w:type="dxa" w:w="108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TLI</w:t>
            </w:r>
          </w:p>
        </w:tc>
        <w:tc>
          <w:tcPr>
            <w:tcW w:type="dxa" w:w="108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RMSEA [90% CI]</w:t>
            </w:r>
          </w:p>
        </w:tc>
        <w:tc>
          <w:tcPr>
            <w:tcW w:type="dxa" w:w="108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SRMR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Measurement model (CFA)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Structural model (full)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Alternative: No moderation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</w:tr>
    </w:tbl>
    <w:p>
      <w:pPr>
        <w:spacing w:before="120" w:after="0"/>
      </w:pPr>
      <w:r>
        <w:rPr>
          <w:rFonts w:ascii="Times New Roman" w:hAnsi="Times New Roman"/>
          <w:i/>
          <w:sz w:val="18"/>
        </w:rPr>
        <w:t xml:space="preserve">Note. </w:t>
      </w:r>
      <w:r>
        <w:rPr>
          <w:rFonts w:ascii="Times New Roman" w:hAnsi="Times New Roman"/>
          <w:sz w:val="18"/>
        </w:rPr>
        <w:t>Estimator: MLR with robust standard errors. Missing data: FIML. Bootstrap: B = 2,000 replicates. Acceptable fit: CFI/TLI ≥ .90, RMSEA ≤ .08, SRMR ≤ .08.</w:t>
      </w:r>
    </w:p>
    <w:p>
      <w:r>
        <w:br w:type="page"/>
      </w:r>
    </w:p>
    <w:p>
      <w:r>
        <w:rPr>
          <w:b/>
        </w:rPr>
        <w:t>PART IV: STRUCTURAL MODEL RESULTS</w:t>
      </w:r>
    </w:p>
    <w:p>
      <w:pPr>
        <w:spacing w:before="240" w:after="0"/>
      </w:pPr>
      <w:r>
        <w:rPr>
          <w:rFonts w:ascii="Times New Roman" w:hAnsi="Times New Roman"/>
          <w:b/>
          <w:sz w:val="24"/>
        </w:rPr>
        <w:t>Table 10</w:t>
      </w:r>
    </w:p>
    <w:p>
      <w:pPr>
        <w:spacing w:before="0" w:after="120"/>
      </w:pPr>
      <w:r>
        <w:rPr>
          <w:rFonts w:ascii="Times New Roman" w:hAnsi="Times New Roman"/>
          <w:i/>
          <w:sz w:val="24"/>
        </w:rPr>
        <w:t>Structural Path Coefficients From Bootstrap Analysis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/>
          <w:bottom w:val="single" w:sz="4" w:color="000000"/>
          <w:insideH w:val="nil"/>
          <w:insideV w:val="nil"/>
          <w:left w:val="nil"/>
          <w:right w:val="nil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880"/>
          </w:tcPr>
          <w:p>
            <w:r/>
          </w:p>
        </w:tc>
        <w:tc>
          <w:tcPr>
            <w:tcW w:type="dxa" w:w="2592"/>
            <w:gridSpan w:val="2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Unstandardized</w:t>
            </w:r>
          </w:p>
        </w:tc>
        <w:tc>
          <w:tcPr>
            <w:tcW w:type="dxa" w:w="129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Std.</w:t>
            </w:r>
          </w:p>
        </w:tc>
        <w:tc>
          <w:tcPr>
            <w:tcW w:type="dxa" w:w="1296"/>
          </w:tcPr>
          <w:p>
            <w:r/>
          </w:p>
        </w:tc>
        <w:tc>
          <w:tcPr>
            <w:tcW w:type="dxa" w:w="1296"/>
          </w:tcPr>
          <w:p>
            <w:r/>
          </w:p>
        </w:tc>
      </w:tr>
      <w:tr>
        <w:tc>
          <w:tcPr>
            <w:tcW w:type="dxa" w:w="2880"/>
            <w:vAlign w:val="center"/>
            <w:tcBorders>
              <w:bottom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Path</w:t>
            </w:r>
          </w:p>
        </w:tc>
        <w:tc>
          <w:tcPr>
            <w:tcW w:type="dxa" w:w="129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B</w:t>
            </w:r>
          </w:p>
        </w:tc>
        <w:tc>
          <w:tcPr>
            <w:tcW w:type="dxa" w:w="129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SE</w:t>
            </w:r>
          </w:p>
        </w:tc>
        <w:tc>
          <w:tcPr>
            <w:tcW w:type="dxa" w:w="129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β</w:t>
            </w:r>
          </w:p>
        </w:tc>
        <w:tc>
          <w:tcPr>
            <w:tcW w:type="dxa" w:w="129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95% CI</w:t>
            </w:r>
          </w:p>
        </w:tc>
        <w:tc>
          <w:tcPr>
            <w:tcW w:type="dxa" w:w="129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Sig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a₁: X → M₁ (FASt → EmoDiss)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0.124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0.051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[0.025, 0.223]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*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a₁z: X×Z → M₁ (interaction)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0.023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0.018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[-0.013, 0.060]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a₂: X → M₂ (FASt → QualEngag)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-0.011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0.049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[-0.106, 0.085]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a₂z: X×Z → M₂ (interaction)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-0.018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0.018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[-0.053, 0.016]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c′: X → Y (direct effect)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0.018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0.019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[-0.019, 0.055]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c′z: X×Z → Y (direct × dose)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0.001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0.007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[-0.012, 0.015]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b₁: M₁ → Y (EmoDiss → DevAdj)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-0.199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0.010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[-0.218, -0.180]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*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b₂: M₂ → Y (QualEngag → DevAdj)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0.159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0.008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[0.143, 0.175]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*</w:t>
            </w:r>
          </w:p>
        </w:tc>
      </w:tr>
    </w:tbl>
    <w:p>
      <w:pPr>
        <w:spacing w:before="120" w:after="0"/>
      </w:pPr>
      <w:r>
        <w:rPr>
          <w:rFonts w:ascii="Times New Roman" w:hAnsi="Times New Roman"/>
          <w:i/>
          <w:sz w:val="20"/>
        </w:rPr>
        <w:t xml:space="preserve">Note. </w:t>
      </w:r>
      <w:r>
        <w:rPr>
          <w:rFonts w:ascii="Times New Roman" w:hAnsi="Times New Roman"/>
          <w:sz w:val="20"/>
        </w:rPr>
        <w:t>X = FASt status; Z = credit dose (centered); M₁ = Emotional Distress; M₂ = Quality of Engagement; Y = Developmental Adjustment. B = unstandardized coefficient; β = fully standardized coefficient.</w:t>
      </w:r>
    </w:p>
    <w:p>
      <w:pPr>
        <w:spacing w:before="0" w:after="0"/>
      </w:pPr>
      <w:r>
        <w:rPr>
          <w:rFonts w:ascii="Times New Roman" w:hAnsi="Times New Roman"/>
          <w:sz w:val="20"/>
        </w:rPr>
        <w:t>*95% bca.simple CI excludes zero. Bootstrap B = 2,000.</w:t>
      </w:r>
    </w:p>
    <w:p>
      <w:pPr>
        <w:spacing w:before="240" w:after="0"/>
      </w:pPr>
      <w:r>
        <w:rPr>
          <w:rFonts w:ascii="Times New Roman" w:hAnsi="Times New Roman"/>
          <w:b/>
          <w:sz w:val="24"/>
        </w:rPr>
        <w:t>Table 11</w:t>
      </w:r>
    </w:p>
    <w:p>
      <w:pPr>
        <w:spacing w:before="0" w:after="120"/>
      </w:pPr>
      <w:r>
        <w:rPr>
          <w:rFonts w:ascii="Times New Roman" w:hAnsi="Times New Roman"/>
          <w:i/>
          <w:sz w:val="24"/>
        </w:rPr>
        <w:t>Direct, Indirect, and Total Effects at Mean Credit Dose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/>
          <w:bottom w:val="single" w:sz="4" w:color="000000"/>
          <w:insideH w:val="nil"/>
          <w:insideV w:val="nil"/>
          <w:left w:val="nil"/>
          <w:right w:val="nil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880"/>
          </w:tcPr>
          <w:p>
            <w:r/>
          </w:p>
        </w:tc>
        <w:tc>
          <w:tcPr>
            <w:tcW w:type="dxa" w:w="2592"/>
            <w:gridSpan w:val="2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Unstandardized</w:t>
            </w:r>
          </w:p>
        </w:tc>
        <w:tc>
          <w:tcPr>
            <w:tcW w:type="dxa" w:w="129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Std.</w:t>
            </w:r>
          </w:p>
        </w:tc>
        <w:tc>
          <w:tcPr>
            <w:tcW w:type="dxa" w:w="1296"/>
          </w:tcPr>
          <w:p>
            <w:r/>
          </w:p>
        </w:tc>
        <w:tc>
          <w:tcPr>
            <w:tcW w:type="dxa" w:w="1296"/>
          </w:tcPr>
          <w:p>
            <w:r/>
          </w:p>
        </w:tc>
      </w:tr>
      <w:tr>
        <w:tc>
          <w:tcPr>
            <w:tcW w:type="dxa" w:w="2880"/>
            <w:vAlign w:val="center"/>
            <w:tcBorders>
              <w:bottom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Effect</w:t>
            </w:r>
          </w:p>
        </w:tc>
        <w:tc>
          <w:tcPr>
            <w:tcW w:type="dxa" w:w="129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B</w:t>
            </w:r>
          </w:p>
        </w:tc>
        <w:tc>
          <w:tcPr>
            <w:tcW w:type="dxa" w:w="129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SE</w:t>
            </w:r>
          </w:p>
        </w:tc>
        <w:tc>
          <w:tcPr>
            <w:tcW w:type="dxa" w:w="129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β</w:t>
            </w:r>
          </w:p>
        </w:tc>
        <w:tc>
          <w:tcPr>
            <w:tcW w:type="dxa" w:w="129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95% CI</w:t>
            </w:r>
          </w:p>
        </w:tc>
        <w:tc>
          <w:tcPr>
            <w:tcW w:type="dxa" w:w="129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Sig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Direct effect (c′)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0.018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0.019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[-0.019, 0.055]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Indirect via EmoDiss (a₁×b₁)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-0.025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0.010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[-0.045, -0.005]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*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Indirect via QualEngag (a₂×b₂)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-0.002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0.008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[-0.017, 0.013]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2880"/>
            <w:tcBorders>
              <w:top w:val="single" w:sz="4" w:color="00000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Total indirect</w:t>
            </w:r>
          </w:p>
        </w:tc>
        <w:tc>
          <w:tcPr>
            <w:tcW w:type="dxa" w:w="1296"/>
            <w:tcBorders>
              <w:top w:val="single" w:sz="4" w:color="00000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-0.026</w:t>
            </w:r>
          </w:p>
        </w:tc>
        <w:tc>
          <w:tcPr>
            <w:tcW w:type="dxa" w:w="1296"/>
            <w:tcBorders>
              <w:top w:val="single" w:sz="4" w:color="00000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296"/>
            <w:tcBorders>
              <w:top w:val="single" w:sz="4" w:color="00000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296"/>
            <w:tcBorders>
              <w:top w:val="single" w:sz="4" w:color="00000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296"/>
            <w:tcBorders>
              <w:top w:val="single" w:sz="4" w:color="00000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Total effect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-0.008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0.023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[-0.053, 0.037]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</w:tr>
    </w:tbl>
    <w:p>
      <w:pPr>
        <w:spacing w:before="120" w:after="0"/>
      </w:pPr>
      <w:r>
        <w:rPr>
          <w:rFonts w:ascii="Times New Roman" w:hAnsi="Times New Roman"/>
          <w:i/>
          <w:sz w:val="20"/>
        </w:rPr>
        <w:t xml:space="preserve">Note. </w:t>
      </w:r>
      <w:r>
        <w:rPr>
          <w:rFonts w:ascii="Times New Roman" w:hAnsi="Times New Roman"/>
          <w:sz w:val="20"/>
        </w:rPr>
        <w:t>Effects evaluated at mean credit dose (Z = 0). Indirect effect = product of a-path and b-path coefficients. B = unstandardized; β = fully standardized.</w:t>
      </w:r>
    </w:p>
    <w:p>
      <w:pPr>
        <w:spacing w:before="0" w:after="0"/>
      </w:pPr>
      <w:r>
        <w:rPr>
          <w:rFonts w:ascii="Times New Roman" w:hAnsi="Times New Roman"/>
          <w:sz w:val="20"/>
        </w:rPr>
        <w:t>*95% bca.simple bootstrap CI excludes zero. B = 2,000.</w:t>
      </w:r>
    </w:p>
    <w:p>
      <w:pPr>
        <w:spacing w:before="240" w:after="0"/>
      </w:pPr>
      <w:r>
        <w:rPr>
          <w:rFonts w:ascii="Times New Roman" w:hAnsi="Times New Roman"/>
          <w:b/>
          <w:sz w:val="24"/>
        </w:rPr>
        <w:t>Table 12</w:t>
      </w:r>
    </w:p>
    <w:p>
      <w:pPr>
        <w:spacing w:before="0" w:after="120"/>
      </w:pPr>
      <w:r>
        <w:rPr>
          <w:rFonts w:ascii="Times New Roman" w:hAnsi="Times New Roman"/>
          <w:i/>
          <w:sz w:val="24"/>
        </w:rPr>
        <w:t>Conditional Indirect Effects and Index of Moderated Mediation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/>
          <w:bottom w:val="single" w:sz="4" w:color="000000"/>
          <w:insideH w:val="nil"/>
          <w:insideV w:val="nil"/>
          <w:left w:val="nil"/>
          <w:right w:val="nil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880"/>
          </w:tcPr>
          <w:p>
            <w:r/>
          </w:p>
        </w:tc>
        <w:tc>
          <w:tcPr>
            <w:tcW w:type="dxa" w:w="2592"/>
            <w:gridSpan w:val="2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Unstandardized</w:t>
            </w:r>
          </w:p>
        </w:tc>
        <w:tc>
          <w:tcPr>
            <w:tcW w:type="dxa" w:w="129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Std.</w:t>
            </w:r>
          </w:p>
        </w:tc>
        <w:tc>
          <w:tcPr>
            <w:tcW w:type="dxa" w:w="1296"/>
          </w:tcPr>
          <w:p>
            <w:r/>
          </w:p>
        </w:tc>
        <w:tc>
          <w:tcPr>
            <w:tcW w:type="dxa" w:w="1296"/>
          </w:tcPr>
          <w:p>
            <w:r/>
          </w:p>
        </w:tc>
      </w:tr>
      <w:tr>
        <w:tc>
          <w:tcPr>
            <w:tcW w:type="dxa" w:w="2880"/>
            <w:vAlign w:val="center"/>
            <w:tcBorders>
              <w:bottom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Effect</w:t>
            </w:r>
          </w:p>
        </w:tc>
        <w:tc>
          <w:tcPr>
            <w:tcW w:type="dxa" w:w="129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B</w:t>
            </w:r>
          </w:p>
        </w:tc>
        <w:tc>
          <w:tcPr>
            <w:tcW w:type="dxa" w:w="129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SE</w:t>
            </w:r>
          </w:p>
        </w:tc>
        <w:tc>
          <w:tcPr>
            <w:tcW w:type="dxa" w:w="129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β</w:t>
            </w:r>
          </w:p>
        </w:tc>
        <w:tc>
          <w:tcPr>
            <w:tcW w:type="dxa" w:w="129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95% CI</w:t>
            </w:r>
          </w:p>
        </w:tc>
        <w:tc>
          <w:tcPr>
            <w:tcW w:type="dxa" w:w="1296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Sig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Via Emotional Distress (a₁ × b₁)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 xml:space="preserve">  At −1 SD credit dose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-0.018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0.015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[-0.046, 0.011]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 xml:space="preserve">  At mean credit dose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-0.025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0.010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[-0.045, -0.005]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*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 xml:space="preserve">  At +1 SD credit dose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-0.032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0.007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[-0.046, -0.018]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*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 xml:space="preserve">  Index of moderated mediation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-0.005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0.004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[-0.012, 0.003]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Via Quality of Engagement (a₂ × b₂)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 xml:space="preserve">  At −1 SD credit dose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0.003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0.011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[-0.019, 0.025]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 xml:space="preserve">  At mean credit dose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-0.002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0.008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[-0.017, 0.013]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 xml:space="preserve">  At +1 SD credit dose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-0.006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0.005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[-0.017, 0.004]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 xml:space="preserve">  Index of moderated mediation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-0.003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0.003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[-0.008, 0.003]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</w:r>
          </w:p>
        </w:tc>
      </w:tr>
    </w:tbl>
    <w:p>
      <w:pPr>
        <w:spacing w:before="120" w:after="0"/>
      </w:pPr>
      <w:r>
        <w:rPr>
          <w:rFonts w:ascii="Times New Roman" w:hAnsi="Times New Roman"/>
          <w:i/>
          <w:sz w:val="20"/>
        </w:rPr>
        <w:t xml:space="preserve">Note. </w:t>
      </w:r>
      <w:r>
        <w:rPr>
          <w:rFonts w:ascii="Times New Roman" w:hAnsi="Times New Roman"/>
          <w:sz w:val="20"/>
        </w:rPr>
        <w:t>Conditional indirect effects evaluated at −1 SD, mean, and +1 SD of credit dose. IMM = index of moderated mediation = a₁z × b (slope of indirect effect on moderator). B = unstandardized; β = fully standardized.</w:t>
      </w:r>
    </w:p>
    <w:p>
      <w:pPr>
        <w:spacing w:before="0" w:after="0"/>
      </w:pPr>
      <w:r>
        <w:rPr>
          <w:rFonts w:ascii="Times New Roman" w:hAnsi="Times New Roman"/>
          <w:sz w:val="20"/>
        </w:rPr>
        <w:t>*95% bca.simple bootstrap CI excludes zero. B = 2,000 replicates.</w:t>
      </w:r>
    </w:p>
    <w:p>
      <w:r>
        <w:br w:type="page"/>
      </w:r>
    </w:p>
    <w:p>
      <w:r>
        <w:rPr>
          <w:b/>
        </w:rPr>
        <w:t>PART V: ROBUSTNESS AND EXPLORATORY ANALYSES</w:t>
      </w:r>
    </w:p>
    <w:p>
      <w:pPr>
        <w:spacing w:before="120" w:after="0"/>
      </w:pPr>
      <w:r>
        <w:rPr>
          <w:rFonts w:ascii="Times New Roman" w:hAnsi="Times New Roman"/>
          <w:b/>
          <w:sz w:val="24"/>
        </w:rPr>
        <w:t>Table 13</w:t>
      </w:r>
    </w:p>
    <w:p>
      <w:pPr>
        <w:spacing w:before="0" w:after="120"/>
      </w:pPr>
      <w:r>
        <w:rPr>
          <w:rFonts w:ascii="Times New Roman" w:hAnsi="Times New Roman"/>
          <w:i/>
          <w:sz w:val="24"/>
        </w:rPr>
        <w:t>Robustness Checks: Comparison Across Estimation Methods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/>
          <w:bottom w:val="single" w:sz="4" w:color="000000"/>
          <w:insideH w:val="nil"/>
          <w:insideV w:val="nil"/>
          <w:left w:val="nil"/>
          <w:right w:val="nil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880"/>
            <w:vAlign w:val="center"/>
            <w:tcBorders>
              <w:bottom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Parameter</w:t>
            </w:r>
          </w:p>
        </w:tc>
        <w:tc>
          <w:tcPr>
            <w:tcW w:type="dxa" w:w="162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Weighted B</w:t>
            </w:r>
          </w:p>
        </w:tc>
        <w:tc>
          <w:tcPr>
            <w:tcW w:type="dxa" w:w="162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Unweighted B</w:t>
            </w:r>
          </w:p>
        </w:tc>
        <w:tc>
          <w:tcPr>
            <w:tcW w:type="dxa" w:w="162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IPTW B</w:t>
            </w:r>
          </w:p>
        </w:tc>
        <w:tc>
          <w:tcPr>
            <w:tcW w:type="dxa" w:w="1620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Difference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a₁ (X → M₁)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a₂ (X → M₂)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b₁ (M₁ → Y)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b₂ (M₂ → Y)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c′ (direct)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IMM (EmoDiss)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IMM (QualEngag)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</w:tr>
    </w:tbl>
    <w:p>
      <w:pPr>
        <w:spacing w:before="120" w:after="0"/>
      </w:pPr>
      <w:r>
        <w:rPr>
          <w:rFonts w:ascii="Times New Roman" w:hAnsi="Times New Roman"/>
          <w:i/>
          <w:sz w:val="18"/>
        </w:rPr>
        <w:t xml:space="preserve">Note. </w:t>
      </w:r>
      <w:r>
        <w:rPr>
          <w:rFonts w:ascii="Times New Roman" w:hAnsi="Times New Roman"/>
          <w:sz w:val="18"/>
        </w:rPr>
        <w:t>Weighted = overlap (ATO) weights; Unweighted = no propensity adjustment; IPTW = inverse probability of treatment weights. Difference = |Weighted − Unweighted|.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