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Path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 (X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 (X×Z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 (X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 (X×Z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 (X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 (X×Z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 (M₁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 (M₂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</w:t>
      </w:r>
    </w:p>
    <w:p>
      <w:pPr>
        <w:spacing w:before="0"/>
      </w:pPr>
      <w:r>
        <w:rPr>
          <w:rFonts w:ascii="Times New Roman" w:hAnsi="Times New Roman"/>
          <w:sz w:val="20"/>
        </w:rPr>
        <w:t>*95% percentile CI excludes zero. Bootstrap B = 10.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at mean credit dose (Z = 0). Indirect = a × b.</w:t>
      </w:r>
    </w:p>
    <w:p>
      <w:pPr>
        <w:spacing w:before="0"/>
      </w:pPr>
      <w:r>
        <w:rPr>
          <w:rFonts w:ascii="Times New Roman" w:hAnsi="Times New Roman"/>
          <w:sz w:val="20"/>
        </w:rPr>
        <w:t>*95% percentile CI excludes zero. B = 10.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(EmoDiss)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(QualEngag)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effects at −1 SD, mean, +1 SD of credit dose. IMM = a₁z × b (rate of change in indirect per unit Z).</w:t>
      </w:r>
    </w:p>
    <w:p>
      <w:pPr>
        <w:spacing w:before="0"/>
      </w:pPr>
      <w:r>
        <w:rPr>
          <w:rFonts w:ascii="Times New Roman" w:hAnsi="Times New Roman"/>
          <w:sz w:val="20"/>
        </w:rPr>
        <w:t>*95% percentile CI excludes zero. B = 10.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