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1,149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2,446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1,272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3,851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4,800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-1.035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1.033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3851.8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Feel Valued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Can Be Myself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Sense of Community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0.856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Analyzing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Critical Thinking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Working with Others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Personal Values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Problem Solving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Academics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Physical Wellness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Non-Academic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Activities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Diverse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Would Choose Same Institution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Overall Experience Rating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Developmental Adjustment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re_all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1905.33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2049.88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2050.90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2142.65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firstgen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829.98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851.84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855.48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880.94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Pell Grant Recipient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786.86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810.66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810.91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848.77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sex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758.04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789.65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792.36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832.56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living18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1218.20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1276.46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1292.78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1340.53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Full structural model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1045.81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10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0.061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-0.663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0.517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CI excludes zero. Bootstrap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-0.043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-0.076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PSW-Weighted vs Unweighted Estimates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|Δ|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M₁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M₂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68.1%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M₁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M₂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Y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M₁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M₂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Y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Effect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propensity-score overlap weights (ATO); Unweighted = no covariate balancing. |Δ| = absolute difference in unstandardized estimates; Δ% = percent change relative to weighted. Large differences (&gt;20%) suggest sensitivity to weighting approach.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