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PART I: SAMPLE AND DATA QUALITY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Sample Flow and Analytic Sample Size by Treatment Group and Cohort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</w:tcPr>
          <w:p>
            <w:r/>
          </w:p>
        </w:tc>
        <w:tc>
          <w:tcPr>
            <w:tcW w:type="dxa" w:w="4860"/>
            <w:gridSpan w:val="3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Dual Credit Status</w:t>
            </w:r>
          </w:p>
        </w:tc>
        <w:tc>
          <w:tcPr>
            <w:tcW w:type="dxa" w:w="1620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Selection Stage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FASt (≥12)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Lite_DC (1–11)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No_Cred (0)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Total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Final analytic sample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1,321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2,421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1,258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i/>
                <w:sz w:val="20"/>
              </w:rPr>
              <w:t xml:space="preserve">  Cohort 2022-23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648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1,149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649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2,446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i/>
                <w:sz w:val="20"/>
              </w:rPr>
              <w:t xml:space="preserve">  Cohort 2023-24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673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1,272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609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2,554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Weighted ESS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3,851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FASt = ≥12 transferable dual credit units at matriculation; Lite_DC = 1–11 credits; No_Cred = 0 credits. Cohort 2022-23 = fall 2022 first-time freshmen; Cohort 2023-24 = fall 2023. ESS = effective sample size after propensity score overlap weighting.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Descriptive Statistics for Study Variables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Central Tendency</w:t>
            </w:r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Range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Variable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SD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Min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Max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FASt Status (≥12 credits)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Dual Credit Units Earned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1.52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-1.20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6.80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GPA (centered)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-1.53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1.47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Parent Education (centered)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-1.04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1.96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Pell Grant Recipient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AP/IB/College-Level Courses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Precalculus or Higher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Challenge (centered)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1.22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-3.49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2.51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Academic Work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4,719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Loneliness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4,641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Mental Health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4,679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Exhaustion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Sleep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4,664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Finances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4,709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Student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4,792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Advisor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4,780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Faculty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4,778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Staff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4,800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Admin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4,783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Feel Valued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Can Be Myself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Sense of Community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Critical Thinking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Analyzing Problems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Working with Others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Personal Values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Problem Solving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Physical Wellness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Non-Academic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Activities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Academics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Diverse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Overall Experience Rating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Would Choose Same Institution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tcBorders>
              <w:top w:val="single" w:sz="4" w:color="000000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Total N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n = sample size; M = mean; SD = standard deviation. FASt = ≥12 transferable credits; Lite_DC = 1–11 credits; No_Cred = 0 credits.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Missing Data Rates by Variable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4680"/>
        <w:gridCol w:w="4680"/>
      </w:tblGrid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Variable</w:t>
            </w:r>
          </w:p>
        </w:tc>
        <w:tc>
          <w:tcPr>
            <w:tcW w:type="dxa" w:w="64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Missing 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FASt Status (≥12 credits)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Dual Credit Units Earned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GPA (centered)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Parent Education (centered)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Pell Grant Recipient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AP/IB/College-Level Courses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Precalculus or Higher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Challenge (centered)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Academic Work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5.6%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Loneliness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7.2%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Mental Health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Exhaustion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5.6%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Sleep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6.7%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Finances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5.8%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Student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4.2%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Advisor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Faculty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Staff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Admin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4.3%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Feel Valued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Can Be Myself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Sense of Community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Critical Thinking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Analyzing Problems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Working with Others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Personal Values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Problem Solving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Physical Wellness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Non-Academic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Activities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Academics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Diverse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Overall Experience Rating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Would Choose Same Institution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Missing data assumed MAR (missing at random) and handled via FIML (full information maximum likelihood) in lavaan. Percentages reflect proportion of cases with missing values on each variable.</w:t>
      </w:r>
    </w:p>
    <w:p>
      <w:r>
        <w:br w:type="page"/>
      </w:r>
    </w:p>
    <w:p>
      <w:r>
        <w:rPr>
          <w:b/>
        </w:rPr>
        <w:t>PART II: PROPENSITY SCORE WEIGHTING DIAGNOSTICS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4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Propensity Score Model: Logistic Regression Predicting FASt Status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</w:tcPr>
          <w:p>
            <w:r/>
          </w:p>
        </w:tc>
        <w:tc>
          <w:tcPr>
            <w:tcW w:type="dxa" w:w="432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Estimate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Covariate</w:t>
            </w:r>
          </w:p>
        </w:tc>
        <w:tc>
          <w:tcPr>
            <w:tcW w:type="dxa" w:w="216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</w:t>
            </w:r>
          </w:p>
        </w:tc>
        <w:tc>
          <w:tcPr>
            <w:tcW w:type="dxa" w:w="216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OR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-1.035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0.355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GPA (centered)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0.100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1.106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Parent Education (centered)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1.047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hapcl_c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0.270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1.311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hprecalc13_c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0.067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1.244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Challenge (centered)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0.027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1.033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cSFcareer_c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0.039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hacadpr13_c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1.008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tcare_c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-0.006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0.006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0.994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StemMaj_c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1.008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Treatment: FASt = 1 (≥12 credits), non-FASt = 0 (Lite_DC + No_Cred). B = unstandardized coefficient; SE = standard error; OR = odds ratio. All continuous predictors mean-centered. Model used for computing overlap (ATO) weights.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5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Covariate Balance Before and After Propensity Score Weighting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</w:tcPr>
          <w:p>
            <w:r/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Pre-weighting</w:t>
            </w:r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Post-weighting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Covariate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SMD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VR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SMD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VR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GPA (centered)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0.980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0.982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Parent Education (centered)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1.022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0.997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hapcl_c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1.152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hprecalc13_c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1.072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Challenge (centered)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0.958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0.962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cSFcareer_c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hacadpr13_c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tcare_c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-0.041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0.972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1.078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StemMaj_c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880"/>
            <w:tcBorders>
              <w:top w:val="single" w:sz="4" w:color="000000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Mean |SMD|</w:t>
            </w:r>
          </w:p>
        </w:tc>
        <w:tc>
          <w:tcPr>
            <w:tcW w:type="dxa" w:w="1620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0.061</w:t>
            </w:r>
          </w:p>
        </w:tc>
        <w:tc>
          <w:tcPr>
            <w:tcW w:type="dxa" w:w="1620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620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Max |SMD|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SMD = standardized mean difference (FASt − non-FASt). VR = variance ratio (FASt / non-FASt). Non-FASt = Lite_DC + No_Cred combined. Balance achieved when |SMD| &lt; 0.10 and VR between 0.80–1.25.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6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Propensity Score Overlap Weight Diagnostics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880"/>
          </w:tcPr>
          <w:p>
            <w:r/>
          </w:p>
        </w:tc>
        <w:tc>
          <w:tcPr>
            <w:tcW w:type="dxa" w:w="926"/>
          </w:tcPr>
          <w:p>
            <w:r/>
          </w:p>
        </w:tc>
        <w:tc>
          <w:tcPr>
            <w:tcW w:type="dxa" w:w="4630"/>
            <w:gridSpan w:val="5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Weight Distribution</w:t>
            </w:r>
          </w:p>
        </w:tc>
        <w:tc>
          <w:tcPr>
            <w:tcW w:type="dxa" w:w="92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Group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Min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P5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Mdn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P95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Max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ESS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Total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0.439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0.539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0.720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2.128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3851.8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FASt = ≥12 credits; Non-FASt = Lite_DC (1–11) + No_Cred (0). Overlap weights: w = 1 − PS for treated, w = PS for control. ESS = effective sample size = (Σw)²/Σw². P5/P95 = 5th/95th percentiles; Mdn = median.</w:t>
      </w:r>
    </w:p>
    <w:p>
      <w:r>
        <w:br w:type="page"/>
      </w:r>
    </w:p>
    <w:p>
      <w:r>
        <w:rPr>
          <w:b/>
        </w:rPr>
        <w:t>PART III: MEASUREMENT MODEL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7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Confirmatory Factor Analysis: Standardized Factor Loadings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</w:tcPr>
          <w:p>
            <w:r/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Loading</w:t>
            </w:r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Reliability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Item/Factor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λ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ω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AVE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Sense of Belonging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0.874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0.729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Belonging: Feel Valued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0.868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Belonging: Can Be Myself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0.839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Belonging: Sense of Community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0.885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Perceived Gains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0.856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0.555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Analyzing Problems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0.731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Critical Thinking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Working with Others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0.747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Personal Values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Problem Solving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0.759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Supportive Environment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0.869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0.613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Academics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0.828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Physical Wellness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0.816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Non-Academic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0.782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Activities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0.742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Diverse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Satisfaction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0.828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0.723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Would Choose Same Institution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0.873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Overall Experience Rating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0.849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Developmental Adjustment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Sense of Belonging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0.455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Perceived Gains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0.253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Supportive Environment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0.445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Satisfaction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Emotional Distress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0.969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0.841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Academic Work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0.909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Loneliness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Mental Health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0.943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Exhaustion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Sleep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0.920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Finances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0.867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 of Engagement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0.961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0.830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Admin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0.891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Student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0.898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Advisor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0.920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Faculty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Staff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0.914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λ = standardized factor loading; SE = standard error. ω = McDonald's omega reliability; AVE = average variance extracted. All loadings p &lt; .001. Marker-variable identification used.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8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Measurement Invariance Tests Across Treatment Groups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880"/>
          </w:tcPr>
          <w:p>
            <w:r/>
          </w:p>
        </w:tc>
        <w:tc>
          <w:tcPr>
            <w:tcW w:type="dxa" w:w="3704"/>
            <w:gridSpan w:val="4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Absolute Fit</w:t>
            </w:r>
          </w:p>
        </w:tc>
        <w:tc>
          <w:tcPr>
            <w:tcW w:type="dxa" w:w="185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 Comparison</w:t>
            </w:r>
          </w:p>
        </w:tc>
        <w:tc>
          <w:tcPr>
            <w:tcW w:type="dxa" w:w="92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Model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χ²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df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CFI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RMSEA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ΔCFI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ΔRMSEA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Decision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re_all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1905.33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1460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2049.88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1548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2050.90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1552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2142.65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1628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firstgen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829.98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584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851.84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855.48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880.94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Pell Grant Recipient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786.86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584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810.66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810.91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848.77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sex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758.04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584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789.65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792.36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832.56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living18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1218.20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876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1276.46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920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1292.78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922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1340.53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960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Invariance tested for EmoDiss, QualEngag, and DevAdj factors. ΔCFI &gt; −.010 and ΔRMSEA &lt; .015 indicate acceptable invariance. Scalar invariance required for latent mean comparisons.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9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Equation Model Fit Indices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</w:tcPr>
          <w:p>
            <w:r/>
          </w:p>
        </w:tc>
        <w:tc>
          <w:tcPr>
            <w:tcW w:type="dxa" w:w="216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Chi-Square</w:t>
            </w:r>
          </w:p>
        </w:tc>
        <w:tc>
          <w:tcPr>
            <w:tcW w:type="dxa" w:w="216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Incremental Fit</w:t>
            </w:r>
          </w:p>
        </w:tc>
        <w:tc>
          <w:tcPr>
            <w:tcW w:type="dxa" w:w="216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Absolute Fit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Model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χ²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df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CFI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TLI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RMSEA [90% CI]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SRMR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Full structural model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1045.81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569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0.046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Estimator: MLR with robust standard errors. Missing data: FIML. Bootstrap: B = 2,000 replicates. Acceptable fit: CFI/TLI ≥ .90, RMSEA ≤ .08, SRMR ≤ .08.</w:t>
      </w:r>
    </w:p>
    <w:p>
      <w:r>
        <w:br w:type="page"/>
      </w:r>
    </w:p>
    <w:p>
      <w:r>
        <w:rPr>
          <w:b/>
        </w:rPr>
        <w:t>PART IV: STRUCTURAL MODEL RESULTS</w:t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10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Path Coefficients From Bootstrap Analysis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</w:tcPr>
          <w:p>
            <w:r/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Unstandardized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Std.</w:t>
            </w:r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Path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β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95% CI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Sig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a₁: X → M₁ (FASt → EmoDiss)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0.124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0.051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0.061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[0.025, 0.223]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a₁z: X×Z → M₁ (interaction)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0.035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[-0.013, 0.060]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a₂: X → M₂ (FASt → QualEngag)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0.049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[-0.106, 0.085]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a₂z: X×Z → M₂ (interaction)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[-0.053, 0.016]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c′: X → Y (direct effect)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0.030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c′z: X×Z → Y (direct × dose)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[-0.012, 0.015]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b₁: M₁ → Y (EmoDiss → DevAdj)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-0.199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-0.663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[-0.218, -0.180]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b₂: M₂ → Y (QualEngag → DevAdj)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0.159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0.517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[0.143, 0.175]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X = FASt status; Z = credit dose (centered); M₁ = Emotional Distress; M₂ = Quality of Engagement; Y = Developmental Adjustment. B = unstandardized coefficient; β = fully standardized coefficient.</w:t>
      </w:r>
    </w:p>
    <w:p>
      <w:pPr>
        <w:spacing w:before="0" w:after="0"/>
      </w:pPr>
      <w:r>
        <w:rPr>
          <w:rFonts w:ascii="Times New Roman" w:hAnsi="Times New Roman"/>
          <w:sz w:val="20"/>
        </w:rPr>
        <w:t>*95% bca.simple CI excludes zero. Bootstrap B = 2,000.</w:t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11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Direct, Indirect, and Total Effects at Mean Credit Dose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</w:tcPr>
          <w:p>
            <w:r/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Unstandardized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Std.</w:t>
            </w:r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Effect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β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95% CI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Sig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Direct effect (c′)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0.030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(a₁×b₁)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-0.040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(a₂×b₂)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tcBorders>
              <w:top w:val="single" w:sz="4" w:color="000000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indirect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-0.026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-0.043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effect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[-0.053, 0.037]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Effects evaluated at mean credit dose (Z = 0). Indirect effect = product of a-path and b-path coefficients. B = unstandardized; β = fully standardized.</w:t>
      </w:r>
    </w:p>
    <w:p>
      <w:pPr>
        <w:spacing w:before="0" w:after="0"/>
      </w:pPr>
      <w:r>
        <w:rPr>
          <w:rFonts w:ascii="Times New Roman" w:hAnsi="Times New Roman"/>
          <w:sz w:val="20"/>
        </w:rPr>
        <w:t>*95% bca.simple bootstrap CI excludes zero. B = 2,000.</w:t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12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Conditional Indirect Effects and Index of Moderated Mediation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</w:tcPr>
          <w:p>
            <w:r/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Unstandardized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Std.</w:t>
            </w:r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Effect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β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95% CI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Sig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Via Emotional Distress (a₁ × b₁)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−1 SD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[-0.046, 0.011]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mean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-0.040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+1 SD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-0.032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-0.076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[-0.046, -0.018]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Index of moderated mediation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[-0.012, 0.003]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Via Quality of Engagement (a₂ × b₂)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−1 SD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0.020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[-0.019, 0.025]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mean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+1 SD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[-0.017, 0.004]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Index of moderated mediation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[-0.008, 0.003]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Conditional indirect effects evaluated at −1 SD, mean, and +1 SD of credit dose. IMM = index of moderated mediation = a₁z × b (slope of indirect effect on moderator). B = unstandardized; β = fully standardized.</w:t>
      </w:r>
    </w:p>
    <w:p>
      <w:pPr>
        <w:spacing w:before="0" w:after="0"/>
      </w:pPr>
      <w:r>
        <w:rPr>
          <w:rFonts w:ascii="Times New Roman" w:hAnsi="Times New Roman"/>
          <w:sz w:val="20"/>
        </w:rPr>
        <w:t>*95% bca.simple bootstrap CI excludes zero. B = 2,000 replicates.</w:t>
      </w:r>
    </w:p>
    <w:p>
      <w:r>
        <w:br w:type="page"/>
      </w:r>
    </w:p>
    <w:p>
      <w:r>
        <w:rPr>
          <w:b/>
        </w:rPr>
        <w:t>PART V: ROBUSTNESS AND EXPLORATORY ANALYSES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13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Robustness Checks: PSW-Weighted vs Unweighted Estimates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</w:tcPr>
          <w:p>
            <w:r/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Estimate</w:t>
            </w:r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Difference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Parameter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Weighted B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Unweighted B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|Δ|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 → M₁ (EmoDiss)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3.3%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 → M₂ (QualEngag)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68.1%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M₁ → Y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3.6%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M₂ → Y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 → Y (direct)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3.9%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XZ → M₁ (moderation)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9.2%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XZ → M₂ (moderation)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-0.015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XZ → Y (moderation)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35.5%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Indirect (EmoDiss)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-0.025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-0.025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Indirect (QualEngag)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69.8%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IMM (EmoDiss)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IMM (QualEngag)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18.6%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Total Effect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4.4%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Weighted = propensity-score overlap weights (ATO); Unweighted = no covariate balancing. |Δ| = absolute difference in unstandardized estimates; Δ% = percent change relative to weighted. Large differences (&gt;20%) suggest sensitivity to weighting approach.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