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PART I: SAMPLE AND DATA QUALITY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Sample Flow and Analytic Sample Size by Treatment Group and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4860"/>
            <w:gridSpan w:val="3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Dual Credit Status</w:t>
            </w:r>
          </w:p>
        </w:tc>
        <w:tc>
          <w:tcPr>
            <w:tcW w:type="dxa" w:w="162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Selection Stage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 (≥12)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Lite_DC (1–11)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No_Cred (0)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BCSSE respondents (baseline)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Linked to NSSE (follow-up)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Final analytic sample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Weighted 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transferable dual credit units at matriculation; Lite_DC = 1–11 credits; No_Cred = 0 credits. Cohort 2022-23 = fall 2022 first-time freshmen; Cohort 2023-24 = fall 2023. ESS = effective sample size after propensity score overlap weighting.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Descriptive Statistics for Study Variables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Central Tendency</w:t>
            </w:r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Range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Level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Academic Challenge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N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= sample size; M = mean; SD = standard deviation. FASt = ≥12 transferable credits; Lite_DC = 1–11 credits; No_Cred = 0 credits.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Missing Data Rates by Variable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64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Missing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 items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 items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Developmental Adjustment items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status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Missing data assumed MAR (missing at random) and handled via FIML (full information maximum likelihood) in lavaan. Percentages reflect proportion of cases with missing values on each variable.</w:t>
      </w:r>
    </w:p>
    <w:p>
      <w:r>
        <w:br w:type="page"/>
      </w:r>
    </w:p>
    <w:p>
      <w:r>
        <w:rPr>
          <w:b/>
        </w:rPr>
        <w:t>PART II: PROPENSITY SCORE WEIGHTING DIAGNOSTICS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Model: Logistic Regression Predicting FASt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</w:p>
        </w:tc>
        <w:tc>
          <w:tcPr>
            <w:tcW w:type="dxa" w:w="432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Cohort (2022–23 vs 2023–24)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Parental Education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Completion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Academic Challenge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Treatment: FASt = 1 (≥12 credits), non-FASt = 0 (Lite_DC + No_Cred). B = unstandardized coefficient; SE = standard error; OR = odds ratio. All continuous predictors mean-centered. Model used for computing overlap (ATO) weights.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Covariate Balance Before and After Propensity Score Weighting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Pre-weighting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Post-weighting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Cohort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Parental Education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Completion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Academic Challenge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Mean |SMD|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Max |SMD|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SMD = standardized mean difference (FASt − non-FASt). VR = variance ratio (FASt / non-FASt). Non-FASt = Lite_DC + No_Cred combined. Balance achieved when |SMD| &lt; 0.10 and VR between 0.80–1.25.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Overlap Weight Diagnostics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926"/>
          </w:tcPr>
          <w:p>
            <w:r/>
          </w:p>
        </w:tc>
        <w:tc>
          <w:tcPr>
            <w:tcW w:type="dxa" w:w="4630"/>
            <w:gridSpan w:val="5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 Distribution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Group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Mdn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P95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(≥12)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Non-FASt (&lt;12)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credits; Non-FASt = Lite_DC (1–11) + No_Cred (0). Overlap weights: w = 1 − PS for treated, w = PS for control. ESS = effective sample size = (Σw)²/Σw². P5/P95 = 5th/95th percentiles; Mdn = median.</w:t>
      </w:r>
    </w:p>
    <w:p>
      <w:r>
        <w:br w:type="page"/>
      </w:r>
    </w:p>
    <w:p>
      <w:r>
        <w:rPr>
          <w:b/>
        </w:rPr>
        <w:t>PART III: MEASUREMENT MODEL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7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Confirmatory Factor Analysis: Standardized Factor Loadings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Loading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Reliability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Item/Factor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λ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ω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AVE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Academic Work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Loneliness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Mental Health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Exhaustion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Sleep Problems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Financial Concerns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Student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Advisor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Faculty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Staff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Admin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λ = standardized factor loading; SE = standard error. ω = McDonald's omega reliability; AVE = average variance extracted. All loadings p &lt; .001. Marker-variable identification used.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8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Measurement Invariance Tests Across Treatment Groups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3704"/>
            <w:gridSpan w:val="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  <w:tc>
          <w:tcPr>
            <w:tcW w:type="dxa" w:w="185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 Comparison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Metric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Invariance tested for EmoDiss, QualEngag, and DevAdj factors. ΔCFI &gt; −.010 and ΔRMSEA &lt; .015 indicate acceptable invariance. Scalar invariance required for latent mean comparisons.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9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Equation Model Fit Indices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/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Chi-Square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Incremental Fit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TLI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 [90% CI]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SRMR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Measurement model (CFA)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Structural model (full)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Alternative: No moderation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Estimator: MLR with robust standard errors. Missing data: FIML. Bootstrap: B = 2,000 replicates. Acceptable fit: CFI/TLI ≥ .90, RMSEA ≤ .08, SRMR ≤ .08.</w:t>
      </w:r>
    </w:p>
    <w:p>
      <w:r>
        <w:br w:type="page"/>
      </w:r>
    </w:p>
    <w:p>
      <w:r>
        <w:rPr>
          <w:b/>
        </w:rPr>
        <w:t>PART IV: STRUCTURAL MODEL RESULTS</w:t>
      </w:r>
    </w:p>
    <w:p>
      <w:r>
        <w:t>Bootstrap results not found. Tables 10-12 require bootstrap_results.csv.</w:t>
      </w:r>
    </w:p>
    <w:p>
      <w:r>
        <w:br w:type="page"/>
      </w:r>
    </w:p>
    <w:p>
      <w:r>
        <w:rPr>
          <w:b/>
        </w:rPr>
        <w:t>PART V: ROBUSTNESS AND EXPLORATORY ANALYSES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10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Robustness Checks: Comparison Across Estimation Methods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Unweighted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IPTW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a₁ (X → M₁)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a₂ (X → M₂)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b₁ (M₁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b₂ (M₂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c′ (direct)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Weighted = overlap (ATO) weights; Unweighted = no propensity adjustment; IPTW = inverse probability of treatment weights. Difference = |Weighted − Unweighted|.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